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8485e10vq.htm"/>
        <w:bookmarkStart w:id="1" w:name="ksh48485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June 30, 2007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OR</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120" w:after="283"/>
        <w:jc w:val="center"/>
        <w:rPr>
          <w:rFonts w:ascii="Times New Roman;Times;serif" w:hAnsi="Times New Roman;Times;serif"/>
          <w:sz w:val="17"/>
        </w:rPr>
      </w:pPr>
      <w:r>
        <w:rPr>
          <w:rFonts w:ascii="Times New Roman;Times;serif" w:hAnsi="Times New Roman;Times;serif"/>
          <w:b/>
          <w:sz w:val="17"/>
        </w:rPr>
        <w:t>Commission file number: 1-14569</w:t>
      </w:r>
      <w:r>
        <w:rPr>
          <w:rFonts w:ascii="Times New Roman;Times;serif" w:hAnsi="Times New Roman;Times;serif"/>
          <w:sz w:val="17"/>
        </w:rPr>
        <w:t xml:space="preserve"> </w:t>
      </w:r>
    </w:p>
    <w:p>
      <w:pPr>
        <w:pStyle w:val="TextBody"/>
        <w:spacing w:before="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Delaware</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76-0582150</w:t>
            </w:r>
          </w:p>
        </w:tc>
      </w:tr>
      <w:tr>
        <w:trPr/>
        <w:tc>
          <w:tcPr>
            <w:tcW w:w="4844" w:type="dxa"/>
            <w:tcBorders/>
            <w:shd w:fill="auto" w:val="clear"/>
          </w:tcPr>
          <w:p>
            <w:pPr>
              <w:pStyle w:val="TableContents"/>
              <w:spacing w:before="0" w:after="283"/>
              <w:jc w:val="center"/>
              <w:rPr/>
            </w:pPr>
            <w:r>
              <w:rPr/>
              <w:t xml:space="preserve">(State or other jurisdiction of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w:t>
            </w:r>
          </w:p>
        </w:tc>
      </w:tr>
      <w:tr>
        <w:trPr/>
        <w:tc>
          <w:tcPr>
            <w:tcW w:w="4844" w:type="dxa"/>
            <w:tcBorders/>
            <w:shd w:fill="auto" w:val="clear"/>
          </w:tcPr>
          <w:p>
            <w:pPr>
              <w:pStyle w:val="TableContents"/>
              <w:spacing w:before="0" w:after="283"/>
              <w:jc w:val="center"/>
              <w:rPr/>
            </w:pPr>
            <w:r>
              <w:rPr/>
              <w:t xml:space="preserve">incorporation or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Identification No.)</w:t>
            </w:r>
          </w:p>
        </w:tc>
      </w:tr>
    </w:tbl>
    <w:p>
      <w:pPr>
        <w:pStyle w:val="TextBody"/>
        <w:spacing w:before="12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(713) 646-4100</w:t>
      </w:r>
      <w:r>
        <w:rPr>
          <w:rFonts w:ascii="Times New Roman;Times;serif" w:hAnsi="Times New Roman;Times;serif"/>
          <w:sz w:val="17"/>
        </w:rPr>
        <w:br/>
        <w:t xml:space="preserve">(Registrants telephone number, including area code) </w:t>
      </w:r>
    </w:p>
    <w:p>
      <w:pPr>
        <w:pStyle w:val="TextBody"/>
        <w:spacing w:before="120" w:after="283"/>
        <w:jc w:val="left"/>
        <w:rPr/>
      </w:pPr>
      <w:r>
        <w:rPr/>
        <w:t>     </w:t>
      </w: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      Accelerated Filer </w:t>
      </w:r>
      <w:r>
        <w:rPr>
          <w:rFonts w:ascii="Wingdings" w:hAnsi="Wingdings"/>
          <w:sz w:val="17"/>
        </w:rPr>
        <w:t>o</w:t>
      </w:r>
      <w:r>
        <w:rPr>
          <w:rFonts w:ascii="Times New Roman;Times;serif" w:hAnsi="Times New Roman;Times;serif"/>
          <w:sz w:val="17"/>
        </w:rPr>
        <w:t xml:space="preserve">       Non-Accelerated Filer </w:t>
      </w:r>
      <w:r>
        <w:rPr>
          <w:rFonts w:ascii="Wingdings" w:hAnsi="Wingdings"/>
          <w:sz w:val="17"/>
        </w:rPr>
        <w:t>o</w:t>
      </w:r>
    </w:p>
    <w:p>
      <w:pPr>
        <w:pStyle w:val="TextBody"/>
        <w:spacing w:before="120" w:after="283"/>
        <w:jc w:val="left"/>
        <w:rPr/>
      </w:pPr>
      <w:r>
        <w:rPr/>
        <w:t>     </w:t>
      </w:r>
      <w:r>
        <w:rPr>
          <w:rFonts w:ascii="Times New Roman;Times;serif" w:hAnsi="Times New Roman;Times;serif"/>
          <w:sz w:val="17"/>
        </w:rPr>
        <w:t xml:space="preserve">Indicate by check mark whether the registrant is a shell company (as defined in Rule 12b-2 of the Exchange Act). </w:t>
      </w:r>
      <w:r>
        <w:rPr>
          <w:rFonts w:ascii="Wingdings" w:hAnsi="Wingdings"/>
          <w:sz w:val="17"/>
        </w:rPr>
        <w:t>o</w:t>
      </w:r>
      <w:r>
        <w:rPr>
          <w:rFonts w:ascii="Times New Roman;Times;serif" w:hAnsi="Times New Roman;Times;serif"/>
          <w:sz w:val="17"/>
        </w:rPr>
        <w:t xml:space="preserve"> Yes ☑ No </w:t>
      </w:r>
    </w:p>
    <w:p>
      <w:pPr>
        <w:pStyle w:val="TextBody"/>
        <w:spacing w:before="120" w:after="283"/>
        <w:jc w:val="left"/>
        <w:rPr/>
      </w:pPr>
      <w:r>
        <w:rPr/>
        <w:t>     </w:t>
      </w:r>
      <w:r>
        <w:rPr>
          <w:rFonts w:ascii="Times New Roman;Times;serif" w:hAnsi="Times New Roman;Times;serif"/>
          <w:sz w:val="17"/>
        </w:rPr>
        <w:t xml:space="preserve">At August 1, 2007, there were outstanding 115,981,676 Common Units.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26"/>
        <w:gridCol w:w="465"/>
        <w:gridCol w:w="305"/>
        <w:gridCol w:w="377"/>
        <w:gridCol w:w="306"/>
        <w:gridCol w:w="26"/>
      </w:tblGrid>
      <w:tr>
        <w:trPr/>
        <w:tc>
          <w:tcPr>
            <w:tcW w:w="8726"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98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3 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02">
              <w:r>
                <w:rPr>
                  <w:rStyle w:val="InternetLink"/>
                </w:rPr>
                <w:t>Item 1. UNAUDITED CONDENSED CONSOLIDATED FINANCIAL STATEMENTS: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3 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3">
              <w:r>
                <w:rPr>
                  <w:rStyle w:val="InternetLink"/>
                </w:rPr>
                <w:t>Condensed Consolidated Balance Sheets: June 30, 2007 and December 31, 2006</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3 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4">
              <w:r>
                <w:rPr>
                  <w:rStyle w:val="InternetLink"/>
                </w:rPr>
                <w:t>Condensed Consolidated Statements of Operations: For the three months and six months ended June 30, 2007 and 2006</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4 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5">
              <w:r>
                <w:rPr>
                  <w:rStyle w:val="InternetLink"/>
                </w:rPr>
                <w:t>Condensed Consolidated Statements of Cash Flows: For the six months ended June 30, 2007 and 2006</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5 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6">
              <w:r>
                <w:rPr>
                  <w:rStyle w:val="InternetLink"/>
                </w:rPr>
                <w:t>Condensed Consolidated Statement of Partners Capital: For the six months ended June 30, 2007</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6 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7">
              <w:r>
                <w:rPr>
                  <w:rStyle w:val="InternetLink"/>
                </w:rPr>
                <w:t>Condensed Consolidated Statements of Comprehensive Income: For the three months and six months ended June 30, 2007 and 2006</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6 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8">
              <w:r>
                <w:rPr>
                  <w:rStyle w:val="InternetLink"/>
                </w:rPr>
                <w:t>Condensed Consolidated Statement of Changes in Accumulated Other Comprehensive Income: For the six months ended June 30, 2007</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6 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450" w:right="0" w:hanging="225"/>
              <w:rPr/>
            </w:pPr>
            <w:hyperlink w:anchor="109">
              <w:r>
                <w:rPr>
                  <w:rStyle w:val="InternetLink"/>
                </w:rPr>
                <w:t>Notes to the Condensed Consolidated Financial Statements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7 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0">
              <w:r>
                <w:rPr>
                  <w:rStyle w:val="InternetLink"/>
                </w:rPr>
                <w:t>Item 2. MANAGEMENTS DISCUSSION AND ANALYSIS OF FINANCIAL CONDITION AND RESULTS OF OPERATIONS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pPr>
            <w:r>
              <w:rPr/>
              <w:t>26 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1">
              <w:r>
                <w:rPr>
                  <w:rStyle w:val="InternetLink"/>
                </w:rPr>
                <w:t>Item 3. QUANTITATIVE AND QUALITATIVE DISCLOSURES ABOUT MARKET RISK</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40 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2">
              <w:r>
                <w:rPr>
                  <w:rStyle w:val="InternetLink"/>
                </w:rPr>
                <w:t>Item 4. CONTROLS AND PROCEDURES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3">
              <w:r>
                <w:rPr>
                  <w:rStyle w:val="InternetLink"/>
                  <w:b/>
                </w:rPr>
                <w:t>PART II. OTHER INFORMATION</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4">
              <w:r>
                <w:rPr>
                  <w:rStyle w:val="InternetLink"/>
                </w:rPr>
                <w:t>Item 1. LEGAL PROCEEDINGS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5">
              <w:r>
                <w:rPr>
                  <w:rStyle w:val="InternetLink"/>
                </w:rPr>
                <w:t>Item 1A. RISK FACTORS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6">
              <w:r>
                <w:rPr>
                  <w:rStyle w:val="InternetLink"/>
                </w:rPr>
                <w:t>Item 2. UNREGISTERED SALES OF EQUITY SECURITIES AND USE OF PROCEEDS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7">
              <w:r>
                <w:rPr>
                  <w:rStyle w:val="InternetLink"/>
                </w:rPr>
                <w:t>Item 3. DEFAULTS UPON SENIOR SECURITIES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8">
              <w:r>
                <w:rPr>
                  <w:rStyle w:val="InternetLink"/>
                </w:rPr>
                <w:t>Item 4. SUBMISSION OF MATTERS TO A VOTE OF SECURITY HOLDERS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19">
              <w:r>
                <w:rPr>
                  <w:rStyle w:val="InternetLink"/>
                </w:rPr>
                <w:t>Item 5. OTHER INFORMATION</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41 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20">
              <w:r>
                <w:rPr>
                  <w:rStyle w:val="InternetLink"/>
                </w:rPr>
                <w:t>Item 6. EXHIBITS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42 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8726" w:type="dxa"/>
            <w:tcBorders/>
            <w:shd w:fill="auto" w:val="clear"/>
            <w:vAlign w:val="bottom"/>
          </w:tcPr>
          <w:p>
            <w:pPr>
              <w:pStyle w:val="TableContents"/>
              <w:spacing w:before="0" w:after="0"/>
              <w:ind w:left="225" w:right="0" w:hanging="225"/>
              <w:rPr/>
            </w:pPr>
            <w:hyperlink w:anchor="121">
              <w:r>
                <w:rPr>
                  <w:rStyle w:val="InternetLink"/>
                </w:rPr>
                <w:t>SIGNATURES</w:t>
              </w:r>
            </w:hyperlink>
          </w:p>
        </w:tc>
        <w:tc>
          <w:tcPr>
            <w:tcW w:w="46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45 </w:t>
            </w:r>
          </w:p>
        </w:tc>
        <w:tc>
          <w:tcPr>
            <w:tcW w:w="306" w:type="dxa"/>
            <w:tcBorders/>
            <w:shd w:fill="auto" w:val="clear"/>
            <w:vAlign w:val="bottom"/>
          </w:tcPr>
          <w:p>
            <w:pPr>
              <w:pStyle w:val="TableContents"/>
              <w:spacing w:before="0" w:after="283"/>
              <w:rPr/>
            </w:pPr>
            <w:r>
              <w:rPr/>
              <w:t> </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h48485exv10w1.htm">
              <w:r>
                <w:rPr>
                  <w:rStyle w:val="InternetLink"/>
                  <w:sz w:val="20"/>
                </w:rPr>
                <w:t>Joinder and Supplement</w:t>
              </w:r>
            </w:hyperlink>
          </w:p>
        </w:tc>
      </w:tr>
      <w:tr>
        <w:trPr/>
        <w:tc>
          <w:tcPr>
            <w:tcW w:w="10205" w:type="dxa"/>
            <w:gridSpan w:val="6"/>
            <w:tcBorders/>
            <w:shd w:fill="auto" w:val="clear"/>
            <w:vAlign w:val="center"/>
          </w:tcPr>
          <w:p>
            <w:pPr>
              <w:pStyle w:val="TableContents"/>
              <w:spacing w:before="0" w:after="283"/>
              <w:rPr/>
            </w:pPr>
            <w:r>
              <w:rPr/>
              <w:t> </w:t>
            </w:r>
            <w:hyperlink w:anchor="h48485exv31w1.htm">
              <w:r>
                <w:rPr>
                  <w:rStyle w:val="InternetLink"/>
                  <w:sz w:val="20"/>
                </w:rPr>
                <w:t>Certification of Principal Executive Officer Pursuant to Rule 13a-14(a) and 15d-14(a)</w:t>
              </w:r>
            </w:hyperlink>
          </w:p>
        </w:tc>
      </w:tr>
      <w:tr>
        <w:trPr/>
        <w:tc>
          <w:tcPr>
            <w:tcW w:w="10205" w:type="dxa"/>
            <w:gridSpan w:val="6"/>
            <w:tcBorders/>
            <w:shd w:fill="auto" w:val="clear"/>
            <w:vAlign w:val="center"/>
          </w:tcPr>
          <w:p>
            <w:pPr>
              <w:pStyle w:val="TableContents"/>
              <w:spacing w:before="0" w:after="283"/>
              <w:rPr/>
            </w:pPr>
            <w:r>
              <w:rPr/>
              <w:t> </w:t>
            </w:r>
            <w:hyperlink w:anchor="h48485exv31w2.htm">
              <w:r>
                <w:rPr>
                  <w:rStyle w:val="InternetLink"/>
                  <w:sz w:val="20"/>
                </w:rPr>
                <w:t>Certification of Principal Financial Officer Pursuant to Rule 13a-14(a) and 15d-14(a)</w:t>
              </w:r>
            </w:hyperlink>
          </w:p>
        </w:tc>
      </w:tr>
      <w:tr>
        <w:trPr/>
        <w:tc>
          <w:tcPr>
            <w:tcW w:w="10205" w:type="dxa"/>
            <w:gridSpan w:val="6"/>
            <w:tcBorders/>
            <w:shd w:fill="auto" w:val="clear"/>
            <w:vAlign w:val="center"/>
          </w:tcPr>
          <w:p>
            <w:pPr>
              <w:pStyle w:val="TableContents"/>
              <w:spacing w:before="0" w:after="283"/>
              <w:rPr/>
            </w:pPr>
            <w:r>
              <w:rPr/>
              <w:t> </w:t>
            </w:r>
            <w:hyperlink w:anchor="h48485exv32w1.htm">
              <w:r>
                <w:rPr>
                  <w:rStyle w:val="InternetLink"/>
                  <w:sz w:val="20"/>
                </w:rPr>
                <w:t>Certification of Principal Executive Officer</w:t>
              </w:r>
            </w:hyperlink>
          </w:p>
        </w:tc>
      </w:tr>
      <w:tr>
        <w:trPr/>
        <w:tc>
          <w:tcPr>
            <w:tcW w:w="10205" w:type="dxa"/>
            <w:gridSpan w:val="6"/>
            <w:tcBorders/>
            <w:shd w:fill="auto" w:val="clear"/>
            <w:vAlign w:val="center"/>
          </w:tcPr>
          <w:p>
            <w:pPr>
              <w:pStyle w:val="TableContents"/>
              <w:spacing w:before="0" w:after="283"/>
              <w:rPr/>
            </w:pPr>
            <w:r>
              <w:rPr/>
              <w:t> </w:t>
            </w:r>
            <w:hyperlink w:anchor="h48485exv32w2.htm">
              <w:r>
                <w:rPr>
                  <w:rStyle w:val="InternetLink"/>
                  <w:sz w:val="20"/>
                </w:rPr>
                <w:t>Certification of Principal Financial Officer</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1. UNAUDITED CONDENSED CONSOLIDATED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CONDENSED CONSOLIDATED BALANCE SHEETS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 except units)</w:t>
      </w:r>
    </w:p>
    <w:tbl>
      <w:tblPr>
        <w:tblW w:w="5000" w:type="pct"/>
        <w:jc w:val="center"/>
        <w:tblInd w:w="0" w:type="dxa"/>
        <w:tblCellMar>
          <w:top w:w="0" w:type="dxa"/>
          <w:left w:w="0" w:type="dxa"/>
          <w:bottom w:w="0" w:type="dxa"/>
          <w:right w:w="0" w:type="dxa"/>
        </w:tblCellMar>
      </w:tblPr>
      <w:tblGrid>
        <w:gridCol w:w="6274"/>
        <w:gridCol w:w="365"/>
        <w:gridCol w:w="238"/>
        <w:gridCol w:w="1247"/>
        <w:gridCol w:w="135"/>
        <w:gridCol w:w="365"/>
        <w:gridCol w:w="232"/>
        <w:gridCol w:w="1209"/>
        <w:gridCol w:w="140"/>
      </w:tblGrid>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85" w:type="dxa"/>
            <w:gridSpan w:val="2"/>
            <w:tcBorders/>
            <w:shd w:fill="auto" w:val="clear"/>
            <w:vAlign w:val="bottom"/>
          </w:tcPr>
          <w:p>
            <w:pPr>
              <w:pStyle w:val="TableContents"/>
              <w:spacing w:before="0" w:after="283"/>
              <w:jc w:val="center"/>
              <w:rPr/>
            </w:pPr>
            <w:r>
              <w:rPr/>
              <w:t>     </w:t>
            </w:r>
            <w:r>
              <w:rPr>
                <w:b/>
              </w:rPr>
              <w:t>June 30,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December 31,</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426" w:type="dxa"/>
            <w:gridSpan w:val="6"/>
            <w:tcBorders/>
            <w:shd w:fill="auto" w:val="clear"/>
            <w:vAlign w:val="bottom"/>
          </w:tcPr>
          <w:p>
            <w:pPr>
              <w:pStyle w:val="TableContents"/>
              <w:spacing w:before="0" w:after="283"/>
              <w:jc w:val="center"/>
              <w:rPr>
                <w:b/>
              </w:rPr>
            </w:pPr>
            <w:r>
              <w:rPr>
                <w:b/>
              </w:rPr>
              <w:t>(unaudited)</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900" w:right="0" w:hanging="225"/>
              <w:jc w:val="center"/>
              <w:rPr>
                <w:b/>
              </w:rPr>
            </w:pPr>
            <w:r>
              <w:rPr>
                <w:b/>
              </w:rPr>
              <w:t>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CURRENT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Cash and cash equivalents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247" w:type="dxa"/>
            <w:tcBorders/>
            <w:shd w:fill="CCEEFF" w:val="clear"/>
            <w:vAlign w:val="bottom"/>
          </w:tcPr>
          <w:p>
            <w:pPr>
              <w:pStyle w:val="TableContents"/>
              <w:spacing w:before="0" w:after="283"/>
              <w:jc w:val="right"/>
              <w:rPr/>
            </w:pPr>
            <w:r>
              <w:rPr/>
              <w:t>44.6</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11.3</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Trade accounts receivable and other receivables, net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1,716.3</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1,725.4</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Inventory</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1,585.8</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1,290.0</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current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115.7</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130.9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current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3,462.4</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3,157.6</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PROPERTY AND EQUIPMENT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4,517.8</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4,190.1</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Accumulated depreciation</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pPr>
            <w:r>
              <w:rPr/>
              <w:t>(431.0</w:t>
            </w:r>
          </w:p>
        </w:tc>
        <w:tc>
          <w:tcPr>
            <w:tcW w:w="135" w:type="dxa"/>
            <w:tcBorders/>
            <w:shd w:fill="CCEEFF" w:val="clear"/>
            <w:vAlign w:val="bottom"/>
          </w:tcPr>
          <w:p>
            <w:pPr>
              <w:pStyle w:val="TableContents"/>
              <w:spacing w:before="0" w:after="283"/>
              <w:rPr/>
            </w:pPr>
            <w:r>
              <w:rPr/>
              <w:t>)</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 </w:t>
            </w:r>
          </w:p>
        </w:tc>
        <w:tc>
          <w:tcPr>
            <w:tcW w:w="1209" w:type="dxa"/>
            <w:tcBorders/>
            <w:shd w:fill="CCEEFF" w:val="clear"/>
            <w:vAlign w:val="bottom"/>
          </w:tcPr>
          <w:p>
            <w:pPr>
              <w:pStyle w:val="TableContents"/>
              <w:spacing w:before="0" w:after="283"/>
              <w:jc w:val="right"/>
              <w:rPr/>
            </w:pPr>
            <w:r>
              <w:rPr/>
              <w:t>(348.1</w:t>
            </w:r>
          </w:p>
        </w:tc>
        <w:tc>
          <w:tcPr>
            <w:tcW w:w="140" w:type="dxa"/>
            <w:tcBorders/>
            <w:shd w:fill="CCEEFF" w:val="clear"/>
            <w:vAlign w:val="bottom"/>
          </w:tcPr>
          <w:p>
            <w:pPr>
              <w:pStyle w:val="TableContents"/>
              <w:spacing w:before="0" w:after="283"/>
              <w:rPr/>
            </w:pPr>
            <w:r>
              <w:rPr/>
              <w:t>)</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4,086.8</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3,842.0</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OTHER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Pipeline linefill in owned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248.3</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265.5</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Inventory in third-party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64.1</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75.7</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Investment in unconsolidated entities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200.1</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183.0</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Goodwill</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1,045.5</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1,026.2</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net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157.0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164.9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247" w:type="dxa"/>
            <w:tcBorders/>
            <w:shd w:fill="CCEEFF" w:val="clear"/>
            <w:vAlign w:val="bottom"/>
          </w:tcPr>
          <w:p>
            <w:pPr>
              <w:pStyle w:val="TableContents"/>
              <w:spacing w:before="0" w:after="283"/>
              <w:jc w:val="right"/>
              <w:rPr/>
            </w:pPr>
            <w:r>
              <w:rPr/>
              <w:t>9,264.2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8,714.9</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675" w:right="0" w:hanging="225"/>
              <w:jc w:val="center"/>
              <w:rPr>
                <w:b/>
              </w:rPr>
            </w:pPr>
            <w:r>
              <w:rPr>
                <w:b/>
              </w:rPr>
              <w:t>LIABILITIES AND 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CURRENT LIABILITIES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Accounts payable and accrued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247" w:type="dxa"/>
            <w:tcBorders/>
            <w:shd w:fill="auto" w:val="clear"/>
            <w:vAlign w:val="bottom"/>
          </w:tcPr>
          <w:p>
            <w:pPr>
              <w:pStyle w:val="TableContents"/>
              <w:spacing w:before="0" w:after="283"/>
              <w:jc w:val="right"/>
              <w:rPr/>
            </w:pPr>
            <w:r>
              <w:rPr/>
              <w:t>2,053.8</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1,846.6</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Short-term debt</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890.9</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1,001.2</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current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171.0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176.9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current liabilities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3,115.7</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3,024.7</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LONG-TERM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Long-term debt under credit facilities and other</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Senior notes, net of unamortized net discount of $1.9 and $1.8, respectively</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2,623.1</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2,623.2</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Other long-term liabilities and deferred credits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124.6</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87.1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Total long-term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2,748.9</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2,713.4</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COMMITMENTS AND CONTINGENCIES (NOTE 12)</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Common unitholders (115,981,676 and 109,405,178 units outstanding at June 30, 2007 and December 31, 2006, respectively)</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3,320.3</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2,906.1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General partner</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79.3</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70.7</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partners capital</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3,399.6</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2,976.8</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Total liabilities and 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247" w:type="dxa"/>
            <w:tcBorders/>
            <w:shd w:fill="auto" w:val="clear"/>
            <w:vAlign w:val="bottom"/>
          </w:tcPr>
          <w:p>
            <w:pPr>
              <w:pStyle w:val="TableContents"/>
              <w:spacing w:before="0" w:after="283"/>
              <w:jc w:val="right"/>
              <w:rPr/>
            </w:pPr>
            <w:r>
              <w:rPr/>
              <w:t>9,264.2</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8,714.9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CONDENSED CONSOLIDATED STATEMENTS OF OPERATIONS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 except per unit data)</w:t>
      </w:r>
    </w:p>
    <w:tbl>
      <w:tblPr>
        <w:tblW w:w="5000" w:type="pct"/>
        <w:jc w:val="center"/>
        <w:tblInd w:w="0" w:type="dxa"/>
        <w:tblCellMar>
          <w:top w:w="0" w:type="dxa"/>
          <w:left w:w="0" w:type="dxa"/>
          <w:bottom w:w="0" w:type="dxa"/>
          <w:right w:w="0" w:type="dxa"/>
        </w:tblCellMar>
      </w:tblPr>
      <w:tblGrid>
        <w:gridCol w:w="4391"/>
        <w:gridCol w:w="326"/>
        <w:gridCol w:w="165"/>
        <w:gridCol w:w="860"/>
        <w:gridCol w:w="130"/>
        <w:gridCol w:w="332"/>
        <w:gridCol w:w="165"/>
        <w:gridCol w:w="863"/>
        <w:gridCol w:w="121"/>
        <w:gridCol w:w="326"/>
        <w:gridCol w:w="151"/>
        <w:gridCol w:w="784"/>
        <w:gridCol w:w="121"/>
        <w:gridCol w:w="325"/>
        <w:gridCol w:w="151"/>
        <w:gridCol w:w="865"/>
        <w:gridCol w:w="129"/>
      </w:tblGrid>
      <w:tr>
        <w:trPr/>
        <w:tc>
          <w:tcPr>
            <w:tcW w:w="439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515" w:type="dxa"/>
            <w:gridSpan w:val="6"/>
            <w:tcBorders/>
            <w:shd w:fill="auto" w:val="clear"/>
            <w:vAlign w:val="bottom"/>
          </w:tcPr>
          <w:p>
            <w:pPr>
              <w:pStyle w:val="TableContents"/>
              <w:spacing w:before="0" w:after="283"/>
              <w:jc w:val="center"/>
              <w:rPr>
                <w:b/>
              </w:rPr>
            </w:pPr>
            <w:r>
              <w:rPr>
                <w:b/>
              </w:rPr>
              <w:t>Three Months Ended</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397" w:type="dxa"/>
            <w:gridSpan w:val="6"/>
            <w:tcBorders/>
            <w:shd w:fill="auto" w:val="clear"/>
            <w:vAlign w:val="bottom"/>
          </w:tcPr>
          <w:p>
            <w:pPr>
              <w:pStyle w:val="TableContents"/>
              <w:spacing w:before="0" w:after="283"/>
              <w:jc w:val="center"/>
              <w:rPr>
                <w:b/>
              </w:rPr>
            </w:pPr>
            <w:r>
              <w:rPr>
                <w:b/>
              </w:rPr>
              <w:t>Six Months Ended</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51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39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515" w:type="dxa"/>
            <w:gridSpan w:val="6"/>
            <w:tcBorders/>
            <w:shd w:fill="auto" w:val="clear"/>
            <w:vAlign w:val="bottom"/>
          </w:tcPr>
          <w:p>
            <w:pPr>
              <w:pStyle w:val="TableContents"/>
              <w:spacing w:before="0" w:after="283"/>
              <w:jc w:val="center"/>
              <w:rPr>
                <w:b/>
              </w:rPr>
            </w:pPr>
            <w:r>
              <w:rPr>
                <w:b/>
              </w:rPr>
              <w:t>(unaudited)</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397" w:type="dxa"/>
            <w:gridSpan w:val="6"/>
            <w:tcBorders/>
            <w:shd w:fill="auto" w:val="clear"/>
            <w:vAlign w:val="bottom"/>
          </w:tcPr>
          <w:p>
            <w:pPr>
              <w:pStyle w:val="TableContents"/>
              <w:spacing w:before="0" w:after="283"/>
              <w:jc w:val="center"/>
              <w:rPr>
                <w:b/>
              </w:rPr>
            </w:pPr>
            <w:r>
              <w:rPr>
                <w:b/>
              </w:rPr>
              <w:t>(unaudited)</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REVENUES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Crude oil, refined products and LPG sales and related revenues (includes buy/sell transactions of $4,761.9 in the first three months of 2006)</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3,792.0</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4,819.1</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784" w:type="dxa"/>
            <w:tcBorders/>
            <w:shd w:fill="auto" w:val="clear"/>
            <w:vAlign w:val="bottom"/>
          </w:tcPr>
          <w:p>
            <w:pPr>
              <w:pStyle w:val="TableContents"/>
              <w:spacing w:before="0" w:after="283"/>
              <w:jc w:val="right"/>
              <w:rPr/>
            </w:pPr>
            <w:r>
              <w:rPr/>
              <w:t>7,908.7</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13,394.4</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Pipeline tariff activities revenues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92.8</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69.6</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179.5</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127.0</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Other revenues</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33.0</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3.3</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59.1</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5.7</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450" w:right="0" w:hanging="225"/>
              <w:rPr/>
            </w:pPr>
            <w:r>
              <w:rPr/>
              <w:t>Total revenues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3,917.8</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4,892.0</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8,147.3</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13,527.1</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b/>
              </w:rPr>
            </w:pPr>
            <w:r>
              <w:rPr>
                <w:b/>
              </w:rPr>
              <w:t>COSTS AND EXPENSES</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Crude oil, refined products and LPG purchases and related costs (includes buy/sell transactions of $4,795.1 in the first three months of 2006)</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3,529.6</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4,657.3</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7,429.2</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13,081.8</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Field operating costs</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135.7</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89.4</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261.4</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174.6</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General and administrative expenses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47.7</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27.4</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94.5</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59.2</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Depreciation and amortization</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52.1</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21.3</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92.0</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42.9</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450" w:right="0" w:hanging="225"/>
              <w:rPr/>
            </w:pPr>
            <w:r>
              <w:rPr/>
              <w:t>Total costs and expenses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3,765.1</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4,795.4</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7,877.1</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13,358.5</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b/>
              </w:rPr>
            </w:pPr>
            <w:r>
              <w:rPr>
                <w:b/>
              </w:rPr>
              <w:t>OPERATING INCOME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152.7</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96.6</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270.2</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168.6</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OTHER INCOME/(EXPENSE)</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Equity earnings in unconsolidated entities</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5.0</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1.6</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8.6</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1.7</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Interest expense (net of capitalized interest of $2.9 million and $0.9 million in the three months and $5.7 and $1.7 million in the six months ended June 30, 2007 and 2006, respectively)</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(41.2</w:t>
            </w:r>
          </w:p>
        </w:tc>
        <w:tc>
          <w:tcPr>
            <w:tcW w:w="130"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63" w:type="dxa"/>
            <w:tcBorders/>
            <w:shd w:fill="CCEEFF" w:val="clear"/>
            <w:vAlign w:val="bottom"/>
          </w:tcPr>
          <w:p>
            <w:pPr>
              <w:pStyle w:val="TableContents"/>
              <w:spacing w:before="0" w:after="283"/>
              <w:jc w:val="right"/>
              <w:rPr/>
            </w:pPr>
            <w:r>
              <w:rPr/>
              <w:t>(18.0</w:t>
            </w:r>
          </w:p>
        </w:tc>
        <w:tc>
          <w:tcPr>
            <w:tcW w:w="121" w:type="dxa"/>
            <w:tcBorders/>
            <w:shd w:fill="CCEEFF" w:val="clear"/>
            <w:vAlign w:val="bottom"/>
          </w:tcPr>
          <w:p>
            <w:pPr>
              <w:pStyle w:val="TableContents"/>
              <w:spacing w:before="0" w:after="283"/>
              <w:rPr/>
            </w:pPr>
            <w:r>
              <w:rPr/>
              <w:t>)</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pPr>
            <w:r>
              <w:rPr/>
              <w:t>(82.3</w:t>
            </w:r>
          </w:p>
        </w:tc>
        <w:tc>
          <w:tcPr>
            <w:tcW w:w="121"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(33.3</w:t>
            </w:r>
          </w:p>
        </w:tc>
        <w:tc>
          <w:tcPr>
            <w:tcW w:w="129" w:type="dxa"/>
            <w:tcBorders/>
            <w:shd w:fill="CCEEFF" w:val="clear"/>
            <w:vAlign w:val="bottom"/>
          </w:tcPr>
          <w:p>
            <w:pPr>
              <w:pStyle w:val="TableContents"/>
              <w:spacing w:before="0" w:after="283"/>
              <w:rPr/>
            </w:pPr>
            <w:r>
              <w:rPr/>
              <w:t>)</w:t>
            </w:r>
          </w:p>
        </w:tc>
      </w:tr>
      <w:tr>
        <w:trPr/>
        <w:tc>
          <w:tcPr>
            <w:tcW w:w="4391" w:type="dxa"/>
            <w:tcBorders/>
            <w:shd w:fill="auto" w:val="clear"/>
            <w:vAlign w:val="bottom"/>
          </w:tcPr>
          <w:p>
            <w:pPr>
              <w:pStyle w:val="TableContents"/>
              <w:spacing w:before="0" w:after="0"/>
              <w:ind w:left="225" w:right="0" w:hanging="225"/>
              <w:rPr/>
            </w:pPr>
            <w:r>
              <w:rPr/>
              <w:t>Interest income and other income (expense), net</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0.4</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0.1</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5.2</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0.4</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Income before tax</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116.9</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80.3</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pPr>
            <w:r>
              <w:rPr/>
              <w:t>201.7</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137.4</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Current income tax expense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(0.7</w:t>
            </w:r>
          </w:p>
        </w:tc>
        <w:tc>
          <w:tcPr>
            <w:tcW w:w="130" w:type="dxa"/>
            <w:tcBorders/>
            <w:shd w:fill="auto" w:val="clear"/>
            <w:vAlign w:val="bottom"/>
          </w:tcPr>
          <w:p>
            <w:pPr>
              <w:pStyle w:val="TableContents"/>
              <w:spacing w:before="0" w:after="283"/>
              <w:rPr/>
            </w:pPr>
            <w:r>
              <w:rPr/>
              <w:t>)</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(0.8</w:t>
            </w:r>
          </w:p>
        </w:tc>
        <w:tc>
          <w:tcPr>
            <w:tcW w:w="121"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Deferred income tax expense</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(11.4</w:t>
            </w:r>
          </w:p>
        </w:tc>
        <w:tc>
          <w:tcPr>
            <w:tcW w:w="130" w:type="dxa"/>
            <w:tcBorders/>
            <w:shd w:fill="CCEEFF" w:val="clear"/>
            <w:vAlign w:val="bottom"/>
          </w:tcPr>
          <w:p>
            <w:pPr>
              <w:pStyle w:val="TableContents"/>
              <w:spacing w:before="0" w:after="283"/>
              <w:rPr/>
            </w:pPr>
            <w:r>
              <w:rPr/>
              <w:t>)</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(11.4</w:t>
            </w:r>
          </w:p>
        </w:tc>
        <w:tc>
          <w:tcPr>
            <w:tcW w:w="121"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104.8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80.3</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189.5</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137.4</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Cumulative effect of change in accounting principle</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6.3</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b/>
              </w:rPr>
            </w:pPr>
            <w:r>
              <w:rPr>
                <w:b/>
              </w:rPr>
              <w:t>NET INCOME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w:t>
            </w:r>
          </w:p>
        </w:tc>
        <w:tc>
          <w:tcPr>
            <w:tcW w:w="860" w:type="dxa"/>
            <w:tcBorders/>
            <w:shd w:fill="auto" w:val="clear"/>
            <w:vAlign w:val="bottom"/>
          </w:tcPr>
          <w:p>
            <w:pPr>
              <w:pStyle w:val="TableContents"/>
              <w:spacing w:before="0" w:after="283"/>
              <w:jc w:val="right"/>
              <w:rPr/>
            </w:pPr>
            <w:r>
              <w:rPr/>
              <w:t>104.8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w:t>
            </w:r>
          </w:p>
        </w:tc>
        <w:tc>
          <w:tcPr>
            <w:tcW w:w="863" w:type="dxa"/>
            <w:tcBorders/>
            <w:shd w:fill="auto" w:val="clear"/>
            <w:vAlign w:val="bottom"/>
          </w:tcPr>
          <w:p>
            <w:pPr>
              <w:pStyle w:val="TableContents"/>
              <w:spacing w:before="0" w:after="283"/>
              <w:jc w:val="right"/>
              <w:rPr/>
            </w:pPr>
            <w:r>
              <w:rPr/>
              <w:t>80.3</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784" w:type="dxa"/>
            <w:tcBorders/>
            <w:shd w:fill="auto" w:val="clear"/>
            <w:vAlign w:val="bottom"/>
          </w:tcPr>
          <w:p>
            <w:pPr>
              <w:pStyle w:val="TableContents"/>
              <w:spacing w:before="0" w:after="283"/>
              <w:jc w:val="right"/>
              <w:rPr/>
            </w:pPr>
            <w:r>
              <w:rPr/>
              <w:t>189.5</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143.7</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NET INCOME-LIMITED PARTNERS</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86.3</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71.4</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784" w:type="dxa"/>
            <w:tcBorders/>
            <w:shd w:fill="CCEEFF" w:val="clear"/>
            <w:vAlign w:val="bottom"/>
          </w:tcPr>
          <w:p>
            <w:pPr>
              <w:pStyle w:val="TableContents"/>
              <w:spacing w:before="0" w:after="283"/>
              <w:jc w:val="right"/>
              <w:rPr/>
            </w:pPr>
            <w:r>
              <w:rPr/>
              <w:t>154.4</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128.2</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b/>
              </w:rPr>
            </w:pPr>
            <w:r>
              <w:rPr>
                <w:b/>
              </w:rPr>
              <w:t>NET INCOME-GENERAL PARTNER</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18.5</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8.9</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84" w:type="dxa"/>
            <w:tcBorders/>
            <w:shd w:fill="auto" w:val="clear"/>
            <w:vAlign w:val="bottom"/>
          </w:tcPr>
          <w:p>
            <w:pPr>
              <w:pStyle w:val="TableContents"/>
              <w:spacing w:before="0" w:after="283"/>
              <w:jc w:val="right"/>
              <w:rPr/>
            </w:pPr>
            <w:r>
              <w:rPr/>
              <w:t>35.1</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15.5</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BASIC NET INCOME PER LIMITED PARTNER UNIT</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0.78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0.82</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84" w:type="dxa"/>
            <w:tcBorders/>
            <w:shd w:fill="auto" w:val="clear"/>
            <w:vAlign w:val="bottom"/>
          </w:tcPr>
          <w:p>
            <w:pPr>
              <w:pStyle w:val="TableContents"/>
              <w:spacing w:before="0" w:after="283"/>
              <w:jc w:val="right"/>
              <w:rPr/>
            </w:pPr>
            <w:r>
              <w:rPr/>
              <w:t>1.40</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1.47</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Cumulative effect of change in accounting principle</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0.08</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Net income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0.78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0.82</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84" w:type="dxa"/>
            <w:tcBorders/>
            <w:shd w:fill="auto" w:val="clear"/>
            <w:vAlign w:val="bottom"/>
          </w:tcPr>
          <w:p>
            <w:pPr>
              <w:pStyle w:val="TableContents"/>
              <w:spacing w:before="0" w:after="283"/>
              <w:jc w:val="right"/>
              <w:rPr/>
            </w:pPr>
            <w:r>
              <w:rPr/>
              <w:t>1.40</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1.55</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DILUTED NET INCOME PER LIMITED PARTNER UNIT</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0.78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0.81</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84" w:type="dxa"/>
            <w:tcBorders/>
            <w:shd w:fill="auto" w:val="clear"/>
            <w:vAlign w:val="bottom"/>
          </w:tcPr>
          <w:p>
            <w:pPr>
              <w:pStyle w:val="TableContents"/>
              <w:spacing w:before="0" w:after="283"/>
              <w:jc w:val="right"/>
              <w:rPr/>
            </w:pPr>
            <w:r>
              <w:rPr/>
              <w:t>1.39</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1.45</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Cumulative effect of change in accounting principle</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0.08</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Net income</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0.78</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63" w:type="dxa"/>
            <w:tcBorders/>
            <w:shd w:fill="auto" w:val="clear"/>
            <w:vAlign w:val="bottom"/>
          </w:tcPr>
          <w:p>
            <w:pPr>
              <w:pStyle w:val="TableContents"/>
              <w:spacing w:before="0" w:after="283"/>
              <w:jc w:val="right"/>
              <w:rPr/>
            </w:pPr>
            <w:r>
              <w:rPr/>
              <w:t>0.81</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784" w:type="dxa"/>
            <w:tcBorders/>
            <w:shd w:fill="auto" w:val="clear"/>
            <w:vAlign w:val="bottom"/>
          </w:tcPr>
          <w:p>
            <w:pPr>
              <w:pStyle w:val="TableContents"/>
              <w:spacing w:before="0" w:after="283"/>
              <w:jc w:val="right"/>
              <w:rPr/>
            </w:pPr>
            <w:r>
              <w:rPr/>
              <w:t>1.39</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1.53</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b/>
              </w:rPr>
            </w:pPr>
            <w:r>
              <w:rPr>
                <w:b/>
              </w:rPr>
              <w:t>BASIC WEIGHTED AVERAGE UNITS OUTSTANDING</w:t>
            </w:r>
          </w:p>
        </w:tc>
        <w:tc>
          <w:tcPr>
            <w:tcW w:w="32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110.5</w:t>
            </w:r>
          </w:p>
        </w:tc>
        <w:tc>
          <w:tcPr>
            <w:tcW w:w="1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77.0</w:t>
            </w:r>
          </w:p>
        </w:tc>
        <w:tc>
          <w:tcPr>
            <w:tcW w:w="1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109.9</w:t>
            </w:r>
          </w:p>
        </w:tc>
        <w:tc>
          <w:tcPr>
            <w:tcW w:w="12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75.5</w:t>
            </w:r>
          </w:p>
        </w:tc>
        <w:tc>
          <w:tcPr>
            <w:tcW w:w="129" w:type="dxa"/>
            <w:tcBorders/>
            <w:shd w:fill="CCEEFF"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 </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b/>
              </w:rPr>
            </w:pPr>
            <w:r>
              <w:rPr>
                <w:b/>
              </w:rPr>
              <w:t>DILUTED WEIGHTED AVERAGE UNITS OUTSTANDING</w:t>
            </w:r>
          </w:p>
        </w:tc>
        <w:tc>
          <w:tcPr>
            <w:tcW w:w="32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111.2</w:t>
            </w:r>
          </w:p>
        </w:tc>
        <w:tc>
          <w:tcPr>
            <w:tcW w:w="13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77.8</w:t>
            </w:r>
          </w:p>
        </w:tc>
        <w:tc>
          <w:tcPr>
            <w:tcW w:w="1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110.9</w:t>
            </w:r>
          </w:p>
        </w:tc>
        <w:tc>
          <w:tcPr>
            <w:tcW w:w="12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76.3</w:t>
            </w:r>
          </w:p>
        </w:tc>
        <w:tc>
          <w:tcPr>
            <w:tcW w:w="129"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2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0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CONDENSED CONSOLIDATED STATEMENTS OF CASH FLOWS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7144"/>
        <w:gridCol w:w="458"/>
        <w:gridCol w:w="153"/>
        <w:gridCol w:w="740"/>
        <w:gridCol w:w="132"/>
        <w:gridCol w:w="458"/>
        <w:gridCol w:w="153"/>
        <w:gridCol w:w="830"/>
        <w:gridCol w:w="137"/>
      </w:tblGrid>
      <w:tr>
        <w:trPr/>
        <w:tc>
          <w:tcPr>
            <w:tcW w:w="714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466" w:type="dxa"/>
            <w:gridSpan w:val="6"/>
            <w:tcBorders/>
            <w:shd w:fill="auto" w:val="clear"/>
            <w:vAlign w:val="bottom"/>
          </w:tcPr>
          <w:p>
            <w:pPr>
              <w:pStyle w:val="TableContents"/>
              <w:spacing w:before="0" w:after="283"/>
              <w:jc w:val="center"/>
              <w:rPr>
                <w:b/>
              </w:rPr>
            </w:pPr>
            <w:r>
              <w:rPr>
                <w:b/>
              </w:rPr>
              <w:t>Six Months Ended</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46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466" w:type="dxa"/>
            <w:gridSpan w:val="6"/>
            <w:tcBorders/>
            <w:shd w:fill="auto" w:val="clear"/>
            <w:vAlign w:val="bottom"/>
          </w:tcPr>
          <w:p>
            <w:pPr>
              <w:pStyle w:val="TableContents"/>
              <w:spacing w:before="0" w:after="283"/>
              <w:jc w:val="center"/>
              <w:rPr>
                <w:b/>
              </w:rPr>
            </w:pPr>
            <w:r>
              <w:rPr>
                <w:b/>
              </w:rPr>
              <w:t>(unaudited)</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b/>
              </w:rPr>
            </w:pPr>
            <w:r>
              <w:rPr>
                <w:b/>
              </w:rPr>
              <w:t>CASH FLOWS FROM OPERATING ACTIVITIES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Net income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740" w:type="dxa"/>
            <w:tcBorders/>
            <w:shd w:fill="auto" w:val="clear"/>
            <w:vAlign w:val="bottom"/>
          </w:tcPr>
          <w:p>
            <w:pPr>
              <w:pStyle w:val="TableContents"/>
              <w:spacing w:before="0" w:after="283"/>
              <w:jc w:val="right"/>
              <w:rPr/>
            </w:pPr>
            <w:r>
              <w:rPr/>
              <w:t>189.5</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143.7</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450" w:right="0" w:hanging="225"/>
              <w:rPr/>
            </w:pPr>
            <w:r>
              <w:rPr/>
              <w:t>Depreciation and amortization</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92.0</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42.9</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Cumulative effect of change in accounting principle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(6.3</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450" w:right="0" w:hanging="225"/>
              <w:rPr/>
            </w:pPr>
            <w:r>
              <w:rPr/>
              <w:t>SFAS 133 mark-to-market adjustment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3.1</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Inventory valuation adjustment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0.6</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450" w:right="0" w:hanging="225"/>
              <w:rPr/>
            </w:pPr>
            <w:r>
              <w:rPr/>
              <w:t>Gain on sale of investment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(3.9</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Long-Term Incentive Plan (LTIP) charge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40.4</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16.8</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450" w:right="0" w:hanging="225"/>
              <w:rPr/>
            </w:pPr>
            <w:r>
              <w:rPr/>
              <w:t>Income tax expense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12.2</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Noncash amortization of terminated interest rate hedging instruments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0.4</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0.8</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450" w:right="0" w:hanging="225"/>
              <w:rPr/>
            </w:pPr>
            <w:r>
              <w:rPr/>
              <w:t>(Gain)/loss on foreign currency revaluation</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(2.0</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1.8</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Equity earnings in unconsolidated entities, net of distributions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(7.8</w:t>
            </w:r>
          </w:p>
        </w:tc>
        <w:tc>
          <w:tcPr>
            <w:tcW w:w="132"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(1.7</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Changes in assets and liabilities, net of acquisitions: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Trade accounts receivable and other</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36.1</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(1,088.0</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450" w:right="0" w:hanging="225"/>
              <w:rPr/>
            </w:pPr>
            <w:r>
              <w:rPr/>
              <w:t>Inventory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(235.4</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(214.3</w:t>
            </w:r>
          </w:p>
        </w:tc>
        <w:tc>
          <w:tcPr>
            <w:tcW w:w="137" w:type="dxa"/>
            <w:tcBorders/>
            <w:shd w:fill="auto" w:val="clear"/>
            <w:vAlign w:val="bottom"/>
          </w:tcPr>
          <w:p>
            <w:pPr>
              <w:pStyle w:val="TableContents"/>
              <w:spacing w:before="0" w:after="283"/>
              <w:rPr/>
            </w:pPr>
            <w:r>
              <w:rPr/>
              <w:t>)</w:t>
            </w:r>
          </w:p>
        </w:tc>
      </w:tr>
      <w:tr>
        <w:trPr/>
        <w:tc>
          <w:tcPr>
            <w:tcW w:w="7144" w:type="dxa"/>
            <w:tcBorders/>
            <w:shd w:fill="CCEEFF" w:val="clear"/>
            <w:vAlign w:val="bottom"/>
          </w:tcPr>
          <w:p>
            <w:pPr>
              <w:pStyle w:val="TableContents"/>
              <w:spacing w:before="0" w:after="0"/>
              <w:ind w:left="450" w:right="0" w:hanging="225"/>
              <w:rPr/>
            </w:pPr>
            <w:r>
              <w:rPr/>
              <w:t>Accounts payable and other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146.4</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464.5</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450" w:right="0" w:hanging="225"/>
              <w:rPr/>
            </w:pPr>
            <w:r>
              <w:rPr/>
              <w:t>Inventory in third party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0.1</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450" w:right="0" w:hanging="225"/>
              <w:rPr/>
            </w:pPr>
            <w:r>
              <w:rPr/>
              <w:t>Due to related parties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1.8</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(6.0</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675" w:right="0" w:hanging="225"/>
              <w:rPr/>
            </w:pPr>
            <w:r>
              <w:rPr/>
              <w:t>Net cash provided by (used in) operating activities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272.5</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(642.7</w:t>
            </w:r>
          </w:p>
        </w:tc>
        <w:tc>
          <w:tcPr>
            <w:tcW w:w="137" w:type="dxa"/>
            <w:tcBorders/>
            <w:shd w:fill="auto" w:val="clear"/>
            <w:vAlign w:val="bottom"/>
          </w:tcPr>
          <w:p>
            <w:pPr>
              <w:pStyle w:val="TableContents"/>
              <w:spacing w:before="0" w:after="283"/>
              <w:rPr/>
            </w:pPr>
            <w:r>
              <w:rPr/>
              <w:t>)</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b/>
              </w:rPr>
            </w:pPr>
            <w:r>
              <w:rPr>
                <w:b/>
              </w:rPr>
              <w:t>CASH FLOWS FROM INVESTING ACTIVITIES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Cash paid in connection with acquisitions (Note 3)</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(17.5</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(359.8</w:t>
            </w:r>
          </w:p>
        </w:tc>
        <w:tc>
          <w:tcPr>
            <w:tcW w:w="137" w:type="dxa"/>
            <w:tcBorders/>
            <w:shd w:fill="auto" w:val="clear"/>
            <w:vAlign w:val="bottom"/>
          </w:tcPr>
          <w:p>
            <w:pPr>
              <w:pStyle w:val="TableContents"/>
              <w:spacing w:before="0" w:after="283"/>
              <w:rPr/>
            </w:pPr>
            <w:r>
              <w:rPr/>
              <w:t>)</w:t>
            </w:r>
          </w:p>
        </w:tc>
      </w:tr>
      <w:tr>
        <w:trPr/>
        <w:tc>
          <w:tcPr>
            <w:tcW w:w="7144" w:type="dxa"/>
            <w:tcBorders/>
            <w:shd w:fill="CCEEFF" w:val="clear"/>
            <w:vAlign w:val="bottom"/>
          </w:tcPr>
          <w:p>
            <w:pPr>
              <w:pStyle w:val="TableContents"/>
              <w:spacing w:before="0" w:after="0"/>
              <w:ind w:left="225" w:right="0" w:hanging="225"/>
              <w:rPr/>
            </w:pPr>
            <w:r>
              <w:rPr/>
              <w:t>Additions to property and equipment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(266.9</w:t>
            </w:r>
          </w:p>
        </w:tc>
        <w:tc>
          <w:tcPr>
            <w:tcW w:w="132"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(121.6</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Investment in unconsolidated entities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(9.3</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(10.0</w:t>
            </w:r>
          </w:p>
        </w:tc>
        <w:tc>
          <w:tcPr>
            <w:tcW w:w="137" w:type="dxa"/>
            <w:tcBorders/>
            <w:shd w:fill="auto" w:val="clear"/>
            <w:vAlign w:val="bottom"/>
          </w:tcPr>
          <w:p>
            <w:pPr>
              <w:pStyle w:val="TableContents"/>
              <w:spacing w:before="0" w:after="283"/>
              <w:rPr/>
            </w:pPr>
            <w:r>
              <w:rPr/>
              <w:t>)</w:t>
            </w:r>
          </w:p>
        </w:tc>
      </w:tr>
      <w:tr>
        <w:trPr/>
        <w:tc>
          <w:tcPr>
            <w:tcW w:w="7144" w:type="dxa"/>
            <w:tcBorders/>
            <w:shd w:fill="CCEEFF" w:val="clear"/>
            <w:vAlign w:val="bottom"/>
          </w:tcPr>
          <w:p>
            <w:pPr>
              <w:pStyle w:val="TableContents"/>
              <w:spacing w:before="0" w:after="0"/>
              <w:ind w:left="225" w:right="0" w:hanging="225"/>
              <w:rPr/>
            </w:pPr>
            <w:r>
              <w:rPr/>
              <w:t>Cash paid for linefill in assets owned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(14.7</w:t>
            </w:r>
          </w:p>
        </w:tc>
        <w:tc>
          <w:tcPr>
            <w:tcW w:w="132"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(4.8</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Proceeds from sales of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12.6</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3.5</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900" w:right="0" w:hanging="225"/>
              <w:rPr/>
            </w:pPr>
            <w:r>
              <w:rPr/>
              <w:t>Net cash used in investing activities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(295.8</w:t>
            </w:r>
          </w:p>
        </w:tc>
        <w:tc>
          <w:tcPr>
            <w:tcW w:w="132"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(492.7</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b/>
              </w:rPr>
            </w:pPr>
            <w:r>
              <w:rPr>
                <w:b/>
              </w:rPr>
              <w:t>CASH FLOWS FROM FINANCING ACTIVITIES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Net borrowings on long-term revolving credit facility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54.6</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Net borrowings/(repayments) on working capital revolving credit facility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(175.1</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229.9</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Net borrowings on short-term letter of credit and hedged inventory facility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52.3</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579.4</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Proceeds from issuance of senior notes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249.5</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Net proceeds from the issuance of common units (Note 7)</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382.5</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152.4</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Distributions paid to common unitholders (Note 7)</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(176.4</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(105.3</w:t>
            </w:r>
          </w:p>
        </w:tc>
        <w:tc>
          <w:tcPr>
            <w:tcW w:w="137" w:type="dxa"/>
            <w:tcBorders/>
            <w:shd w:fill="auto" w:val="clear"/>
            <w:vAlign w:val="bottom"/>
          </w:tcPr>
          <w:p>
            <w:pPr>
              <w:pStyle w:val="TableContents"/>
              <w:spacing w:before="0" w:after="283"/>
              <w:rPr/>
            </w:pPr>
            <w:r>
              <w:rPr/>
              <w:t>)</w:t>
            </w:r>
          </w:p>
        </w:tc>
      </w:tr>
      <w:tr>
        <w:trPr/>
        <w:tc>
          <w:tcPr>
            <w:tcW w:w="7144" w:type="dxa"/>
            <w:tcBorders/>
            <w:shd w:fill="CCEEFF" w:val="clear"/>
            <w:vAlign w:val="bottom"/>
          </w:tcPr>
          <w:p>
            <w:pPr>
              <w:pStyle w:val="TableContents"/>
              <w:spacing w:before="0" w:after="0"/>
              <w:ind w:left="225" w:right="0" w:hanging="225"/>
              <w:rPr/>
            </w:pPr>
            <w:r>
              <w:rPr/>
              <w:t>Distributions paid to general partner (Note 7)</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740" w:type="dxa"/>
            <w:tcBorders/>
            <w:shd w:fill="CCEEFF" w:val="clear"/>
            <w:vAlign w:val="bottom"/>
          </w:tcPr>
          <w:p>
            <w:pPr>
              <w:pStyle w:val="TableContents"/>
              <w:spacing w:before="0" w:after="283"/>
              <w:jc w:val="right"/>
              <w:rPr/>
            </w:pPr>
            <w:r>
              <w:rPr/>
              <w:t>(35.6</w:t>
            </w:r>
          </w:p>
        </w:tc>
        <w:tc>
          <w:tcPr>
            <w:tcW w:w="132"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(15.1</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Other financing activities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(0.1</w:t>
            </w:r>
          </w:p>
        </w:tc>
        <w:tc>
          <w:tcPr>
            <w:tcW w:w="132"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(4.4</w:t>
            </w:r>
          </w:p>
        </w:tc>
        <w:tc>
          <w:tcPr>
            <w:tcW w:w="137" w:type="dxa"/>
            <w:tcBorders/>
            <w:shd w:fill="auto" w:val="clear"/>
            <w:vAlign w:val="bottom"/>
          </w:tcPr>
          <w:p>
            <w:pPr>
              <w:pStyle w:val="TableContents"/>
              <w:spacing w:before="0" w:after="283"/>
              <w:rPr/>
            </w:pPr>
            <w:r>
              <w:rPr/>
              <w:t>)</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900" w:right="0" w:hanging="225"/>
              <w:rPr/>
            </w:pPr>
            <w:r>
              <w:rPr/>
              <w:t>Net cash provided by financing activities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47.6</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pPr>
            <w:r>
              <w:rPr/>
              <w:t>1,141.0</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Effect of translation adjustment on cash</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9.0</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pPr>
            <w:r>
              <w:rPr/>
              <w:t>(7.6</w:t>
            </w:r>
          </w:p>
        </w:tc>
        <w:tc>
          <w:tcPr>
            <w:tcW w:w="137" w:type="dxa"/>
            <w:tcBorders/>
            <w:shd w:fill="auto"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Net increase (decrease) in cash and cash equivalents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33.3</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30" w:type="dxa"/>
            <w:tcBorders/>
            <w:shd w:fill="CCEEFF" w:val="clear"/>
            <w:vAlign w:val="bottom"/>
          </w:tcPr>
          <w:p>
            <w:pPr>
              <w:pStyle w:val="TableContents"/>
              <w:spacing w:before="0" w:after="283"/>
              <w:jc w:val="right"/>
              <w:rPr/>
            </w:pPr>
            <w:r>
              <w:rPr/>
              <w:t>(2.0</w:t>
            </w:r>
          </w:p>
        </w:tc>
        <w:tc>
          <w:tcPr>
            <w:tcW w:w="137" w:type="dxa"/>
            <w:tcBorders/>
            <w:shd w:fill="CCEEFF" w:val="clear"/>
            <w:vAlign w:val="bottom"/>
          </w:tcPr>
          <w:p>
            <w:pPr>
              <w:pStyle w:val="TableContents"/>
              <w:spacing w:before="0" w:after="283"/>
              <w:rPr/>
            </w:pPr>
            <w:r>
              <w:rPr/>
              <w:t>)</w:t>
            </w:r>
          </w:p>
        </w:tc>
      </w:tr>
      <w:tr>
        <w:trPr/>
        <w:tc>
          <w:tcPr>
            <w:tcW w:w="7144" w:type="dxa"/>
            <w:tcBorders/>
            <w:shd w:fill="auto" w:val="clear"/>
            <w:vAlign w:val="bottom"/>
          </w:tcPr>
          <w:p>
            <w:pPr>
              <w:pStyle w:val="TableContents"/>
              <w:spacing w:before="0" w:after="0"/>
              <w:ind w:left="225" w:right="0" w:hanging="225"/>
              <w:rPr/>
            </w:pPr>
            <w:r>
              <w:rPr/>
              <w:t>Cash and cash equivalents, beginning of period</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11.3</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9.6</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Cash and cash equivalents, end of period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740" w:type="dxa"/>
            <w:tcBorders/>
            <w:shd w:fill="CCEEFF" w:val="clear"/>
            <w:vAlign w:val="bottom"/>
          </w:tcPr>
          <w:p>
            <w:pPr>
              <w:pStyle w:val="TableContents"/>
              <w:spacing w:before="0" w:after="283"/>
              <w:jc w:val="right"/>
              <w:rPr/>
            </w:pPr>
            <w:r>
              <w:rPr/>
              <w:t>44.6</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7.6</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Cash paid for interest, net of amounts capitalized</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740" w:type="dxa"/>
            <w:tcBorders/>
            <w:shd w:fill="auto" w:val="clear"/>
            <w:vAlign w:val="bottom"/>
          </w:tcPr>
          <w:p>
            <w:pPr>
              <w:pStyle w:val="TableContents"/>
              <w:spacing w:before="0" w:after="283"/>
              <w:jc w:val="right"/>
              <w:rPr/>
            </w:pPr>
            <w:r>
              <w:rPr/>
              <w:t>74.6</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49.7</w:t>
            </w:r>
          </w:p>
        </w:tc>
        <w:tc>
          <w:tcPr>
            <w:tcW w:w="137" w:type="dxa"/>
            <w:tcBorders/>
            <w:shd w:fill="auto"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7144"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7144" w:type="dxa"/>
            <w:tcBorders/>
            <w:shd w:fill="CCEEFF" w:val="clear"/>
            <w:vAlign w:val="bottom"/>
          </w:tcPr>
          <w:p>
            <w:pPr>
              <w:pStyle w:val="TableContents"/>
              <w:spacing w:before="0" w:after="0"/>
              <w:ind w:left="225" w:right="0" w:hanging="225"/>
              <w:rPr/>
            </w:pPr>
            <w:r>
              <w:rPr/>
              <w:t>Cash paid for income taxes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740" w:type="dxa"/>
            <w:tcBorders/>
            <w:shd w:fill="CCEEFF" w:val="clear"/>
            <w:vAlign w:val="bottom"/>
          </w:tcPr>
          <w:p>
            <w:pPr>
              <w:pStyle w:val="TableContents"/>
              <w:spacing w:before="0" w:after="283"/>
              <w:jc w:val="right"/>
              <w:rPr/>
            </w:pPr>
            <w:r>
              <w:rPr/>
              <w:t>2.0</w:t>
            </w:r>
          </w:p>
        </w:tc>
        <w:tc>
          <w:tcPr>
            <w:tcW w:w="13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r>
      <w:tr>
        <w:trPr/>
        <w:tc>
          <w:tcPr>
            <w:tcW w:w="7144" w:type="dxa"/>
            <w:tcBorders/>
            <w:shd w:fill="auto" w:val="clear"/>
            <w:vAlign w:val="center"/>
          </w:tcPr>
          <w:p>
            <w:pPr>
              <w:pStyle w:val="TableContents"/>
              <w:spacing w:before="0" w:after="0"/>
              <w:ind w:left="225" w:right="0" w:hanging="225"/>
              <w:rPr/>
            </w:pPr>
            <w:r>
              <w:rPr/>
              <w:t> </w:t>
            </w:r>
          </w:p>
        </w:tc>
        <w:tc>
          <w:tcPr>
            <w:tcW w:w="458" w:type="dxa"/>
            <w:tcBorders/>
            <w:shd w:fill="auto" w:val="clear"/>
            <w:vAlign w:val="center"/>
          </w:tcPr>
          <w:p>
            <w:pPr>
              <w:pStyle w:val="TableContents"/>
              <w:spacing w:before="0" w:after="283"/>
              <w:rPr/>
            </w:pPr>
            <w:r>
              <w:rPr/>
              <w:t> </w:t>
            </w:r>
          </w:p>
        </w:tc>
        <w:tc>
          <w:tcPr>
            <w:tcW w:w="8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CONDENSED CONSOLIDATED STATEMENT OF PARTNERS CAPITAL</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4351"/>
        <w:gridCol w:w="382"/>
        <w:gridCol w:w="106"/>
        <w:gridCol w:w="698"/>
        <w:gridCol w:w="106"/>
        <w:gridCol w:w="382"/>
        <w:gridCol w:w="157"/>
        <w:gridCol w:w="812"/>
        <w:gridCol w:w="128"/>
        <w:gridCol w:w="382"/>
        <w:gridCol w:w="184"/>
        <w:gridCol w:w="772"/>
        <w:gridCol w:w="127"/>
        <w:gridCol w:w="382"/>
        <w:gridCol w:w="177"/>
        <w:gridCol w:w="921"/>
        <w:gridCol w:w="138"/>
      </w:tblGrid>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Total</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jc w:val="center"/>
              <w:rPr>
                <w:b/>
              </w:rPr>
            </w:pPr>
            <w:r>
              <w:rPr>
                <w:b/>
              </w:rPr>
              <w:t>General</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Partners</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26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Units</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Partner</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Capital</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5334" w:type="dxa"/>
            <w:gridSpan w:val="14"/>
            <w:tcBorders/>
            <w:shd w:fill="auto" w:val="clear"/>
            <w:vAlign w:val="bottom"/>
          </w:tcPr>
          <w:p>
            <w:pPr>
              <w:pStyle w:val="TableContents"/>
              <w:spacing w:before="0" w:after="283"/>
              <w:jc w:val="center"/>
              <w:rPr>
                <w:b/>
              </w:rPr>
            </w:pPr>
            <w:r>
              <w:rPr>
                <w:b/>
              </w:rPr>
              <w:t>(unaudited)</w:t>
            </w:r>
          </w:p>
        </w:tc>
        <w:tc>
          <w:tcPr>
            <w:tcW w:w="138" w:type="dxa"/>
            <w:tcBorders/>
            <w:shd w:fill="auto" w:val="clear"/>
            <w:vAlign w:val="bottom"/>
          </w:tcPr>
          <w:p>
            <w:pPr>
              <w:pStyle w:val="TableContents"/>
              <w:spacing w:before="0" w:after="283"/>
              <w:rPr/>
            </w:pPr>
            <w:r>
              <w:rPr/>
              <w:t> </w:t>
            </w:r>
          </w:p>
        </w:tc>
      </w:tr>
      <w:tr>
        <w:trPr/>
        <w:tc>
          <w:tcPr>
            <w:tcW w:w="4351" w:type="dxa"/>
            <w:tcBorders/>
            <w:shd w:fill="CCEEFF" w:val="clear"/>
            <w:vAlign w:val="bottom"/>
          </w:tcPr>
          <w:p>
            <w:pPr>
              <w:pStyle w:val="TableContents"/>
              <w:spacing w:before="0" w:after="0"/>
              <w:ind w:left="225" w:right="0" w:hanging="225"/>
              <w:rPr/>
            </w:pPr>
            <w:r>
              <w:rPr/>
              <w:t>Balance at December 31, 2006</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b/>
              </w:rPr>
            </w:pPr>
            <w:r>
              <w:rPr>
                <w:b/>
              </w:rPr>
              <w:t>109.4</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b/>
              </w:rPr>
            </w:pPr>
            <w:r>
              <w:rPr>
                <w:b/>
              </w:rPr>
              <w:t>$</w:t>
            </w:r>
          </w:p>
        </w:tc>
        <w:tc>
          <w:tcPr>
            <w:tcW w:w="812" w:type="dxa"/>
            <w:tcBorders/>
            <w:shd w:fill="CCEEFF" w:val="clear"/>
            <w:vAlign w:val="bottom"/>
          </w:tcPr>
          <w:p>
            <w:pPr>
              <w:pStyle w:val="TableContents"/>
              <w:spacing w:before="0" w:after="283"/>
              <w:jc w:val="right"/>
              <w:rPr>
                <w:b/>
              </w:rPr>
            </w:pPr>
            <w:r>
              <w:rPr>
                <w:b/>
              </w:rPr>
              <w:t>2,906.1</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b/>
              </w:rPr>
            </w:pPr>
            <w:r>
              <w:rPr>
                <w:b/>
              </w:rPr>
              <w:t>$</w:t>
            </w:r>
          </w:p>
        </w:tc>
        <w:tc>
          <w:tcPr>
            <w:tcW w:w="772" w:type="dxa"/>
            <w:tcBorders/>
            <w:shd w:fill="CCEEFF" w:val="clear"/>
            <w:vAlign w:val="bottom"/>
          </w:tcPr>
          <w:p>
            <w:pPr>
              <w:pStyle w:val="TableContents"/>
              <w:spacing w:before="0" w:after="283"/>
              <w:jc w:val="right"/>
              <w:rPr>
                <w:b/>
              </w:rPr>
            </w:pPr>
            <w:r>
              <w:rPr>
                <w:b/>
              </w:rPr>
              <w:t>70.7</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921" w:type="dxa"/>
            <w:tcBorders/>
            <w:shd w:fill="CCEEFF" w:val="clear"/>
            <w:vAlign w:val="bottom"/>
          </w:tcPr>
          <w:p>
            <w:pPr>
              <w:pStyle w:val="TableContents"/>
              <w:spacing w:before="0" w:after="283"/>
              <w:jc w:val="right"/>
              <w:rPr>
                <w:b/>
              </w:rPr>
            </w:pPr>
            <w:r>
              <w:rPr>
                <w:b/>
              </w:rPr>
              <w:t>2,976.8</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0"/>
              <w:ind w:left="225" w:right="0" w:hanging="225"/>
              <w:rPr/>
            </w:pPr>
            <w:r>
              <w:rPr/>
              <w:t>Net Income</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154.4</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35.1</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b/>
              </w:rPr>
            </w:pPr>
            <w:r>
              <w:rPr>
                <w:b/>
              </w:rPr>
              <w:t>189.5</w:t>
            </w:r>
          </w:p>
        </w:tc>
        <w:tc>
          <w:tcPr>
            <w:tcW w:w="138" w:type="dxa"/>
            <w:tcBorders/>
            <w:shd w:fill="auto" w:val="clear"/>
            <w:vAlign w:val="bottom"/>
          </w:tcPr>
          <w:p>
            <w:pPr>
              <w:pStyle w:val="TableContents"/>
              <w:spacing w:before="0" w:after="283"/>
              <w:rPr/>
            </w:pPr>
            <w:r>
              <w:rPr/>
              <w:t> </w:t>
            </w:r>
          </w:p>
        </w:tc>
      </w:tr>
      <w:tr>
        <w:trPr/>
        <w:tc>
          <w:tcPr>
            <w:tcW w:w="4351" w:type="dxa"/>
            <w:tcBorders/>
            <w:shd w:fill="CCEEFF" w:val="clear"/>
            <w:vAlign w:val="bottom"/>
          </w:tcPr>
          <w:p>
            <w:pPr>
              <w:pStyle w:val="TableContents"/>
              <w:spacing w:before="0" w:after="0"/>
              <w:ind w:left="225" w:right="0" w:hanging="225"/>
              <w:rPr/>
            </w:pPr>
            <w:r>
              <w:rPr/>
              <w:t>Distributions</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(176.4</w:t>
            </w:r>
          </w:p>
        </w:tc>
        <w:tc>
          <w:tcPr>
            <w:tcW w:w="128"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(35.6</w:t>
            </w:r>
          </w:p>
        </w:tc>
        <w:tc>
          <w:tcPr>
            <w:tcW w:w="127"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b/>
              </w:rPr>
            </w:pPr>
            <w:r>
              <w:rPr>
                <w:b/>
              </w:rPr>
              <w:t>(212.0</w:t>
            </w:r>
          </w:p>
        </w:tc>
        <w:tc>
          <w:tcPr>
            <w:tcW w:w="138" w:type="dxa"/>
            <w:tcBorders/>
            <w:shd w:fill="CCEEFF" w:val="clear"/>
            <w:vAlign w:val="bottom"/>
          </w:tcPr>
          <w:p>
            <w:pPr>
              <w:pStyle w:val="TableContents"/>
              <w:spacing w:before="0" w:after="283"/>
              <w:rPr>
                <w:b/>
              </w:rPr>
            </w:pPr>
            <w:r>
              <w:rPr>
                <w:b/>
              </w:rPr>
              <w:t>)</w:t>
            </w:r>
          </w:p>
        </w:tc>
      </w:tr>
      <w:tr>
        <w:trPr/>
        <w:tc>
          <w:tcPr>
            <w:tcW w:w="4351" w:type="dxa"/>
            <w:tcBorders/>
            <w:shd w:fill="auto" w:val="clear"/>
            <w:vAlign w:val="bottom"/>
          </w:tcPr>
          <w:p>
            <w:pPr>
              <w:pStyle w:val="TableContents"/>
              <w:spacing w:before="0" w:after="0"/>
              <w:ind w:left="225" w:right="0" w:hanging="225"/>
              <w:rPr/>
            </w:pPr>
            <w:r>
              <w:rPr/>
              <w:t>Issuance of common units</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6.3</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374.8</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7.7</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b/>
              </w:rPr>
            </w:pPr>
            <w:r>
              <w:rPr>
                <w:b/>
              </w:rPr>
              <w:t>382.5</w:t>
            </w:r>
          </w:p>
        </w:tc>
        <w:tc>
          <w:tcPr>
            <w:tcW w:w="138" w:type="dxa"/>
            <w:tcBorders/>
            <w:shd w:fill="auto" w:val="clear"/>
            <w:vAlign w:val="bottom"/>
          </w:tcPr>
          <w:p>
            <w:pPr>
              <w:pStyle w:val="TableContents"/>
              <w:spacing w:before="0" w:after="283"/>
              <w:rPr/>
            </w:pPr>
            <w:r>
              <w:rPr/>
              <w:t> </w:t>
            </w:r>
          </w:p>
        </w:tc>
      </w:tr>
      <w:tr>
        <w:trPr/>
        <w:tc>
          <w:tcPr>
            <w:tcW w:w="4351" w:type="dxa"/>
            <w:tcBorders/>
            <w:shd w:fill="CCEEFF" w:val="clear"/>
            <w:vAlign w:val="bottom"/>
          </w:tcPr>
          <w:p>
            <w:pPr>
              <w:pStyle w:val="TableContents"/>
              <w:spacing w:before="0" w:after="0"/>
              <w:ind w:left="225" w:right="0" w:hanging="225"/>
              <w:rPr/>
            </w:pPr>
            <w:r>
              <w:rPr/>
              <w:t>Issuance of common units under LTIP</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0.3</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17.2</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0.4</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b/>
              </w:rPr>
            </w:pPr>
            <w:r>
              <w:rPr>
                <w:b/>
              </w:rPr>
              <w:t>17.6</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0"/>
              <w:ind w:left="225" w:right="0" w:hanging="225"/>
              <w:rPr/>
            </w:pPr>
            <w:r>
              <w:rPr/>
              <w:t>Other comprehensive income</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44.2</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1.0</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b/>
              </w:rPr>
            </w:pPr>
            <w:r>
              <w:rPr>
                <w:b/>
              </w:rPr>
              <w:t>45.2</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8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351" w:type="dxa"/>
            <w:tcBorders/>
            <w:shd w:fill="CCEEFF" w:val="clear"/>
            <w:vAlign w:val="bottom"/>
          </w:tcPr>
          <w:p>
            <w:pPr>
              <w:pStyle w:val="TableContents"/>
              <w:spacing w:before="0" w:after="0"/>
              <w:ind w:left="225" w:right="0" w:hanging="225"/>
              <w:rPr/>
            </w:pPr>
            <w:r>
              <w:rPr/>
              <w:t>Balance at June 30, 2007</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b/>
              </w:rPr>
            </w:pPr>
            <w:r>
              <w:rPr>
                <w:b/>
              </w:rPr>
              <w:t>116.0</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b/>
              </w:rPr>
            </w:pPr>
            <w:r>
              <w:rPr>
                <w:b/>
              </w:rPr>
              <w:t>$</w:t>
            </w:r>
          </w:p>
        </w:tc>
        <w:tc>
          <w:tcPr>
            <w:tcW w:w="812" w:type="dxa"/>
            <w:tcBorders/>
            <w:shd w:fill="CCEEFF" w:val="clear"/>
            <w:vAlign w:val="bottom"/>
          </w:tcPr>
          <w:p>
            <w:pPr>
              <w:pStyle w:val="TableContents"/>
              <w:spacing w:before="0" w:after="283"/>
              <w:jc w:val="right"/>
              <w:rPr>
                <w:b/>
              </w:rPr>
            </w:pPr>
            <w:r>
              <w:rPr>
                <w:b/>
              </w:rPr>
              <w:t>3,320.3</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b/>
              </w:rPr>
            </w:pPr>
            <w:r>
              <w:rPr>
                <w:b/>
              </w:rPr>
              <w:t>$</w:t>
            </w:r>
          </w:p>
        </w:tc>
        <w:tc>
          <w:tcPr>
            <w:tcW w:w="772" w:type="dxa"/>
            <w:tcBorders/>
            <w:shd w:fill="CCEEFF" w:val="clear"/>
            <w:vAlign w:val="bottom"/>
          </w:tcPr>
          <w:p>
            <w:pPr>
              <w:pStyle w:val="TableContents"/>
              <w:spacing w:before="0" w:after="283"/>
              <w:jc w:val="right"/>
              <w:rPr>
                <w:b/>
              </w:rPr>
            </w:pPr>
            <w:r>
              <w:rPr>
                <w:b/>
              </w:rPr>
              <w:t>79.3</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921" w:type="dxa"/>
            <w:tcBorders/>
            <w:shd w:fill="CCEEFF" w:val="clear"/>
            <w:vAlign w:val="bottom"/>
          </w:tcPr>
          <w:p>
            <w:pPr>
              <w:pStyle w:val="TableContents"/>
              <w:spacing w:before="0" w:after="283"/>
              <w:jc w:val="right"/>
              <w:rPr>
                <w:b/>
              </w:rPr>
            </w:pPr>
            <w:r>
              <w:rPr>
                <w:b/>
              </w:rPr>
              <w:t>3,399.6</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8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9" w:name="107"/>
      <w:bookmarkEnd w:id="9"/>
      <w:r>
        <w:rPr>
          <w:rFonts w:ascii="Times New Roman;Times;serif" w:hAnsi="Times New Roman;Times;serif"/>
          <w:b/>
          <w:sz w:val="17"/>
        </w:rPr>
        <w:t>CONDENSED CONSOLIDATED STATEMENTS OF COMPREHENSIVE INCOME</w:t>
        <w:b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99"/>
        <w:gridCol w:w="348"/>
        <w:gridCol w:w="222"/>
        <w:gridCol w:w="949"/>
        <w:gridCol w:w="129"/>
        <w:gridCol w:w="373"/>
        <w:gridCol w:w="222"/>
        <w:gridCol w:w="812"/>
        <w:gridCol w:w="104"/>
        <w:gridCol w:w="348"/>
        <w:gridCol w:w="188"/>
        <w:gridCol w:w="816"/>
        <w:gridCol w:w="115"/>
        <w:gridCol w:w="359"/>
        <w:gridCol w:w="188"/>
        <w:gridCol w:w="820"/>
        <w:gridCol w:w="113"/>
      </w:tblGrid>
      <w:tr>
        <w:trPr/>
        <w:tc>
          <w:tcPr>
            <w:tcW w:w="4099"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r>
      <w:tr>
        <w:trPr/>
        <w:tc>
          <w:tcPr>
            <w:tcW w:w="4099"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707"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283"/>
              <w:jc w:val="center"/>
              <w:rPr>
                <w:b/>
              </w:rPr>
            </w:pPr>
            <w:r>
              <w:rPr>
                <w:b/>
              </w:rPr>
              <w:t>Six Months Ended</w:t>
            </w:r>
          </w:p>
        </w:tc>
        <w:tc>
          <w:tcPr>
            <w:tcW w:w="113" w:type="dxa"/>
            <w:tcBorders/>
            <w:shd w:fill="auto" w:val="clear"/>
            <w:vAlign w:val="bottom"/>
          </w:tcPr>
          <w:p>
            <w:pPr>
              <w:pStyle w:val="TableContents"/>
              <w:spacing w:before="0" w:after="283"/>
              <w:rPr/>
            </w:pPr>
            <w:r>
              <w:rPr/>
              <w:t> </w:t>
            </w:r>
          </w:p>
        </w:tc>
      </w:tr>
      <w:tr>
        <w:trPr/>
        <w:tc>
          <w:tcPr>
            <w:tcW w:w="4099"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70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8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13" w:type="dxa"/>
            <w:tcBorders/>
            <w:shd w:fill="auto" w:val="clear"/>
            <w:vAlign w:val="bottom"/>
          </w:tcPr>
          <w:p>
            <w:pPr>
              <w:pStyle w:val="TableContents"/>
              <w:spacing w:before="0" w:after="283"/>
              <w:rPr/>
            </w:pPr>
            <w:r>
              <w:rPr/>
              <w:t> </w:t>
            </w:r>
          </w:p>
        </w:tc>
      </w:tr>
      <w:tr>
        <w:trPr/>
        <w:tc>
          <w:tcPr>
            <w:tcW w:w="4099"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1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3" w:type="dxa"/>
            <w:tcBorders/>
            <w:shd w:fill="auto" w:val="clear"/>
            <w:vAlign w:val="bottom"/>
          </w:tcPr>
          <w:p>
            <w:pPr>
              <w:pStyle w:val="TableContents"/>
              <w:spacing w:before="0" w:after="283"/>
              <w:rPr/>
            </w:pPr>
            <w:r>
              <w:rPr/>
              <w:t> </w:t>
            </w:r>
          </w:p>
        </w:tc>
      </w:tr>
      <w:tr>
        <w:trPr/>
        <w:tc>
          <w:tcPr>
            <w:tcW w:w="4099"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707" w:type="dxa"/>
            <w:gridSpan w:val="6"/>
            <w:tcBorders/>
            <w:shd w:fill="auto" w:val="clear"/>
            <w:vAlign w:val="bottom"/>
          </w:tcPr>
          <w:p>
            <w:pPr>
              <w:pStyle w:val="TableContents"/>
              <w:spacing w:before="0" w:after="283"/>
              <w:jc w:val="center"/>
              <w:rPr>
                <w:b/>
              </w:rPr>
            </w:pPr>
            <w:r>
              <w:rPr>
                <w:b/>
              </w:rPr>
              <w:t>(unaudited)</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283"/>
              <w:jc w:val="center"/>
              <w:rPr>
                <w:b/>
              </w:rPr>
            </w:pPr>
            <w:r>
              <w:rPr>
                <w:b/>
              </w:rPr>
              <w:t>(unaudited)</w:t>
            </w:r>
          </w:p>
        </w:tc>
        <w:tc>
          <w:tcPr>
            <w:tcW w:w="113" w:type="dxa"/>
            <w:tcBorders/>
            <w:shd w:fill="auto" w:val="clear"/>
            <w:vAlign w:val="bottom"/>
          </w:tcPr>
          <w:p>
            <w:pPr>
              <w:pStyle w:val="TableContents"/>
              <w:spacing w:before="0" w:after="283"/>
              <w:rPr/>
            </w:pPr>
            <w:r>
              <w:rPr/>
              <w:t> </w:t>
            </w:r>
          </w:p>
        </w:tc>
      </w:tr>
      <w:tr>
        <w:trPr/>
        <w:tc>
          <w:tcPr>
            <w:tcW w:w="4099" w:type="dxa"/>
            <w:tcBorders/>
            <w:shd w:fill="CCEEFF" w:val="clear"/>
            <w:vAlign w:val="bottom"/>
          </w:tcPr>
          <w:p>
            <w:pPr>
              <w:pStyle w:val="TableContents"/>
              <w:spacing w:before="0" w:after="0"/>
              <w:ind w:left="225" w:right="0" w:hanging="225"/>
              <w:rPr/>
            </w:pPr>
            <w:r>
              <w:rPr/>
              <w:t>Net income</w:t>
            </w:r>
          </w:p>
        </w:tc>
        <w:tc>
          <w:tcPr>
            <w:tcW w:w="34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949" w:type="dxa"/>
            <w:tcBorders/>
            <w:shd w:fill="CCEEFF" w:val="clear"/>
            <w:vAlign w:val="bottom"/>
          </w:tcPr>
          <w:p>
            <w:pPr>
              <w:pStyle w:val="TableContents"/>
              <w:spacing w:before="0" w:after="283"/>
              <w:jc w:val="right"/>
              <w:rPr/>
            </w:pPr>
            <w:r>
              <w:rPr/>
              <w:t>104.8</w:t>
            </w:r>
          </w:p>
        </w:tc>
        <w:tc>
          <w:tcPr>
            <w:tcW w:w="12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80.3</w:t>
            </w:r>
          </w:p>
        </w:tc>
        <w:tc>
          <w:tcPr>
            <w:tcW w:w="10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189.5</w:t>
            </w:r>
          </w:p>
        </w:tc>
        <w:tc>
          <w:tcPr>
            <w:tcW w:w="115"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143.7</w:t>
            </w:r>
          </w:p>
        </w:tc>
        <w:tc>
          <w:tcPr>
            <w:tcW w:w="113" w:type="dxa"/>
            <w:tcBorders/>
            <w:shd w:fill="CCEEFF" w:val="clear"/>
            <w:vAlign w:val="bottom"/>
          </w:tcPr>
          <w:p>
            <w:pPr>
              <w:pStyle w:val="TableContents"/>
              <w:spacing w:before="0" w:after="283"/>
              <w:rPr/>
            </w:pPr>
            <w:r>
              <w:rPr/>
              <w:t> </w:t>
            </w:r>
          </w:p>
        </w:tc>
      </w:tr>
      <w:tr>
        <w:trPr/>
        <w:tc>
          <w:tcPr>
            <w:tcW w:w="4099" w:type="dxa"/>
            <w:tcBorders/>
            <w:shd w:fill="auto" w:val="clear"/>
            <w:vAlign w:val="bottom"/>
          </w:tcPr>
          <w:p>
            <w:pPr>
              <w:pStyle w:val="TableContents"/>
              <w:spacing w:before="0" w:after="0"/>
              <w:ind w:left="225" w:right="0" w:hanging="225"/>
              <w:rPr/>
            </w:pPr>
            <w:r>
              <w:rPr/>
              <w:t>Other comprehensive income</w:t>
            </w:r>
          </w:p>
        </w:tc>
        <w:tc>
          <w:tcPr>
            <w:tcW w:w="34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pPr>
            <w:r>
              <w:rPr/>
              <w:t>58.5</w:t>
            </w:r>
          </w:p>
        </w:tc>
        <w:tc>
          <w:tcPr>
            <w:tcW w:w="12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19.2</w:t>
            </w:r>
          </w:p>
        </w:tc>
        <w:tc>
          <w:tcPr>
            <w:tcW w:w="104"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45.2</w:t>
            </w:r>
          </w:p>
        </w:tc>
        <w:tc>
          <w:tcPr>
            <w:tcW w:w="11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19.7</w:t>
            </w:r>
          </w:p>
        </w:tc>
        <w:tc>
          <w:tcPr>
            <w:tcW w:w="113" w:type="dxa"/>
            <w:tcBorders/>
            <w:shd w:fill="auto" w:val="clear"/>
            <w:vAlign w:val="bottom"/>
          </w:tcPr>
          <w:p>
            <w:pPr>
              <w:pStyle w:val="TableContents"/>
              <w:spacing w:before="0" w:after="283"/>
              <w:rPr/>
            </w:pPr>
            <w:r>
              <w:rPr/>
              <w:t> </w:t>
            </w:r>
          </w:p>
        </w:tc>
      </w:tr>
      <w:tr>
        <w:trPr/>
        <w:tc>
          <w:tcPr>
            <w:tcW w:w="4099"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r>
        <w:trPr/>
        <w:tc>
          <w:tcPr>
            <w:tcW w:w="4099" w:type="dxa"/>
            <w:tcBorders/>
            <w:shd w:fill="CCEEFF" w:val="clear"/>
            <w:vAlign w:val="bottom"/>
          </w:tcPr>
          <w:p>
            <w:pPr>
              <w:pStyle w:val="TableContents"/>
              <w:spacing w:before="0" w:after="0"/>
              <w:ind w:left="225" w:right="0" w:hanging="225"/>
              <w:rPr/>
            </w:pPr>
            <w:r>
              <w:rPr/>
              <w:t>Comprehensive income</w:t>
            </w:r>
          </w:p>
        </w:tc>
        <w:tc>
          <w:tcPr>
            <w:tcW w:w="348"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949" w:type="dxa"/>
            <w:tcBorders/>
            <w:shd w:fill="CCEEFF" w:val="clear"/>
            <w:vAlign w:val="bottom"/>
          </w:tcPr>
          <w:p>
            <w:pPr>
              <w:pStyle w:val="TableContents"/>
              <w:spacing w:before="0" w:after="283"/>
              <w:jc w:val="right"/>
              <w:rPr/>
            </w:pPr>
            <w:r>
              <w:rPr/>
              <w:t>163.3</w:t>
            </w:r>
          </w:p>
        </w:tc>
        <w:tc>
          <w:tcPr>
            <w:tcW w:w="12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99.5</w:t>
            </w:r>
          </w:p>
        </w:tc>
        <w:tc>
          <w:tcPr>
            <w:tcW w:w="104"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234.7</w:t>
            </w:r>
          </w:p>
        </w:tc>
        <w:tc>
          <w:tcPr>
            <w:tcW w:w="115"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163.4</w:t>
            </w:r>
          </w:p>
        </w:tc>
        <w:tc>
          <w:tcPr>
            <w:tcW w:w="113" w:type="dxa"/>
            <w:tcBorders/>
            <w:shd w:fill="CCEEFF" w:val="clear"/>
            <w:vAlign w:val="bottom"/>
          </w:tcPr>
          <w:p>
            <w:pPr>
              <w:pStyle w:val="TableContents"/>
              <w:spacing w:before="0" w:after="283"/>
              <w:rPr/>
            </w:pPr>
            <w:r>
              <w:rPr/>
              <w:t> </w:t>
            </w:r>
          </w:p>
        </w:tc>
      </w:tr>
      <w:tr>
        <w:trPr/>
        <w:tc>
          <w:tcPr>
            <w:tcW w:w="4099" w:type="dxa"/>
            <w:tcBorders/>
            <w:shd w:fill="auto" w:val="clear"/>
            <w:vAlign w:val="center"/>
          </w:tcPr>
          <w:p>
            <w:pPr>
              <w:pStyle w:val="TableContents"/>
              <w:spacing w:before="0" w:after="0"/>
              <w:ind w:left="225" w:right="0" w:hanging="225"/>
              <w:rPr/>
            </w:pPr>
            <w:r>
              <w:rPr/>
              <w:t> </w:t>
            </w:r>
          </w:p>
        </w:tc>
        <w:tc>
          <w:tcPr>
            <w:tcW w:w="348" w:type="dxa"/>
            <w:tcBorders/>
            <w:shd w:fill="auto" w:val="clear"/>
            <w:vAlign w:val="center"/>
          </w:tcPr>
          <w:p>
            <w:pPr>
              <w:pStyle w:val="TableContents"/>
              <w:spacing w:before="0" w:after="283"/>
              <w:rPr/>
            </w:pPr>
            <w:r>
              <w:rPr/>
              <w:t> </w:t>
            </w:r>
          </w:p>
        </w:tc>
        <w:tc>
          <w:tcPr>
            <w:tcW w:w="11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CONDENSED CONSOLIDATED STATEMENT OF</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10" w:name="108"/>
      <w:bookmarkEnd w:id="10"/>
      <w:r>
        <w:rPr>
          <w:rFonts w:ascii="Times New Roman;Times;serif" w:hAnsi="Times New Roman;Times;serif"/>
          <w:b/>
          <w:sz w:val="17"/>
        </w:rPr>
        <w:t>CHANGES IN ACCUMULATED OTHER COMPREHENSIVE INCOME</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4872"/>
        <w:gridCol w:w="347"/>
        <w:gridCol w:w="320"/>
        <w:gridCol w:w="1265"/>
        <w:gridCol w:w="137"/>
        <w:gridCol w:w="347"/>
        <w:gridCol w:w="273"/>
        <w:gridCol w:w="1153"/>
        <w:gridCol w:w="108"/>
        <w:gridCol w:w="347"/>
        <w:gridCol w:w="173"/>
        <w:gridCol w:w="717"/>
        <w:gridCol w:w="146"/>
      </w:tblGrid>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Net Deferred</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Gain/(Loss) on</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b/>
              </w:rPr>
            </w:pPr>
            <w:r>
              <w:rPr>
                <w:b/>
              </w:rPr>
              <w:t>Currency</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Derivative</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b/>
              </w:rPr>
            </w:pPr>
            <w:r>
              <w:rPr>
                <w:b/>
              </w:rPr>
              <w:t>Translation</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jc w:val="center"/>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Instruments</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b/>
              </w:rPr>
            </w:pPr>
            <w:r>
              <w:rPr>
                <w:b/>
              </w:rPr>
              <w:t>(unaudited)</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225" w:right="0" w:hanging="225"/>
              <w:rPr/>
            </w:pPr>
            <w:r>
              <w:rPr/>
              <w:t>Balance at December 31, 2006</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1265" w:type="dxa"/>
            <w:tcBorders/>
            <w:shd w:fill="CCEEFF" w:val="clear"/>
            <w:vAlign w:val="bottom"/>
          </w:tcPr>
          <w:p>
            <w:pPr>
              <w:pStyle w:val="TableContents"/>
              <w:spacing w:before="0" w:after="283"/>
              <w:jc w:val="right"/>
              <w:rPr/>
            </w:pPr>
            <w:r>
              <w:rPr/>
              <w:t>(19.8</w:t>
            </w:r>
          </w:p>
        </w:tc>
        <w:tc>
          <w:tcPr>
            <w:tcW w:w="137"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153" w:type="dxa"/>
            <w:tcBorders/>
            <w:shd w:fill="CCEEFF" w:val="clear"/>
            <w:vAlign w:val="bottom"/>
          </w:tcPr>
          <w:p>
            <w:pPr>
              <w:pStyle w:val="TableContents"/>
              <w:spacing w:before="0" w:after="283"/>
              <w:jc w:val="right"/>
              <w:rPr/>
            </w:pPr>
            <w:r>
              <w:rPr/>
              <w:t>69.5</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49.7</w:t>
            </w:r>
          </w:p>
        </w:tc>
        <w:tc>
          <w:tcPr>
            <w:tcW w:w="146" w:type="dxa"/>
            <w:tcBorders/>
            <w:shd w:fill="CCEEFF" w:val="clear"/>
            <w:vAlign w:val="bottom"/>
          </w:tcPr>
          <w:p>
            <w:pPr>
              <w:pStyle w:val="TableContents"/>
              <w:spacing w:before="0" w:after="283"/>
              <w:rPr/>
            </w:pPr>
            <w:r>
              <w:rPr/>
              <w:t> </w:t>
            </w:r>
          </w:p>
        </w:tc>
      </w:tr>
      <w:tr>
        <w:trPr/>
        <w:tc>
          <w:tcPr>
            <w:tcW w:w="4872" w:type="dxa"/>
            <w:tcBorders/>
            <w:shd w:fill="auto" w:val="clear"/>
            <w:vAlign w:val="bottom"/>
          </w:tcPr>
          <w:p>
            <w:pPr>
              <w:pStyle w:val="TableContents"/>
              <w:spacing w:before="0" w:after="0"/>
              <w:ind w:left="450" w:right="0" w:hanging="225"/>
              <w:rPr/>
            </w:pPr>
            <w:r>
              <w:rPr/>
              <w:t>Current Period Activity:</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675" w:right="0" w:hanging="225"/>
              <w:rPr/>
            </w:pPr>
            <w:r>
              <w:rPr/>
              <w:t>Reclassification adjustments for settled contracts</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(28.0</w:t>
            </w:r>
          </w:p>
        </w:tc>
        <w:tc>
          <w:tcPr>
            <w:tcW w:w="137"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283"/>
              <w:jc w:val="right"/>
              <w:rPr/>
            </w:pPr>
            <w:r>
              <w:rPr/>
              <w:t>(28.0</w:t>
            </w:r>
          </w:p>
        </w:tc>
        <w:tc>
          <w:tcPr>
            <w:tcW w:w="146" w:type="dxa"/>
            <w:tcBorders/>
            <w:shd w:fill="CCEEFF" w:val="clear"/>
            <w:vAlign w:val="bottom"/>
          </w:tcPr>
          <w:p>
            <w:pPr>
              <w:pStyle w:val="TableContents"/>
              <w:spacing w:before="0" w:after="283"/>
              <w:rPr/>
            </w:pPr>
            <w:r>
              <w:rPr/>
              <w:t>)</w:t>
            </w:r>
          </w:p>
        </w:tc>
      </w:tr>
      <w:tr>
        <w:trPr/>
        <w:tc>
          <w:tcPr>
            <w:tcW w:w="4872" w:type="dxa"/>
            <w:tcBorders/>
            <w:shd w:fill="auto" w:val="clear"/>
            <w:vAlign w:val="bottom"/>
          </w:tcPr>
          <w:p>
            <w:pPr>
              <w:pStyle w:val="TableContents"/>
              <w:spacing w:before="0" w:after="0"/>
              <w:ind w:left="675" w:right="0" w:hanging="225"/>
              <w:rPr/>
            </w:pPr>
            <w:r>
              <w:rPr/>
              <w:t>Changes in fair value of outstanding hedge positions</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right"/>
              <w:rPr/>
            </w:pPr>
            <w:r>
              <w:rPr/>
              <w:t>17.4</w:t>
            </w:r>
          </w:p>
        </w:tc>
        <w:tc>
          <w:tcPr>
            <w:tcW w:w="13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pPr>
            <w:r>
              <w:rPr/>
              <w:t>17.4</w:t>
            </w:r>
          </w:p>
        </w:tc>
        <w:tc>
          <w:tcPr>
            <w:tcW w:w="146" w:type="dxa"/>
            <w:tcBorders/>
            <w:shd w:fill="auto" w:val="clear"/>
            <w:vAlign w:val="bottom"/>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675" w:right="0" w:hanging="225"/>
              <w:rPr/>
            </w:pPr>
            <w:r>
              <w:rPr/>
              <w:t>Currency translation adjustment</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26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283"/>
              <w:jc w:val="right"/>
              <w:rPr/>
            </w:pPr>
            <w:r>
              <w:rPr/>
              <w:t>55.8</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pPr>
            <w:r>
              <w:rPr/>
              <w:t>55.8</w:t>
            </w:r>
          </w:p>
        </w:tc>
        <w:tc>
          <w:tcPr>
            <w:tcW w:w="146" w:type="dxa"/>
            <w:tcBorders/>
            <w:shd w:fill="CCEEFF" w:val="clear"/>
            <w:vAlign w:val="bottom"/>
          </w:tcPr>
          <w:p>
            <w:pPr>
              <w:pStyle w:val="TableContents"/>
              <w:spacing w:before="0" w:after="283"/>
              <w:rPr/>
            </w:pPr>
            <w:r>
              <w:rPr/>
              <w:t> </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4872" w:type="dxa"/>
            <w:tcBorders/>
            <w:shd w:fill="auto" w:val="clear"/>
            <w:vAlign w:val="bottom"/>
          </w:tcPr>
          <w:p>
            <w:pPr>
              <w:pStyle w:val="TableContents"/>
              <w:spacing w:before="0" w:after="0"/>
              <w:ind w:left="450" w:right="0" w:hanging="225"/>
              <w:rPr/>
            </w:pPr>
            <w:r>
              <w:rPr/>
              <w:t>Total period activity</w:t>
            </w:r>
          </w:p>
        </w:tc>
        <w:tc>
          <w:tcPr>
            <w:tcW w:w="34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1265" w:type="dxa"/>
            <w:tcBorders/>
            <w:shd w:fill="auto" w:val="clear"/>
            <w:vAlign w:val="bottom"/>
          </w:tcPr>
          <w:p>
            <w:pPr>
              <w:pStyle w:val="TableContents"/>
              <w:spacing w:before="0" w:after="283"/>
              <w:jc w:val="right"/>
              <w:rPr/>
            </w:pPr>
            <w:r>
              <w:rPr/>
              <w:t>(10.6</w:t>
            </w:r>
          </w:p>
        </w:tc>
        <w:tc>
          <w:tcPr>
            <w:tcW w:w="137" w:type="dxa"/>
            <w:tcBorders/>
            <w:shd w:fill="auto" w:val="clear"/>
            <w:vAlign w:val="bottom"/>
          </w:tcPr>
          <w:p>
            <w:pPr>
              <w:pStyle w:val="TableContents"/>
              <w:spacing w:before="0" w:after="283"/>
              <w:rPr/>
            </w:pPr>
            <w:r>
              <w:rPr/>
              <w:t>)</w:t>
            </w:r>
          </w:p>
        </w:tc>
        <w:tc>
          <w:tcPr>
            <w:tcW w:w="347"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spacing w:before="0" w:after="283"/>
              <w:jc w:val="right"/>
              <w:rPr/>
            </w:pPr>
            <w:r>
              <w:rPr/>
              <w:t>55.8</w:t>
            </w:r>
          </w:p>
        </w:tc>
        <w:tc>
          <w:tcPr>
            <w:tcW w:w="1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pPr>
            <w:r>
              <w:rPr/>
              <w:t>45.2</w:t>
            </w:r>
          </w:p>
        </w:tc>
        <w:tc>
          <w:tcPr>
            <w:tcW w:w="146" w:type="dxa"/>
            <w:tcBorders/>
            <w:shd w:fill="auto" w:val="clear"/>
            <w:vAlign w:val="bottom"/>
          </w:tcPr>
          <w:p>
            <w:pPr>
              <w:pStyle w:val="TableContents"/>
              <w:spacing w:before="0" w:after="283"/>
              <w:rPr/>
            </w:pPr>
            <w:r>
              <w:rPr/>
              <w:t> </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r>
        <w:trPr/>
        <w:tc>
          <w:tcPr>
            <w:tcW w:w="4872" w:type="dxa"/>
            <w:tcBorders/>
            <w:shd w:fill="CCEEFF" w:val="clear"/>
            <w:vAlign w:val="bottom"/>
          </w:tcPr>
          <w:p>
            <w:pPr>
              <w:pStyle w:val="TableContents"/>
              <w:spacing w:before="0" w:after="0"/>
              <w:ind w:left="225" w:right="0" w:hanging="225"/>
              <w:rPr/>
            </w:pPr>
            <w:r>
              <w:rPr/>
              <w:t>Balance at June 30, 2007</w:t>
            </w:r>
          </w:p>
        </w:tc>
        <w:tc>
          <w:tcPr>
            <w:tcW w:w="347"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1265" w:type="dxa"/>
            <w:tcBorders/>
            <w:shd w:fill="CCEEFF" w:val="clear"/>
            <w:vAlign w:val="bottom"/>
          </w:tcPr>
          <w:p>
            <w:pPr>
              <w:pStyle w:val="TableContents"/>
              <w:spacing w:before="0" w:after="283"/>
              <w:jc w:val="right"/>
              <w:rPr/>
            </w:pPr>
            <w:r>
              <w:rPr/>
              <w:t>(30.4</w:t>
            </w:r>
          </w:p>
        </w:tc>
        <w:tc>
          <w:tcPr>
            <w:tcW w:w="137"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153" w:type="dxa"/>
            <w:tcBorders/>
            <w:shd w:fill="CCEEFF" w:val="clear"/>
            <w:vAlign w:val="bottom"/>
          </w:tcPr>
          <w:p>
            <w:pPr>
              <w:pStyle w:val="TableContents"/>
              <w:spacing w:before="0" w:after="283"/>
              <w:jc w:val="right"/>
              <w:rPr/>
            </w:pPr>
            <w:r>
              <w:rPr/>
              <w:t>125.3</w:t>
            </w:r>
          </w:p>
        </w:tc>
        <w:tc>
          <w:tcPr>
            <w:tcW w:w="10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94.9</w:t>
            </w:r>
          </w:p>
        </w:tc>
        <w:tc>
          <w:tcPr>
            <w:tcW w:w="146" w:type="dxa"/>
            <w:tcBorders/>
            <w:shd w:fill="CCEEFF" w:val="clear"/>
            <w:vAlign w:val="bottom"/>
          </w:tcPr>
          <w:p>
            <w:pPr>
              <w:pStyle w:val="TableContents"/>
              <w:spacing w:before="0" w:after="283"/>
              <w:rPr/>
            </w:pPr>
            <w:r>
              <w:rPr/>
              <w:t> </w:t>
            </w:r>
          </w:p>
        </w:tc>
      </w:tr>
      <w:tr>
        <w:trPr/>
        <w:tc>
          <w:tcPr>
            <w:tcW w:w="4872"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5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4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8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6"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11" w:name="109"/>
      <w:bookmarkEnd w:id="11"/>
      <w:r>
        <w:rPr>
          <w:rFonts w:ascii="Times New Roman;Times;serif" w:hAnsi="Times New Roman;Times;serif"/>
          <w:b/>
          <w:sz w:val="17"/>
        </w:rPr>
        <w:t>NOTES TO THE CONDENSED CONSOLIDATED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used in this Form 10-Q, the terms Partnership, Plains, we, us, our, ours and similar terms refer to Plains All American Pipeline, L.P. and its subsidiaries, unless the context indicates otherwise. We are engaged in the transportation, storage, terminalling and marketing of crude oil, refined products and liquefied petroleum gas and other natural gas-related petroleum products. We refer to liquefied petroleum gas and other natural gas related-petroleum products collectively as LPG. Through our 50% equity ownership in PAA/Vulcan Gas Storage, LLC (PAA/Vulcan), we are also engaged in the development and operation of natural gas storage facilities. </w:t>
      </w:r>
    </w:p>
    <w:p>
      <w:pPr>
        <w:pStyle w:val="TextBody"/>
        <w:spacing w:before="120" w:after="283"/>
        <w:jc w:val="left"/>
        <w:rPr/>
      </w:pPr>
      <w:r>
        <w:rPr/>
        <w:t>     </w:t>
      </w:r>
      <w:r>
        <w:rPr>
          <w:rFonts w:ascii="Times New Roman;Times;serif" w:hAnsi="Times New Roman;Times;serif"/>
          <w:sz w:val="17"/>
        </w:rPr>
        <w:t xml:space="preserve">Our condensed consolidated interim financial statements should be read in conjunction with our consolidated financial statements and notes thereto presented in our 2006 Annual Report on Form 10-K. The accompanying financial statements and related notes present (i) our consolidated financial position as of June 30, 2007 and December 31, 2006, (ii) the results of our consolidated operations for the three months and six months ended June 30, 2007 and 2006, (iii) our consolidated cash flows for the six months ended June 30, 2007 and 2006, (iv) our consolidated changes in partners capital for the six months ended June 30, 2007, (v) our consolidated comprehensive income for the three months and six months ended June 30, 2007 and 2006, and (vi) our changes in consolidated accumulated other comprehensive income for the six months ended June 30, 2007.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three months and six months ended June 30, 2007 should not be taken as indicative of the results to be expected for the full year. </w:t>
      </w:r>
    </w:p>
    <w:p>
      <w:pPr>
        <w:pStyle w:val="TextBody"/>
        <w:spacing w:before="120" w:after="283"/>
        <w:jc w:val="left"/>
        <w:rPr/>
      </w:pPr>
      <w:r>
        <w:rPr/>
        <w:t>     </w:t>
      </w:r>
      <w:r>
        <w:rPr>
          <w:rFonts w:ascii="Times New Roman;Times;serif" w:hAnsi="Times New Roman;Times;serif"/>
          <w:sz w:val="17"/>
        </w:rPr>
        <w:t xml:space="preserve">The accompanying condensed consolidated financial statements of PAA include PAA and all of its wholly-owned subsidiaries. Investments in 50% or less owned entities over which we have significant influence but not control are accounted for by the equity method.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2Trade Accounts Receivable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accounts receivable are primarily from purchasers and shippers of crude oil and, to a lesser extent, purchasers of LPG. The majority of our accounts receivable relate to our marketing activities, which are generally high volume and low margin activities, in many cases involving exchanges of crude oil volumes. We determine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June 30, 2007 and December 31, 2006, we had received approximately $22.3 million and $28.3 million, respectively, of advance cash payments and prepayments from third parties to mitigate credit risk. In addition, we enter into netting arrangements with our counterparties. These arrangements cover a significant part of our transactions and also serve to mitigate credit risk. </w:t>
      </w:r>
    </w:p>
    <w:p>
      <w:pPr>
        <w:pStyle w:val="TextBody"/>
        <w:spacing w:before="120" w:after="283"/>
        <w:jc w:val="left"/>
        <w:rPr/>
      </w:pPr>
      <w:r>
        <w:rPr/>
        <w:t>     </w:t>
      </w:r>
      <w:r>
        <w:rPr>
          <w:rFonts w:ascii="Times New Roman;Times;serif" w:hAnsi="Times New Roman;Times;serif"/>
          <w:sz w:val="17"/>
        </w:rPr>
        <w:t xml:space="preserve">We review all outstanding accounts receivable balances on a monthly basis and record a reserve for amounts that we expect will not be fully recovered. Actual balances are not applied against the reserve until substantially all collection efforts have been exhausted. At June 30, 2007 and December 31, 2006, substantially all of our net accounts receivable were less than 60 days past their scheduled invoice date. Although we consider our allowance for doubtful trade accounts receivable to be adequate, actual amounts might vary significantly from estimated amounts.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3Acquisitions and Dispositions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first half of 2007, we acquired (i) a commercial refined products supply and marketing business (reflected in our marketing segment) for approximately $8 million in cash (including approximately $7 million of goodwill) and (ii) a trucking business (reflected in our transportation segment) for approximately $9 million in cash (including approximately $4 million of goodwill). Also, during the first half of 2007, we signed an agreement to acquire the Bumstead LPG storage facility located near Phoenix, Arizona for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approximately $52 million. The acquisition closed in July 2007 and will be reflected in our facilities segment. </w:t>
      </w:r>
    </w:p>
    <w:p>
      <w:pPr>
        <w:pStyle w:val="TextBody"/>
        <w:spacing w:before="120" w:after="283"/>
        <w:jc w:val="left"/>
        <w:rPr/>
      </w:pPr>
      <w:r>
        <w:rPr/>
        <w:t>     </w:t>
      </w:r>
      <w:r>
        <w:rPr>
          <w:rFonts w:ascii="Times New Roman;Times;serif" w:hAnsi="Times New Roman;Times;serif"/>
          <w:sz w:val="17"/>
        </w:rPr>
        <w:t xml:space="preserve">In the second quarter of 2007, we incurred a net loss of approximately $9 million upon disposition of certain assets. This loss is included within Depreciation and Amortization on our Condensed Consolidated Statements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4Inventory and Linefill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At June 30, 2007 and December 31, 2006, inventory and linefill consisted of : </w:t>
      </w:r>
    </w:p>
    <w:tbl>
      <w:tblPr>
        <w:tblW w:w="11235" w:type="dxa"/>
        <w:jc w:val="center"/>
        <w:tblInd w:w="0" w:type="dxa"/>
        <w:tblCellMar>
          <w:top w:w="0" w:type="dxa"/>
          <w:left w:w="0" w:type="dxa"/>
          <w:bottom w:w="0" w:type="dxa"/>
          <w:right w:w="0" w:type="dxa"/>
        </w:tblCellMar>
      </w:tblPr>
      <w:tblGrid>
        <w:gridCol w:w="3620"/>
        <w:gridCol w:w="60"/>
        <w:gridCol w:w="62"/>
        <w:gridCol w:w="708"/>
        <w:gridCol w:w="60"/>
        <w:gridCol w:w="60"/>
        <w:gridCol w:w="227"/>
        <w:gridCol w:w="1202"/>
        <w:gridCol w:w="97"/>
        <w:gridCol w:w="97"/>
        <w:gridCol w:w="298"/>
        <w:gridCol w:w="1195"/>
        <w:gridCol w:w="97"/>
        <w:gridCol w:w="97"/>
        <w:gridCol w:w="100"/>
        <w:gridCol w:w="1155"/>
        <w:gridCol w:w="60"/>
        <w:gridCol w:w="60"/>
        <w:gridCol w:w="140"/>
        <w:gridCol w:w="740"/>
        <w:gridCol w:w="60"/>
        <w:gridCol w:w="60"/>
        <w:gridCol w:w="184"/>
        <w:gridCol w:w="736"/>
        <w:gridCol w:w="60"/>
      </w:tblGrid>
      <w:tr>
        <w:trPr/>
        <w:tc>
          <w:tcPr>
            <w:tcW w:w="36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95"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493" w:type="dxa"/>
            <w:gridSpan w:val="2"/>
            <w:tcBorders/>
            <w:shd w:fill="auto" w:val="clear"/>
            <w:vAlign w:val="bottom"/>
          </w:tcPr>
          <w:p>
            <w:pPr>
              <w:pStyle w:val="TableContents"/>
              <w:spacing w:before="0" w:after="283"/>
              <w:jc w:val="center"/>
              <w:rPr>
                <w:b/>
              </w:rPr>
            </w:pPr>
            <w:r>
              <w:rPr>
                <w:b/>
              </w:rPr>
              <w:t>Dollar/</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jc w:val="center"/>
              <w:rPr>
                <w:b/>
              </w:rPr>
            </w:pPr>
            <w:r>
              <w:rPr>
                <w:b/>
              </w:rPr>
              <w:t>Dollar/</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Barrels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Dollars</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4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barrel(2)</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Barrels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Dollars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barrel(2)</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5" w:type="dxa"/>
            <w:gridSpan w:val="10"/>
            <w:tcBorders/>
            <w:shd w:fill="auto" w:val="clear"/>
            <w:vAlign w:val="bottom"/>
          </w:tcPr>
          <w:p>
            <w:pPr>
              <w:pStyle w:val="TableContents"/>
              <w:spacing w:before="0" w:after="283"/>
              <w:jc w:val="center"/>
              <w:rPr>
                <w:b/>
              </w:rPr>
            </w:pPr>
            <w:r>
              <w:rPr>
                <w:b/>
              </w:rPr>
              <w:t>(Barrels in thousands and dollars in millions)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Inventory(1)</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Crude oil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20,502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jc w:val="left"/>
              <w:rPr/>
            </w:pPr>
            <w:r>
              <w:rPr/>
              <w:t>$</w:t>
            </w:r>
          </w:p>
        </w:tc>
        <w:tc>
          <w:tcPr>
            <w:tcW w:w="1202" w:type="dxa"/>
            <w:tcBorders/>
            <w:shd w:fill="auto" w:val="clear"/>
            <w:vAlign w:val="bottom"/>
          </w:tcPr>
          <w:p>
            <w:pPr>
              <w:pStyle w:val="TableContents"/>
              <w:spacing w:before="0" w:after="283"/>
              <w:jc w:val="right"/>
              <w:rPr/>
            </w:pPr>
            <w:r>
              <w:rPr/>
              <w:t>1,297.6</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63.29</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18,331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40" w:type="dxa"/>
            <w:tcBorders/>
            <w:shd w:fill="auto" w:val="clear"/>
            <w:vAlign w:val="bottom"/>
          </w:tcPr>
          <w:p>
            <w:pPr>
              <w:pStyle w:val="TableContents"/>
              <w:spacing w:before="0" w:after="283"/>
              <w:jc w:val="right"/>
              <w:rPr/>
            </w:pPr>
            <w:r>
              <w:rPr/>
              <w:t>1,029.1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36" w:type="dxa"/>
            <w:tcBorders/>
            <w:shd w:fill="auto" w:val="clear"/>
            <w:vAlign w:val="bottom"/>
          </w:tcPr>
          <w:p>
            <w:pPr>
              <w:pStyle w:val="TableContents"/>
              <w:spacing w:before="0" w:after="283"/>
              <w:jc w:val="right"/>
              <w:rPr/>
            </w:pPr>
            <w:r>
              <w:rPr/>
              <w:t>56.14</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LPG</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5,949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274.9</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46.21</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5,818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250.7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36" w:type="dxa"/>
            <w:tcBorders/>
            <w:shd w:fill="CCEEFF" w:val="clear"/>
            <w:vAlign w:val="bottom"/>
          </w:tcPr>
          <w:p>
            <w:pPr>
              <w:pStyle w:val="TableContents"/>
              <w:spacing w:before="0" w:after="283"/>
              <w:jc w:val="right"/>
              <w:rPr/>
            </w:pPr>
            <w:r>
              <w:rPr/>
              <w:t>43.09</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Refined Products</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4.8</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73.85</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36" w:type="dxa"/>
            <w:tcBorders/>
            <w:shd w:fill="auto" w:val="clear"/>
            <w:vAlign w:val="bottom"/>
          </w:tcPr>
          <w:p>
            <w:pPr>
              <w:pStyle w:val="TableContents"/>
              <w:spacing w:before="0" w:after="283"/>
              <w:jc w:val="right"/>
              <w:rPr/>
            </w:pPr>
            <w:r>
              <w:rPr/>
              <w:t>46.91</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Parts and supplies</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8.5</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N/A</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N/A</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450" w:right="0" w:hanging="225"/>
              <w:rPr/>
            </w:pPr>
            <w:r>
              <w:rPr/>
              <w:t>Inventory subtotal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26,516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1,585.8</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24,230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1,290.0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Inventory in third-party assets</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Crude oil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1,156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60.7</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52.51</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1,212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36" w:type="dxa"/>
            <w:tcBorders/>
            <w:shd w:fill="auto" w:val="clear"/>
            <w:vAlign w:val="bottom"/>
          </w:tcPr>
          <w:p>
            <w:pPr>
              <w:pStyle w:val="TableContents"/>
              <w:spacing w:before="0" w:after="283"/>
              <w:jc w:val="right"/>
              <w:rPr/>
            </w:pPr>
            <w:r>
              <w:rPr/>
              <w:t>51.57</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LPG</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3.4</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45.33</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13.2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36" w:type="dxa"/>
            <w:tcBorders/>
            <w:shd w:fill="CCEEFF" w:val="clear"/>
            <w:vAlign w:val="bottom"/>
          </w:tcPr>
          <w:p>
            <w:pPr>
              <w:pStyle w:val="TableContents"/>
              <w:spacing w:before="0" w:after="283"/>
              <w:jc w:val="right"/>
              <w:rPr/>
            </w:pPr>
            <w:r>
              <w:rPr/>
              <w:t>41.51</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450" w:right="0" w:hanging="225"/>
              <w:rPr/>
            </w:pPr>
            <w:r>
              <w:rPr/>
              <w:t>Inventory in third-party assets subtotal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1,231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64.1</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1,530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75.7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Pipeline linefill in owned assets</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Crude oil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7,338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246.8</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33.63</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7,831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36" w:type="dxa"/>
            <w:tcBorders/>
            <w:shd w:fill="auto" w:val="clear"/>
            <w:vAlign w:val="bottom"/>
          </w:tcPr>
          <w:p>
            <w:pPr>
              <w:pStyle w:val="TableContents"/>
              <w:spacing w:before="0" w:after="283"/>
              <w:jc w:val="right"/>
              <w:rPr/>
            </w:pPr>
            <w:r>
              <w:rPr/>
              <w:t>33.76</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LPG</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202" w:type="dxa"/>
            <w:tcBorders/>
            <w:shd w:fill="CCEEFF" w:val="clear"/>
            <w:vAlign w:val="bottom"/>
          </w:tcPr>
          <w:p>
            <w:pPr>
              <w:pStyle w:val="TableContents"/>
              <w:spacing w:before="0" w:after="283"/>
              <w:jc w:val="right"/>
              <w:rPr/>
            </w:pPr>
            <w:r>
              <w:rPr/>
              <w:t>1.5</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38.46</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36" w:type="dxa"/>
            <w:tcBorders/>
            <w:shd w:fill="CCEEFF" w:val="clear"/>
            <w:vAlign w:val="bottom"/>
          </w:tcPr>
          <w:p>
            <w:pPr>
              <w:pStyle w:val="TableContents"/>
              <w:spacing w:before="0" w:after="283"/>
              <w:jc w:val="right"/>
              <w:rPr/>
            </w:pPr>
            <w:r>
              <w:rPr/>
              <w:t>35.48</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450" w:right="0" w:hanging="225"/>
              <w:rPr/>
            </w:pPr>
            <w:r>
              <w:rPr/>
              <w:t>Pipeline linefill in owned assets subtotal</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7,377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jc w:val="right"/>
              <w:rPr/>
            </w:pPr>
            <w:r>
              <w:rPr/>
              <w:t>248.3</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7,862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202"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Total</w:t>
            </w:r>
          </w:p>
        </w:tc>
        <w:tc>
          <w:tcPr>
            <w:tcW w:w="6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35,124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jc w:val="left"/>
              <w:rPr/>
            </w:pPr>
            <w:r>
              <w:rPr/>
              <w:t>$</w:t>
            </w:r>
          </w:p>
        </w:tc>
        <w:tc>
          <w:tcPr>
            <w:tcW w:w="1202" w:type="dxa"/>
            <w:tcBorders/>
            <w:shd w:fill="CCEEFF" w:val="clear"/>
            <w:vAlign w:val="bottom"/>
          </w:tcPr>
          <w:p>
            <w:pPr>
              <w:pStyle w:val="TableContents"/>
              <w:spacing w:before="0" w:after="283"/>
              <w:jc w:val="right"/>
              <w:rPr/>
            </w:pPr>
            <w:r>
              <w:rPr/>
              <w:t>1,898.2</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33,622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40" w:type="dxa"/>
            <w:tcBorders/>
            <w:shd w:fill="CCEEFF" w:val="clear"/>
            <w:vAlign w:val="bottom"/>
          </w:tcPr>
          <w:p>
            <w:pPr>
              <w:pStyle w:val="TableContents"/>
              <w:spacing w:before="0" w:after="283"/>
              <w:jc w:val="right"/>
              <w:rPr/>
            </w:pPr>
            <w:r>
              <w:rPr/>
              <w:t>1,631.2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7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94"/>
        <w:gridCol w:w="2250"/>
        <w:gridCol w:w="1161"/>
      </w:tblGrid>
      <w:tr>
        <w:trPr/>
        <w:tc>
          <w:tcPr>
            <w:tcW w:w="6794"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6794"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rPr/>
            </w:pPr>
            <w:r>
              <w:rPr/>
              <w:t>Includes the impact of inventory hedges on a portion of our volumes.</w:t>
            </w:r>
          </w:p>
        </w:tc>
      </w:tr>
      <w:tr>
        <w:trPr/>
        <w:tc>
          <w:tcPr>
            <w:tcW w:w="6794" w:type="dxa"/>
            <w:tcBorders/>
            <w:shd w:fill="auto" w:val="clear"/>
          </w:tcPr>
          <w:p>
            <w:pPr>
              <w:pStyle w:val="TableContents"/>
              <w:spacing w:before="0" w:after="283"/>
              <w:jc w:val="left"/>
              <w:rPr/>
            </w:pPr>
            <w:r>
              <w:rPr/>
              <w:t>(2)</w:t>
            </w:r>
          </w:p>
        </w:tc>
        <w:tc>
          <w:tcPr>
            <w:tcW w:w="225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rPr/>
            </w:pPr>
            <w:r>
              <w:rPr/>
              <w:t>The prices listed represent a weighted average price associated with various grades and qualities of crude oil, LPG and refined products and, accordingly, is not a comparable metric with published benchmarks for such products.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5Debt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Below is a description of our debt as of June 30, 2007 (in millions): </w:t>
      </w:r>
    </w:p>
    <w:tbl>
      <w:tblPr>
        <w:tblW w:w="5000" w:type="pct"/>
        <w:jc w:val="center"/>
        <w:tblInd w:w="0" w:type="dxa"/>
        <w:tblCellMar>
          <w:top w:w="0" w:type="dxa"/>
          <w:left w:w="0" w:type="dxa"/>
          <w:bottom w:w="0" w:type="dxa"/>
          <w:right w:w="0" w:type="dxa"/>
        </w:tblCellMar>
      </w:tblPr>
      <w:tblGrid>
        <w:gridCol w:w="6247"/>
        <w:gridCol w:w="387"/>
        <w:gridCol w:w="239"/>
        <w:gridCol w:w="1248"/>
        <w:gridCol w:w="137"/>
        <w:gridCol w:w="387"/>
        <w:gridCol w:w="232"/>
        <w:gridCol w:w="1211"/>
        <w:gridCol w:w="117"/>
      </w:tblGrid>
      <w:tr>
        <w:trPr/>
        <w:tc>
          <w:tcPr>
            <w:tcW w:w="624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pPr>
            <w:r>
              <w:rPr/>
              <w:t>     </w:t>
            </w:r>
            <w:r>
              <w:rPr>
                <w:b/>
              </w:rPr>
              <w:t>June 30,     </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43" w:type="dxa"/>
            <w:gridSpan w:val="2"/>
            <w:tcBorders/>
            <w:shd w:fill="auto" w:val="clear"/>
            <w:vAlign w:val="bottom"/>
          </w:tcPr>
          <w:p>
            <w:pPr>
              <w:pStyle w:val="TableContents"/>
              <w:spacing w:before="0" w:after="283"/>
              <w:jc w:val="center"/>
              <w:rPr>
                <w:b/>
              </w:rPr>
            </w:pPr>
            <w:r>
              <w:rPr>
                <w:b/>
              </w:rPr>
              <w:t>December 31,</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4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i/>
              </w:rPr>
            </w:pPr>
            <w:r>
              <w:rPr>
                <w:i/>
              </w:rPr>
              <w:t>Short-term debt:</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Senior secured hedged inventory facility bearing interest at a rate of 5.8% at both June 30, 2007 and December 31, 2006</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248" w:type="dxa"/>
            <w:tcBorders/>
            <w:shd w:fill="auto" w:val="clear"/>
            <w:vAlign w:val="bottom"/>
          </w:tcPr>
          <w:p>
            <w:pPr>
              <w:pStyle w:val="TableContents"/>
              <w:spacing w:before="0" w:after="283"/>
              <w:jc w:val="right"/>
              <w:rPr/>
            </w:pPr>
            <w:r>
              <w:rPr/>
              <w:t>887.6</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211" w:type="dxa"/>
            <w:tcBorders/>
            <w:shd w:fill="auto" w:val="clear"/>
            <w:vAlign w:val="bottom"/>
          </w:tcPr>
          <w:p>
            <w:pPr>
              <w:pStyle w:val="TableContents"/>
              <w:spacing w:before="0" w:after="283"/>
              <w:jc w:val="right"/>
              <w:rPr/>
            </w:pPr>
            <w:r>
              <w:rPr/>
              <w:t>835.3</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 xml:space="preserve">Working capital borrowings, bearing interest at a rate of 5.9% at December 31, 2006(1) </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158.2</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Other</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3.3</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7.7</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4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450" w:right="0" w:hanging="225"/>
              <w:rPr/>
            </w:pPr>
            <w:r>
              <w:rPr/>
              <w:t>Total short-term debt</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890.9</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1,001.2</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i/>
              </w:rPr>
            </w:pPr>
            <w:r>
              <w:rPr>
                <w:i/>
              </w:rPr>
              <w:t>Long-term debt:</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 </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4.75% senior notes due August 2009, net of unamortized discount of $0.3 million and $0.4 million at June 30, 2007 and December 31, 2006, respectively</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283"/>
              <w:jc w:val="right"/>
              <w:rPr/>
            </w:pPr>
            <w:r>
              <w:rPr/>
              <w:t>174.7</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174.6</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 xml:space="preserve">7.75% senior notes due October 2012, net of unamortized discount of $0.2 million and $0.2 million at June 30, 2007 and December 31, 2006, respectively </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199.8</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199.8</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 xml:space="preserve">5.63% senior notes due December 2013, net of unamortized discount of $0.4 million and $0.5 million at June 30, 2007 and December 31, 2006, respectively </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249.6</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249.5</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7.13 % senior notes due June 2014, net of unamortized premium of $8.2 million and $8.8 million at June 30, 2007 and December 31, 2006, respectively</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258.2</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258.8</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 xml:space="preserve">5.25% senior notes due June 2015, net of unamortized discount of $0.6 million and $0.6 million at June 30, 2007 and December 31, 2006, respectively </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149.4</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149.4</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6.25% senior notes due September 2015, net of unamortized discount of $0.8 million and $0.8 million at June 30, 2007 and December 31, 2006, respectively</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174.2</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174.2</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 xml:space="preserve">5.88% senior notes due August 2016, net of unamortized discount of $0.9 million and $0.9 million at June 30, 2007 and December 31, 2006, respectively </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174.1</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174.1</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6.13% senior notes due January 2017, net of unamortized discount of $1.6 million and $1.8 million at June 30, 2007 and December 31, 2006, respectively</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398.4</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398.2</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6.70% senior notes due May 2036, net of unamortized discount of $0.4 million and $0.4 million at June 30, 2007 and December 31, 2006, respectively</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249.6</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249.6</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6.65% senior notes due January 2037, net of unamortized discount of $4.9 million and $5.0 million at June 30, 2007 and December 31, 2006, respectively</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595.1</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595.0</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4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Senior notes, net of unamortized discount (2)</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2,623.1</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2,623.2</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bottom"/>
          </w:tcPr>
          <w:p>
            <w:pPr>
              <w:pStyle w:val="TableContents"/>
              <w:spacing w:before="0" w:after="0"/>
              <w:ind w:left="225" w:right="0" w:hanging="225"/>
              <w:rPr/>
            </w:pPr>
            <w:r>
              <w:rPr/>
              <w:t>Adjustment related to fair value hedge</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Long-term debt under credit facilities and other</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2.6</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3.1</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4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6247" w:type="dxa"/>
            <w:tcBorders/>
            <w:shd w:fill="auto" w:val="clear"/>
            <w:vAlign w:val="bottom"/>
          </w:tcPr>
          <w:p>
            <w:pPr>
              <w:pStyle w:val="TableContents"/>
              <w:spacing w:before="0" w:after="0"/>
              <w:ind w:left="450" w:right="0" w:hanging="225"/>
              <w:rPr/>
            </w:pPr>
            <w:r>
              <w:rPr/>
              <w:t>Total long-term debt (1)(2)</w:t>
            </w:r>
          </w:p>
        </w:tc>
        <w:tc>
          <w:tcPr>
            <w:tcW w:w="38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2,624.3</w:t>
            </w:r>
          </w:p>
        </w:tc>
        <w:tc>
          <w:tcPr>
            <w:tcW w:w="137"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2,626.3</w:t>
            </w:r>
          </w:p>
        </w:tc>
        <w:tc>
          <w:tcPr>
            <w:tcW w:w="117" w:type="dxa"/>
            <w:tcBorders/>
            <w:shd w:fill="auto" w:val="clear"/>
            <w:vAlign w:val="bottom"/>
          </w:tcPr>
          <w:p>
            <w:pPr>
              <w:pStyle w:val="TableContents"/>
              <w:spacing w:before="0" w:after="283"/>
              <w:rPr/>
            </w:pPr>
            <w:r>
              <w:rPr/>
              <w:t> </w:t>
            </w:r>
          </w:p>
        </w:tc>
      </w:tr>
      <w:tr>
        <w:trPr/>
        <w:tc>
          <w:tcPr>
            <w:tcW w:w="6247"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4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6247" w:type="dxa"/>
            <w:tcBorders/>
            <w:shd w:fill="CCEEFF" w:val="clear"/>
            <w:vAlign w:val="bottom"/>
          </w:tcPr>
          <w:p>
            <w:pPr>
              <w:pStyle w:val="TableContents"/>
              <w:spacing w:before="0" w:after="0"/>
              <w:ind w:left="225" w:right="0" w:hanging="225"/>
              <w:rPr/>
            </w:pPr>
            <w:r>
              <w:rPr/>
              <w:t>Total debt</w:t>
            </w:r>
          </w:p>
        </w:tc>
        <w:tc>
          <w:tcPr>
            <w:tcW w:w="38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248" w:type="dxa"/>
            <w:tcBorders/>
            <w:shd w:fill="CCEEFF" w:val="clear"/>
            <w:vAlign w:val="bottom"/>
          </w:tcPr>
          <w:p>
            <w:pPr>
              <w:pStyle w:val="TableContents"/>
              <w:spacing w:before="0" w:after="283"/>
              <w:jc w:val="right"/>
              <w:rPr/>
            </w:pPr>
            <w:r>
              <w:rPr/>
              <w:t>3,515.2</w:t>
            </w:r>
          </w:p>
        </w:tc>
        <w:tc>
          <w:tcPr>
            <w:tcW w:w="137"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211" w:type="dxa"/>
            <w:tcBorders/>
            <w:shd w:fill="CCEEFF" w:val="clear"/>
            <w:vAlign w:val="bottom"/>
          </w:tcPr>
          <w:p>
            <w:pPr>
              <w:pStyle w:val="TableContents"/>
              <w:spacing w:before="0" w:after="283"/>
              <w:jc w:val="right"/>
              <w:rPr/>
            </w:pPr>
            <w:r>
              <w:rPr/>
              <w:t>3,627.5</w:t>
            </w:r>
          </w:p>
        </w:tc>
        <w:tc>
          <w:tcPr>
            <w:tcW w:w="117" w:type="dxa"/>
            <w:tcBorders/>
            <w:shd w:fill="CCEEFF" w:val="clear"/>
            <w:vAlign w:val="bottom"/>
          </w:tcPr>
          <w:p>
            <w:pPr>
              <w:pStyle w:val="TableContents"/>
              <w:spacing w:before="0" w:after="283"/>
              <w:rPr/>
            </w:pPr>
            <w:r>
              <w:rPr/>
              <w:t> </w:t>
            </w:r>
          </w:p>
        </w:tc>
      </w:tr>
      <w:tr>
        <w:trPr/>
        <w:tc>
          <w:tcPr>
            <w:tcW w:w="6247" w:type="dxa"/>
            <w:tcBorders/>
            <w:shd w:fill="auto" w:val="clear"/>
            <w:vAlign w:val="center"/>
          </w:tcPr>
          <w:p>
            <w:pPr>
              <w:pStyle w:val="TableContents"/>
              <w:spacing w:before="0" w:after="0"/>
              <w:ind w:left="225" w:right="0" w:hanging="225"/>
              <w:rPr/>
            </w:pPr>
            <w:r>
              <w:rPr/>
              <w:t> </w:t>
            </w:r>
          </w:p>
        </w:tc>
        <w:tc>
          <w:tcPr>
            <w:tcW w:w="387"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4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5832"/>
        <w:gridCol w:w="1937"/>
        <w:gridCol w:w="2436"/>
      </w:tblGrid>
      <w:tr>
        <w:trPr/>
        <w:tc>
          <w:tcPr>
            <w:tcW w:w="5832"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r>
      <w:tr>
        <w:trPr/>
        <w:tc>
          <w:tcPr>
            <w:tcW w:w="5832" w:type="dxa"/>
            <w:tcBorders/>
            <w:shd w:fill="auto" w:val="clear"/>
          </w:tcPr>
          <w:p>
            <w:pPr>
              <w:pStyle w:val="TableContents"/>
              <w:spacing w:before="0" w:after="283"/>
              <w:jc w:val="left"/>
              <w:rPr/>
            </w:pPr>
            <w:r>
              <w:rPr/>
              <w:t>(1)</w:t>
            </w:r>
          </w:p>
        </w:tc>
        <w:tc>
          <w:tcPr>
            <w:tcW w:w="1937" w:type="dxa"/>
            <w:tcBorders/>
            <w:shd w:fill="auto" w:val="clear"/>
          </w:tcPr>
          <w:p>
            <w:pPr>
              <w:pStyle w:val="TableContents"/>
              <w:spacing w:before="0" w:after="283"/>
              <w:rPr/>
            </w:pPr>
            <w:r>
              <w:rPr/>
              <w:t> </w:t>
            </w:r>
          </w:p>
        </w:tc>
        <w:tc>
          <w:tcPr>
            <w:tcW w:w="2436" w:type="dxa"/>
            <w:tcBorders/>
            <w:shd w:fill="auto" w:val="clear"/>
          </w:tcPr>
          <w:p>
            <w:pPr>
              <w:pStyle w:val="TableContents"/>
              <w:spacing w:before="0" w:after="283"/>
              <w:rPr/>
            </w:pPr>
            <w:r>
              <w:rPr/>
              <w:t>At December 31, 2006, we have classified $158.2 million of borrowings under our senior unsecured revolving credit facility as short-term. These borrowings are designated as working capital borrowings, must be repaid within one year, and are primarily for hedged inventory and New York Mercantile Exchange (NYMEX) and IntercontinentalExchange (ICE) margin deposits. No amounts were reclassified at June 30, 2007.</w:t>
            </w:r>
          </w:p>
        </w:tc>
      </w:tr>
      <w:tr>
        <w:trPr/>
        <w:tc>
          <w:tcPr>
            <w:tcW w:w="5832" w:type="dxa"/>
            <w:tcBorders/>
            <w:shd w:fill="auto" w:val="clear"/>
            <w:vAlign w:val="center"/>
          </w:tcPr>
          <w:p>
            <w:pPr>
              <w:pStyle w:val="TableContents"/>
              <w:spacing w:before="0" w:after="283"/>
              <w:rPr/>
            </w:pPr>
            <w:r>
              <w:rPr/>
              <w:t> </w:t>
            </w:r>
          </w:p>
        </w:tc>
        <w:tc>
          <w:tcPr>
            <w:tcW w:w="4373" w:type="dxa"/>
            <w:gridSpan w:val="2"/>
            <w:tcBorders/>
            <w:shd w:fill="auto" w:val="clear"/>
          </w:tcPr>
          <w:p>
            <w:pPr>
              <w:pStyle w:val="TableContents"/>
              <w:spacing w:before="0" w:after="283"/>
              <w:rPr>
                <w:sz w:val="4"/>
                <w:szCs w:val="4"/>
              </w:rPr>
            </w:pPr>
            <w:r>
              <w:rPr>
                <w:sz w:val="4"/>
                <w:szCs w:val="4"/>
              </w:rPr>
            </w:r>
          </w:p>
        </w:tc>
      </w:tr>
      <w:tr>
        <w:trPr/>
        <w:tc>
          <w:tcPr>
            <w:tcW w:w="5832" w:type="dxa"/>
            <w:tcBorders/>
            <w:shd w:fill="auto" w:val="clear"/>
          </w:tcPr>
          <w:p>
            <w:pPr>
              <w:pStyle w:val="TableContents"/>
              <w:spacing w:before="0" w:after="283"/>
              <w:jc w:val="left"/>
              <w:rPr/>
            </w:pPr>
            <w:r>
              <w:rPr/>
              <w:t>(2)</w:t>
            </w:r>
          </w:p>
        </w:tc>
        <w:tc>
          <w:tcPr>
            <w:tcW w:w="1937" w:type="dxa"/>
            <w:tcBorders/>
            <w:shd w:fill="auto" w:val="clear"/>
          </w:tcPr>
          <w:p>
            <w:pPr>
              <w:pStyle w:val="TableContents"/>
              <w:spacing w:before="0" w:after="283"/>
              <w:rPr/>
            </w:pPr>
            <w:r>
              <w:rPr/>
              <w:t> </w:t>
            </w:r>
          </w:p>
        </w:tc>
        <w:tc>
          <w:tcPr>
            <w:tcW w:w="2436" w:type="dxa"/>
            <w:tcBorders/>
            <w:shd w:fill="auto" w:val="clear"/>
          </w:tcPr>
          <w:p>
            <w:pPr>
              <w:pStyle w:val="TableContents"/>
              <w:spacing w:before="0" w:after="283"/>
              <w:rPr/>
            </w:pPr>
            <w:r>
              <w:rPr/>
              <w:t>At June 30, 2007, the aggregate fair value of our fixed rate senior notes is estimated to be approximately $2,624.2 million. The carrying values of the variable rate instruments in our credit facilities approximate fair value primarily because interest rates fluctuate with prevailing market rates, and the credit spread on outstanding borrowings reflects market.</w:t>
            </w:r>
          </w:p>
        </w:tc>
      </w:tr>
    </w:tbl>
    <w:p>
      <w:pPr>
        <w:pStyle w:val="TextBody"/>
        <w:spacing w:before="120" w:after="283"/>
        <w:jc w:val="left"/>
        <w:rPr/>
      </w:pPr>
      <w:r>
        <w:rPr/>
        <w:t>     </w:t>
      </w:r>
      <w:r>
        <w:rPr>
          <w:rFonts w:ascii="Times New Roman;Times;serif" w:hAnsi="Times New Roman;Times;serif"/>
          <w:sz w:val="17"/>
        </w:rPr>
        <w:t xml:space="preserve">In June 2007, the borrowing capacity under our senior secured hedged inventory facility was increased from $1.0 billion to $1.2 billion under the terms and conditions of such facility, as amended. </w:t>
      </w:r>
    </w:p>
    <w:p>
      <w:pPr>
        <w:pStyle w:val="TextBody"/>
        <w:spacing w:before="120" w:after="283"/>
        <w:jc w:val="left"/>
        <w:rPr/>
      </w:pPr>
      <w:r>
        <w:rPr/>
        <w:t>     </w:t>
      </w:r>
      <w:r>
        <w:rPr>
          <w:rFonts w:ascii="Times New Roman;Times;serif" w:hAnsi="Times New Roman;Times;serif"/>
          <w:sz w:val="17"/>
        </w:rPr>
        <w:t xml:space="preserve">On July 31, 2007, we amended our revolving credit facility to, among other things, change the maximum debt coverage ratio during an acquisition period from 5.25 to 1.0 to 5.5 to 1.0, and extend the maturity date from July 2011 to July 27, 2012.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Letters of Credit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our crude oil marketing business and as is customary in our industry,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and accrued liabilities on our balance sheet in the month the crude oil is purchased. Generally, these letters of credit are issued for periods of up to seventy days and are terminated upon completion of each transaction. At June 30, 2007, approximately $89.4 million of letters of credit were outstanding under our credit facility.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Note 6Earnings Per Limited Partner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Subject to applicability of Emerging Issues Task Force Issue No. 03-06 (EITF 03-06), Participating Securities and the Two-Class Method under Financial Accounting Standards Board (FASB) Statement No. 128, as discussed below, Partnership income is first allocated to the general partner based on the amount of incentive distributions. The remainder is then allocated 98% to the limited partners and 2% to the general partner. Basic and diluted net income per limited partner unit is determined by dividing net income attributable to limited partners by the weighted average number of outstanding limited partner units during the period. </w:t>
      </w:r>
    </w:p>
    <w:p>
      <w:pPr>
        <w:pStyle w:val="TextBody"/>
        <w:spacing w:before="120" w:after="283"/>
        <w:jc w:val="left"/>
        <w:rPr/>
      </w:pPr>
      <w:r>
        <w:rPr/>
        <w:t>     </w:t>
      </w:r>
      <w:r>
        <w:rPr>
          <w:rFonts w:ascii="Times New Roman;Times;serif" w:hAnsi="Times New Roman;Times;serif"/>
          <w:sz w:val="17"/>
        </w:rPr>
        <w:t xml:space="preserve">EITF 03-06 addresses the computation of earnings per share by entities that have issued securities other than common stock that contractually entitle the holder to participate in dividends and earnings of the entity when, and if, it declares dividends on its common stock (or partnership distributions to unitholders). EITF 03-06 applies to any accounting period where our aggregate net income exceeds our aggregate distribution. In such periods, we are required to present earnings per unit as if all of the earnings for the periods were distributed, regardless of the pro forma nature of this allocation and whether those earnings would actually be distributed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(as if distributed) to our general partner, even though we make cash distributions on the basis of cash available for distributions, not earnings, in any given accounting period. Earnings per limited partner unit (both basic and diluted) were reduced by $0.11 and $0.15 for the three and six months ended June 30, 2006, respectively, attributable to the application of EITF 03-06. The application of EITF 03-06 had no impact on our results for the three and six months ended June 30, 2007.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following sets forth the computation of basic and diluted earnings per limited partner unit (in millions, except per unit data). </w:t>
      </w:r>
    </w:p>
    <w:tbl>
      <w:tblPr>
        <w:tblW w:w="5000" w:type="pct"/>
        <w:jc w:val="center"/>
        <w:tblInd w:w="0" w:type="dxa"/>
        <w:tblCellMar>
          <w:top w:w="0" w:type="dxa"/>
          <w:left w:w="0" w:type="dxa"/>
          <w:bottom w:w="0" w:type="dxa"/>
          <w:right w:w="0" w:type="dxa"/>
        </w:tblCellMar>
      </w:tblPr>
      <w:tblGrid>
        <w:gridCol w:w="4022"/>
        <w:gridCol w:w="358"/>
        <w:gridCol w:w="215"/>
        <w:gridCol w:w="928"/>
        <w:gridCol w:w="166"/>
        <w:gridCol w:w="381"/>
        <w:gridCol w:w="215"/>
        <w:gridCol w:w="799"/>
        <w:gridCol w:w="130"/>
        <w:gridCol w:w="358"/>
        <w:gridCol w:w="184"/>
        <w:gridCol w:w="804"/>
        <w:gridCol w:w="145"/>
        <w:gridCol w:w="367"/>
        <w:gridCol w:w="184"/>
        <w:gridCol w:w="807"/>
        <w:gridCol w:w="142"/>
      </w:tblGrid>
      <w:tr>
        <w:trPr/>
        <w:tc>
          <w:tcPr>
            <w:tcW w:w="402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704" w:type="dxa"/>
            <w:gridSpan w:val="6"/>
            <w:tcBorders/>
            <w:shd w:fill="auto" w:val="clear"/>
            <w:vAlign w:val="bottom"/>
          </w:tcPr>
          <w:p>
            <w:pPr>
              <w:pStyle w:val="TableContents"/>
              <w:spacing w:before="0" w:after="283"/>
              <w:jc w:val="center"/>
              <w:rPr>
                <w:b/>
              </w:rPr>
            </w:pPr>
            <w:r>
              <w:rPr>
                <w:b/>
              </w:rPr>
              <w:t>Three Months Ended</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491" w:type="dxa"/>
            <w:gridSpan w:val="6"/>
            <w:tcBorders/>
            <w:shd w:fill="auto" w:val="clear"/>
            <w:vAlign w:val="bottom"/>
          </w:tcPr>
          <w:p>
            <w:pPr>
              <w:pStyle w:val="TableContents"/>
              <w:spacing w:before="0" w:after="283"/>
              <w:jc w:val="center"/>
              <w:rPr>
                <w:b/>
              </w:rPr>
            </w:pPr>
            <w:r>
              <w:rPr>
                <w:b/>
              </w:rPr>
              <w:t>Six Months Ended</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70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249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225" w:right="0" w:hanging="225"/>
              <w:rPr/>
            </w:pPr>
            <w:r>
              <w:rPr/>
              <w:t>Numerator:</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Net income</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104.8</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80.3</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189.5</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143.7</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675" w:right="0" w:hanging="225"/>
              <w:rPr/>
            </w:pPr>
            <w:r>
              <w:rPr/>
              <w:t>Less: General partners incentive distribution paid</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(16.7</w:t>
            </w:r>
          </w:p>
        </w:tc>
        <w:tc>
          <w:tcPr>
            <w:tcW w:w="16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(7.4</w:t>
            </w:r>
          </w:p>
        </w:tc>
        <w:tc>
          <w:tcPr>
            <w:tcW w:w="130" w:type="dxa"/>
            <w:tcBorders/>
            <w:shd w:fill="CCEEFF" w:val="clear"/>
            <w:vAlign w:val="bottom"/>
          </w:tcPr>
          <w:p>
            <w:pPr>
              <w:pStyle w:val="TableContents"/>
              <w:spacing w:before="0" w:after="283"/>
              <w:rPr/>
            </w:pPr>
            <w:r>
              <w:rPr/>
              <w:t>)</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(32.0</w:t>
            </w:r>
          </w:p>
        </w:tc>
        <w:tc>
          <w:tcPr>
            <w:tcW w:w="145" w:type="dxa"/>
            <w:tcBorders/>
            <w:shd w:fill="CCEEFF" w:val="clear"/>
            <w:vAlign w:val="bottom"/>
          </w:tcPr>
          <w:p>
            <w:pPr>
              <w:pStyle w:val="TableContents"/>
              <w:spacing w:before="0" w:after="283"/>
              <w:rPr/>
            </w:pPr>
            <w:r>
              <w:rPr/>
              <w:t>)</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(12.9</w:t>
            </w:r>
          </w:p>
        </w:tc>
        <w:tc>
          <w:tcPr>
            <w:tcW w:w="142" w:type="dxa"/>
            <w:tcBorders/>
            <w:shd w:fill="CCEEFF" w:val="clear"/>
            <w:vAlign w:val="bottom"/>
          </w:tcPr>
          <w:p>
            <w:pPr>
              <w:pStyle w:val="TableContents"/>
              <w:spacing w:before="0" w:after="283"/>
              <w:rPr/>
            </w:pPr>
            <w:r>
              <w:rPr/>
              <w:t>)</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675" w:right="0" w:hanging="225"/>
              <w:rPr/>
            </w:pPr>
            <w:r>
              <w:rPr/>
              <w:t>Subtotal</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88.1</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72.9</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157.5</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130.8</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675" w:right="0" w:hanging="225"/>
              <w:rPr/>
            </w:pPr>
            <w:r>
              <w:rPr/>
              <w:t>Less: General partner 2% ownership</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(1.8</w:t>
            </w:r>
          </w:p>
        </w:tc>
        <w:tc>
          <w:tcPr>
            <w:tcW w:w="166" w:type="dxa"/>
            <w:tcBorders/>
            <w:shd w:fill="CCEEFF" w:val="clear"/>
            <w:vAlign w:val="bottom"/>
          </w:tcPr>
          <w:p>
            <w:pPr>
              <w:pStyle w:val="TableContents"/>
              <w:spacing w:before="0" w:after="283"/>
              <w:rPr/>
            </w:pPr>
            <w:r>
              <w:rPr/>
              <w:t>)</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(1.5</w:t>
            </w:r>
          </w:p>
        </w:tc>
        <w:tc>
          <w:tcPr>
            <w:tcW w:w="130" w:type="dxa"/>
            <w:tcBorders/>
            <w:shd w:fill="CCEEFF" w:val="clear"/>
            <w:vAlign w:val="bottom"/>
          </w:tcPr>
          <w:p>
            <w:pPr>
              <w:pStyle w:val="TableContents"/>
              <w:spacing w:before="0" w:after="283"/>
              <w:rPr/>
            </w:pPr>
            <w:r>
              <w:rPr/>
              <w:t>)</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(3.1</w:t>
            </w:r>
          </w:p>
        </w:tc>
        <w:tc>
          <w:tcPr>
            <w:tcW w:w="145" w:type="dxa"/>
            <w:tcBorders/>
            <w:shd w:fill="CCEEFF" w:val="clear"/>
            <w:vAlign w:val="bottom"/>
          </w:tcPr>
          <w:p>
            <w:pPr>
              <w:pStyle w:val="TableContents"/>
              <w:spacing w:before="0" w:after="283"/>
              <w:rPr/>
            </w:pPr>
            <w:r>
              <w:rPr/>
              <w:t>)</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(2.6</w:t>
            </w:r>
          </w:p>
        </w:tc>
        <w:tc>
          <w:tcPr>
            <w:tcW w:w="142" w:type="dxa"/>
            <w:tcBorders/>
            <w:shd w:fill="CCEEFF" w:val="clear"/>
            <w:vAlign w:val="bottom"/>
          </w:tcPr>
          <w:p>
            <w:pPr>
              <w:pStyle w:val="TableContents"/>
              <w:spacing w:before="0" w:after="283"/>
              <w:rPr/>
            </w:pPr>
            <w:r>
              <w:rPr/>
              <w:t>)</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675" w:right="0" w:hanging="225"/>
              <w:rPr/>
            </w:pPr>
            <w:r>
              <w:rPr/>
              <w:t>Net income available to limited partners</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86.3</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71.4</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154.4</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128.2</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675" w:right="0" w:hanging="225"/>
              <w:rPr/>
            </w:pPr>
            <w:r>
              <w:rPr/>
              <w:t>Less: EITF 03-06 additional general partners distribution</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(8.2</w:t>
            </w:r>
          </w:p>
        </w:tc>
        <w:tc>
          <w:tcPr>
            <w:tcW w:w="130" w:type="dxa"/>
            <w:tcBorders/>
            <w:shd w:fill="CCEEFF" w:val="clear"/>
            <w:vAlign w:val="bottom"/>
          </w:tcPr>
          <w:p>
            <w:pPr>
              <w:pStyle w:val="TableContents"/>
              <w:spacing w:before="0" w:after="283"/>
              <w:rPr/>
            </w:pPr>
            <w:r>
              <w:rPr/>
              <w:t>)</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(11.2</w:t>
            </w:r>
          </w:p>
        </w:tc>
        <w:tc>
          <w:tcPr>
            <w:tcW w:w="142" w:type="dxa"/>
            <w:tcBorders/>
            <w:shd w:fill="CCEEFF" w:val="clear"/>
            <w:vAlign w:val="bottom"/>
          </w:tcPr>
          <w:p>
            <w:pPr>
              <w:pStyle w:val="TableContents"/>
              <w:spacing w:before="0" w:after="283"/>
              <w:rPr/>
            </w:pPr>
            <w:r>
              <w:rPr/>
              <w:t>)</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675" w:right="0" w:hanging="225"/>
              <w:rPr/>
            </w:pPr>
            <w:r>
              <w:rPr/>
              <w:t>Net income available to limited partners under EITF 03-06</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86.3</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63.2</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154.4</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jc w:val="right"/>
              <w:rPr/>
            </w:pPr>
            <w:r>
              <w:rPr/>
              <w:t>117.0</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450" w:right="0" w:hanging="225"/>
              <w:rPr/>
            </w:pPr>
            <w:r>
              <w:rPr/>
              <w:t>Less: Limited partner 98% portion of cumulative effect of change in accounting principle</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07" w:type="dxa"/>
            <w:tcBorders/>
            <w:shd w:fill="CCEEFF" w:val="clear"/>
            <w:vAlign w:val="bottom"/>
          </w:tcPr>
          <w:p>
            <w:pPr>
              <w:pStyle w:val="TableContents"/>
              <w:spacing w:before="0" w:after="283"/>
              <w:jc w:val="right"/>
              <w:rPr/>
            </w:pPr>
            <w:r>
              <w:rPr/>
              <w:t>(6.2</w:t>
            </w:r>
          </w:p>
        </w:tc>
        <w:tc>
          <w:tcPr>
            <w:tcW w:w="142" w:type="dxa"/>
            <w:tcBorders/>
            <w:shd w:fill="CCEEFF" w:val="clear"/>
            <w:vAlign w:val="bottom"/>
          </w:tcPr>
          <w:p>
            <w:pPr>
              <w:pStyle w:val="TableContents"/>
              <w:spacing w:before="0" w:after="283"/>
              <w:rPr/>
            </w:pPr>
            <w:r>
              <w:rPr/>
              <w:t>)</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450" w:right="0" w:hanging="225"/>
              <w:rPr/>
            </w:pPr>
            <w:r>
              <w:rPr/>
              <w:t>Limited partner net income before cumulative effect of change in accounting principle</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86.3</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63.2</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154.4</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110.8</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225" w:right="0" w:hanging="225"/>
              <w:rPr/>
            </w:pPr>
            <w:r>
              <w:rPr/>
              <w:t>Denominator:</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450" w:right="0" w:hanging="225"/>
              <w:rPr/>
            </w:pPr>
            <w:r>
              <w:rPr/>
              <w:t>Basic earnings per limited partner unit (weighted average number of limited partner units outstanding)</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110.5</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77.0</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109.9</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75.5</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450" w:right="0" w:hanging="225"/>
              <w:rPr/>
            </w:pPr>
            <w:r>
              <w:rPr/>
              <w:t>Effect of dilutive securities:</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675" w:right="0" w:hanging="225"/>
              <w:rPr/>
            </w:pPr>
            <w:r>
              <w:rPr/>
              <w:t>LTIP units outstanding (1)</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0.7</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0.8</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1.0</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0.8</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900" w:right="0" w:hanging="225"/>
              <w:rPr/>
            </w:pPr>
            <w:r>
              <w:rPr/>
              <w:t>Diluted earnings per limited partner unit (weighted average number of limited partner units outstanding)</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111.2</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77.8</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110.9</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76.3</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Basic net income per limited partner unit before cumulative effect of change in accounting principle</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0.78</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0.82</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1.40</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1.47</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0.08</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Basic net income per limited partner unit</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0.78</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0.82</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4" w:type="dxa"/>
            <w:tcBorders/>
            <w:shd w:fill="auto" w:val="clear"/>
            <w:vAlign w:val="bottom"/>
          </w:tcPr>
          <w:p>
            <w:pPr>
              <w:pStyle w:val="TableContents"/>
              <w:spacing w:before="0" w:after="283"/>
              <w:jc w:val="right"/>
              <w:rPr/>
            </w:pPr>
            <w:r>
              <w:rPr/>
              <w:t>1.40</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1.55</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 </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225" w:right="0" w:hanging="225"/>
              <w:rPr/>
            </w:pPr>
            <w:r>
              <w:rPr/>
              <w:t>Diluted net income per limited partner unit before cumulative effect of change in accounting principle</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0.78</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0.81</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1.39</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1.45</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Cumulative effect of change in accounting principle per limited partner unit</w:t>
            </w:r>
          </w:p>
        </w:tc>
        <w:tc>
          <w:tcPr>
            <w:tcW w:w="3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0.08</w:t>
            </w:r>
          </w:p>
        </w:tc>
        <w:tc>
          <w:tcPr>
            <w:tcW w:w="142"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4022" w:type="dxa"/>
            <w:tcBorders/>
            <w:shd w:fill="CCEEFF" w:val="clear"/>
            <w:vAlign w:val="bottom"/>
          </w:tcPr>
          <w:p>
            <w:pPr>
              <w:pStyle w:val="TableContents"/>
              <w:spacing w:before="0" w:after="0"/>
              <w:ind w:left="225" w:right="0" w:hanging="225"/>
              <w:rPr/>
            </w:pPr>
            <w:r>
              <w:rPr/>
              <w:t>Diluted net income per limited partner unit</w:t>
            </w:r>
          </w:p>
        </w:tc>
        <w:tc>
          <w:tcPr>
            <w:tcW w:w="3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0.78</w:t>
            </w:r>
          </w:p>
        </w:tc>
        <w:tc>
          <w:tcPr>
            <w:tcW w:w="166"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0.81</w:t>
            </w:r>
          </w:p>
        </w:tc>
        <w:tc>
          <w:tcPr>
            <w:tcW w:w="13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4" w:type="dxa"/>
            <w:tcBorders/>
            <w:shd w:fill="CCEEFF" w:val="clear"/>
            <w:vAlign w:val="bottom"/>
          </w:tcPr>
          <w:p>
            <w:pPr>
              <w:pStyle w:val="TableContents"/>
              <w:spacing w:before="0" w:after="283"/>
              <w:jc w:val="right"/>
              <w:rPr/>
            </w:pPr>
            <w:r>
              <w:rPr/>
              <w:t>1.39</w:t>
            </w:r>
          </w:p>
        </w:tc>
        <w:tc>
          <w:tcPr>
            <w:tcW w:w="1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7" w:type="dxa"/>
            <w:tcBorders/>
            <w:shd w:fill="CCEEFF" w:val="clear"/>
            <w:vAlign w:val="bottom"/>
          </w:tcPr>
          <w:p>
            <w:pPr>
              <w:pStyle w:val="TableContents"/>
              <w:spacing w:before="0" w:after="283"/>
              <w:jc w:val="right"/>
              <w:rPr/>
            </w:pPr>
            <w:r>
              <w:rPr/>
              <w:t>1.53</w:t>
            </w:r>
          </w:p>
        </w:tc>
        <w:tc>
          <w:tcPr>
            <w:tcW w:w="142" w:type="dxa"/>
            <w:tcBorders/>
            <w:shd w:fill="CCEEFF"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58"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Our LTIP awards that contemplate the issuance of common units described in Note 8 are considered dilutive securities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Statement of Financial Accounting Standards (SFAS) No. 128, Earnings per Share.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sz w:val="17"/>
        </w:rPr>
        <w:t>Note 7Partners Capital and Distributions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Direct Placements of Common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completed the following equity offerings of our common units during the six months ended June 30, 2007 and 2006, respectively (in millions, except units and per unit amounts): </w:t>
      </w:r>
    </w:p>
    <w:tbl>
      <w:tblPr>
        <w:tblW w:w="5000" w:type="pct"/>
        <w:jc w:val="center"/>
        <w:tblInd w:w="0" w:type="dxa"/>
        <w:tblCellMar>
          <w:top w:w="0" w:type="dxa"/>
          <w:left w:w="0" w:type="dxa"/>
          <w:bottom w:w="0" w:type="dxa"/>
          <w:right w:w="0" w:type="dxa"/>
        </w:tblCellMar>
      </w:tblPr>
      <w:tblGrid>
        <w:gridCol w:w="1198"/>
        <w:gridCol w:w="341"/>
        <w:gridCol w:w="1158"/>
        <w:gridCol w:w="341"/>
        <w:gridCol w:w="1199"/>
        <w:gridCol w:w="341"/>
        <w:gridCol w:w="1166"/>
        <w:gridCol w:w="341"/>
        <w:gridCol w:w="1364"/>
        <w:gridCol w:w="341"/>
        <w:gridCol w:w="934"/>
        <w:gridCol w:w="341"/>
        <w:gridCol w:w="1140"/>
      </w:tblGrid>
      <w:tr>
        <w:trPr/>
        <w:tc>
          <w:tcPr>
            <w:tcW w:w="119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r>
      <w:tr>
        <w:trPr/>
        <w:tc>
          <w:tcPr>
            <w:tcW w:w="119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center"/>
              <w:rPr>
                <w:b/>
              </w:rPr>
            </w:pPr>
            <w:r>
              <w:rPr>
                <w:b/>
              </w:rPr>
              <w:t>Gross</w:t>
            </w:r>
          </w:p>
        </w:tc>
        <w:tc>
          <w:tcPr>
            <w:tcW w:w="341"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center"/>
              <w:rPr>
                <w:b/>
              </w:rPr>
            </w:pPr>
            <w:r>
              <w:rPr>
                <w:b/>
              </w:rPr>
              <w:t>Proceeds</w:t>
            </w:r>
          </w:p>
        </w:tc>
        <w:tc>
          <w:tcPr>
            <w:tcW w:w="341" w:type="dxa"/>
            <w:tcBorders/>
            <w:shd w:fill="auto" w:val="clear"/>
            <w:vAlign w:val="bottom"/>
          </w:tcPr>
          <w:p>
            <w:pPr>
              <w:pStyle w:val="TableContents"/>
              <w:spacing w:before="0" w:after="283"/>
              <w:rPr/>
            </w:pPr>
            <w:r>
              <w:rPr/>
              <w:t> </w:t>
            </w:r>
          </w:p>
        </w:tc>
        <w:tc>
          <w:tcPr>
            <w:tcW w:w="1364" w:type="dxa"/>
            <w:tcBorders/>
            <w:shd w:fill="auto" w:val="clear"/>
            <w:vAlign w:val="bottom"/>
          </w:tcPr>
          <w:p>
            <w:pPr>
              <w:pStyle w:val="TableContents"/>
              <w:spacing w:before="0" w:after="283"/>
              <w:jc w:val="center"/>
              <w:rPr>
                <w:b/>
              </w:rPr>
            </w:pPr>
            <w:r>
              <w:rPr>
                <w:b/>
              </w:rPr>
              <w:t>General</w:t>
              <w:br/>
              <w:t>Partner</w:t>
            </w:r>
          </w:p>
        </w:tc>
        <w:tc>
          <w:tcPr>
            <w:tcW w:w="341"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center"/>
              <w:rPr>
                <w:b/>
              </w:rPr>
            </w:pPr>
            <w:r>
              <w:rPr>
                <w:b/>
              </w:rPr>
              <w:t>Net</w:t>
            </w:r>
          </w:p>
        </w:tc>
      </w:tr>
      <w:tr>
        <w:trPr/>
        <w:tc>
          <w:tcPr>
            <w:tcW w:w="1198" w:type="dxa"/>
            <w:tcBorders>
              <w:bottom w:val="single" w:sz="2" w:space="0" w:color="000000"/>
            </w:tcBorders>
            <w:shd w:fill="auto" w:val="clear"/>
            <w:tcMar>
              <w:bottom w:w="28" w:type="dxa"/>
            </w:tcMar>
            <w:vAlign w:val="bottom"/>
          </w:tcPr>
          <w:p>
            <w:pPr>
              <w:pStyle w:val="TableContents"/>
              <w:spacing w:before="0" w:after="283"/>
              <w:jc w:val="center"/>
              <w:rPr>
                <w:b/>
              </w:rPr>
            </w:pPr>
            <w:r>
              <w:rPr>
                <w:b/>
              </w:rPr>
              <w:t>Period</w:t>
            </w:r>
          </w:p>
        </w:tc>
        <w:tc>
          <w:tcPr>
            <w:tcW w:w="341" w:type="dxa"/>
            <w:tcBorders/>
            <w:shd w:fill="auto" w:val="clear"/>
            <w:vAlign w:val="bottom"/>
          </w:tcPr>
          <w:p>
            <w:pPr>
              <w:pStyle w:val="TableContents"/>
              <w:spacing w:before="0" w:after="283"/>
              <w:rPr/>
            </w:pPr>
            <w:r>
              <w:rPr/>
              <w:t> </w:t>
            </w:r>
          </w:p>
        </w:tc>
        <w:tc>
          <w:tcPr>
            <w:tcW w:w="1158" w:type="dxa"/>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341" w:type="dxa"/>
            <w:tcBorders/>
            <w:shd w:fill="auto" w:val="clear"/>
            <w:vAlign w:val="bottom"/>
          </w:tcPr>
          <w:p>
            <w:pPr>
              <w:pStyle w:val="TableContents"/>
              <w:spacing w:before="0" w:after="283"/>
              <w:rPr/>
            </w:pPr>
            <w:r>
              <w:rPr/>
              <w:t> </w:t>
            </w:r>
          </w:p>
        </w:tc>
        <w:tc>
          <w:tcPr>
            <w:tcW w:w="1199" w:type="dxa"/>
            <w:tcBorders>
              <w:bottom w:val="single" w:sz="2" w:space="0" w:color="000000"/>
            </w:tcBorders>
            <w:shd w:fill="auto" w:val="clear"/>
            <w:tcMar>
              <w:bottom w:w="28" w:type="dxa"/>
            </w:tcMar>
            <w:vAlign w:val="bottom"/>
          </w:tcPr>
          <w:p>
            <w:pPr>
              <w:pStyle w:val="TableContents"/>
              <w:spacing w:before="0" w:after="283"/>
              <w:jc w:val="center"/>
              <w:rPr>
                <w:b/>
              </w:rPr>
            </w:pPr>
            <w:r>
              <w:rPr>
                <w:b/>
              </w:rPr>
              <w:t>Unit Price</w:t>
            </w:r>
          </w:p>
        </w:tc>
        <w:tc>
          <w:tcPr>
            <w:tcW w:w="341" w:type="dxa"/>
            <w:tcBorders/>
            <w:shd w:fill="auto" w:val="clear"/>
            <w:vAlign w:val="bottom"/>
          </w:tcPr>
          <w:p>
            <w:pPr>
              <w:pStyle w:val="TableContents"/>
              <w:spacing w:before="0" w:after="283"/>
              <w:rPr/>
            </w:pPr>
            <w:r>
              <w:rPr/>
              <w:t> </w:t>
            </w:r>
          </w:p>
        </w:tc>
        <w:tc>
          <w:tcPr>
            <w:tcW w:w="1166" w:type="dxa"/>
            <w:tcBorders>
              <w:bottom w:val="single" w:sz="2" w:space="0" w:color="000000"/>
            </w:tcBorders>
            <w:shd w:fill="auto" w:val="clear"/>
            <w:tcMar>
              <w:bottom w:w="28" w:type="dxa"/>
            </w:tcMar>
            <w:vAlign w:val="bottom"/>
          </w:tcPr>
          <w:p>
            <w:pPr>
              <w:pStyle w:val="TableContents"/>
              <w:spacing w:before="0" w:after="283"/>
              <w:jc w:val="center"/>
              <w:rPr>
                <w:b/>
              </w:rPr>
            </w:pPr>
            <w:r>
              <w:rPr>
                <w:b/>
              </w:rPr>
              <w:t>from Sale</w:t>
            </w:r>
          </w:p>
        </w:tc>
        <w:tc>
          <w:tcPr>
            <w:tcW w:w="341" w:type="dxa"/>
            <w:tcBorders/>
            <w:shd w:fill="auto" w:val="clear"/>
            <w:vAlign w:val="bottom"/>
          </w:tcPr>
          <w:p>
            <w:pPr>
              <w:pStyle w:val="TableContents"/>
              <w:spacing w:before="0" w:after="283"/>
              <w:rPr/>
            </w:pPr>
            <w:r>
              <w:rPr/>
              <w:t> </w:t>
            </w:r>
          </w:p>
        </w:tc>
        <w:tc>
          <w:tcPr>
            <w:tcW w:w="1364" w:type="dxa"/>
            <w:tcBorders>
              <w:bottom w:val="single" w:sz="2" w:space="0" w:color="000000"/>
            </w:tcBorders>
            <w:shd w:fill="auto" w:val="clear"/>
            <w:tcMar>
              <w:bottom w:w="28" w:type="dxa"/>
            </w:tcMar>
            <w:vAlign w:val="bottom"/>
          </w:tcPr>
          <w:p>
            <w:pPr>
              <w:pStyle w:val="TableContents"/>
              <w:spacing w:before="0" w:after="283"/>
              <w:jc w:val="center"/>
              <w:rPr>
                <w:b/>
              </w:rPr>
            </w:pPr>
            <w:r>
              <w:rPr>
                <w:b/>
              </w:rPr>
              <w:t>Contribution</w:t>
            </w:r>
          </w:p>
        </w:tc>
        <w:tc>
          <w:tcPr>
            <w:tcW w:w="341" w:type="dxa"/>
            <w:tcBorders/>
            <w:shd w:fill="auto" w:val="clear"/>
            <w:vAlign w:val="bottom"/>
          </w:tcPr>
          <w:p>
            <w:pPr>
              <w:pStyle w:val="TableContents"/>
              <w:spacing w:before="0" w:after="283"/>
              <w:rPr/>
            </w:pPr>
            <w:r>
              <w:rPr/>
              <w:t> </w:t>
            </w:r>
          </w:p>
        </w:tc>
        <w:tc>
          <w:tcPr>
            <w:tcW w:w="934" w:type="dxa"/>
            <w:tcBorders>
              <w:bottom w:val="single" w:sz="2" w:space="0" w:color="000000"/>
            </w:tcBorders>
            <w:shd w:fill="auto" w:val="clear"/>
            <w:tcMar>
              <w:bottom w:w="28" w:type="dxa"/>
            </w:tcMar>
            <w:vAlign w:val="bottom"/>
          </w:tcPr>
          <w:p>
            <w:pPr>
              <w:pStyle w:val="TableContents"/>
              <w:spacing w:before="0" w:after="283"/>
              <w:jc w:val="center"/>
              <w:rPr>
                <w:b/>
              </w:rPr>
            </w:pPr>
            <w:r>
              <w:rPr>
                <w:b/>
              </w:rPr>
              <w:t>Costs</w:t>
            </w:r>
          </w:p>
        </w:tc>
        <w:tc>
          <w:tcPr>
            <w:tcW w:w="341" w:type="dxa"/>
            <w:tcBorders/>
            <w:shd w:fill="auto" w:val="clear"/>
            <w:vAlign w:val="bottom"/>
          </w:tcPr>
          <w:p>
            <w:pPr>
              <w:pStyle w:val="TableContents"/>
              <w:spacing w:before="0" w:after="283"/>
              <w:rPr/>
            </w:pPr>
            <w:r>
              <w:rPr/>
              <w:t> </w:t>
            </w:r>
          </w:p>
        </w:tc>
        <w:tc>
          <w:tcPr>
            <w:tcW w:w="1140" w:type="dxa"/>
            <w:tcBorders>
              <w:bottom w:val="single" w:sz="2" w:space="0" w:color="000000"/>
            </w:tcBorders>
            <w:shd w:fill="auto" w:val="clear"/>
            <w:tcMar>
              <w:bottom w:w="28" w:type="dxa"/>
            </w:tcMar>
            <w:vAlign w:val="bottom"/>
          </w:tcPr>
          <w:p>
            <w:pPr>
              <w:pStyle w:val="TableContents"/>
              <w:spacing w:before="0" w:after="283"/>
              <w:jc w:val="center"/>
              <w:rPr>
                <w:b/>
              </w:rPr>
            </w:pPr>
            <w:r>
              <w:rPr>
                <w:b/>
              </w:rPr>
              <w:t>Proceeds</w:t>
            </w:r>
          </w:p>
        </w:tc>
      </w:tr>
      <w:tr>
        <w:trPr/>
        <w:tc>
          <w:tcPr>
            <w:tcW w:w="1198" w:type="dxa"/>
            <w:tcBorders/>
            <w:shd w:fill="CCEEFF" w:val="clear"/>
          </w:tcPr>
          <w:p>
            <w:pPr>
              <w:pStyle w:val="TableContents"/>
              <w:spacing w:before="0" w:after="0"/>
              <w:ind w:left="225" w:right="0" w:hanging="225"/>
              <w:jc w:val="center"/>
              <w:rPr/>
            </w:pPr>
            <w:r>
              <w:rPr/>
              <w:t xml:space="preserve">June 2007 </w:t>
            </w:r>
          </w:p>
        </w:tc>
        <w:tc>
          <w:tcPr>
            <w:tcW w:w="341" w:type="dxa"/>
            <w:tcBorders/>
            <w:shd w:fill="CCEEFF" w:val="clear"/>
            <w:vAlign w:val="bottom"/>
          </w:tcPr>
          <w:p>
            <w:pPr>
              <w:pStyle w:val="TableContents"/>
              <w:spacing w:before="0" w:after="283"/>
              <w:rPr/>
            </w:pPr>
            <w:r>
              <w:rPr/>
              <w:t> </w:t>
            </w:r>
          </w:p>
        </w:tc>
        <w:tc>
          <w:tcPr>
            <w:tcW w:w="1158" w:type="dxa"/>
            <w:tcBorders/>
            <w:shd w:fill="CCEEFF" w:val="clear"/>
          </w:tcPr>
          <w:p>
            <w:pPr>
              <w:pStyle w:val="TableContents"/>
              <w:spacing w:before="0" w:after="283"/>
              <w:jc w:val="center"/>
              <w:rPr/>
            </w:pPr>
            <w:r>
              <w:rPr/>
              <w:t xml:space="preserve">6,296,172 </w:t>
            </w:r>
          </w:p>
        </w:tc>
        <w:tc>
          <w:tcPr>
            <w:tcW w:w="341" w:type="dxa"/>
            <w:tcBorders/>
            <w:shd w:fill="CCEEFF" w:val="clear"/>
            <w:vAlign w:val="bottom"/>
          </w:tcPr>
          <w:p>
            <w:pPr>
              <w:pStyle w:val="TableContents"/>
              <w:spacing w:before="0" w:after="283"/>
              <w:rPr/>
            </w:pPr>
            <w:r>
              <w:rPr/>
              <w:t> </w:t>
            </w:r>
          </w:p>
        </w:tc>
        <w:tc>
          <w:tcPr>
            <w:tcW w:w="1199" w:type="dxa"/>
            <w:tcBorders/>
            <w:shd w:fill="CCEEFF" w:val="clear"/>
          </w:tcPr>
          <w:p>
            <w:pPr>
              <w:pStyle w:val="TableContents"/>
              <w:spacing w:before="0" w:after="283"/>
              <w:jc w:val="center"/>
              <w:rPr/>
            </w:pPr>
            <w:r>
              <w:rPr/>
              <w:t xml:space="preserve">$59.56 </w:t>
            </w:r>
          </w:p>
        </w:tc>
        <w:tc>
          <w:tcPr>
            <w:tcW w:w="341" w:type="dxa"/>
            <w:tcBorders/>
            <w:shd w:fill="CCEEFF" w:val="clear"/>
            <w:vAlign w:val="bottom"/>
          </w:tcPr>
          <w:p>
            <w:pPr>
              <w:pStyle w:val="TableContents"/>
              <w:spacing w:before="0" w:after="283"/>
              <w:rPr/>
            </w:pPr>
            <w:r>
              <w:rPr/>
              <w:t> </w:t>
            </w:r>
          </w:p>
        </w:tc>
        <w:tc>
          <w:tcPr>
            <w:tcW w:w="1166" w:type="dxa"/>
            <w:tcBorders/>
            <w:shd w:fill="CCEEFF" w:val="clear"/>
          </w:tcPr>
          <w:p>
            <w:pPr>
              <w:pStyle w:val="TableContents"/>
              <w:spacing w:before="0" w:after="283"/>
              <w:jc w:val="center"/>
              <w:rPr/>
            </w:pPr>
            <w:r>
              <w:rPr/>
              <w:t xml:space="preserve">$375.0 </w:t>
            </w:r>
          </w:p>
        </w:tc>
        <w:tc>
          <w:tcPr>
            <w:tcW w:w="341" w:type="dxa"/>
            <w:tcBorders/>
            <w:shd w:fill="CCEEFF" w:val="clear"/>
            <w:vAlign w:val="bottom"/>
          </w:tcPr>
          <w:p>
            <w:pPr>
              <w:pStyle w:val="TableContents"/>
              <w:spacing w:before="0" w:after="283"/>
              <w:rPr/>
            </w:pPr>
            <w:r>
              <w:rPr/>
              <w:t> </w:t>
            </w:r>
          </w:p>
        </w:tc>
        <w:tc>
          <w:tcPr>
            <w:tcW w:w="1364" w:type="dxa"/>
            <w:tcBorders/>
            <w:shd w:fill="CCEEFF" w:val="clear"/>
          </w:tcPr>
          <w:p>
            <w:pPr>
              <w:pStyle w:val="TableContents"/>
              <w:spacing w:before="0" w:after="283"/>
              <w:jc w:val="center"/>
              <w:rPr/>
            </w:pPr>
            <w:r>
              <w:rPr/>
              <w:t xml:space="preserve">$7.7 </w:t>
            </w:r>
          </w:p>
        </w:tc>
        <w:tc>
          <w:tcPr>
            <w:tcW w:w="341" w:type="dxa"/>
            <w:tcBorders/>
            <w:shd w:fill="CCEEFF" w:val="clear"/>
            <w:vAlign w:val="bottom"/>
          </w:tcPr>
          <w:p>
            <w:pPr>
              <w:pStyle w:val="TableContents"/>
              <w:spacing w:before="0" w:after="283"/>
              <w:rPr/>
            </w:pPr>
            <w:r>
              <w:rPr/>
              <w:t> </w:t>
            </w:r>
          </w:p>
        </w:tc>
        <w:tc>
          <w:tcPr>
            <w:tcW w:w="934" w:type="dxa"/>
            <w:tcBorders/>
            <w:shd w:fill="CCEEFF" w:val="clear"/>
          </w:tcPr>
          <w:p>
            <w:pPr>
              <w:pStyle w:val="TableContents"/>
              <w:spacing w:before="0" w:after="283"/>
              <w:jc w:val="center"/>
              <w:rPr/>
            </w:pPr>
            <w:r>
              <w:rPr/>
              <w:t xml:space="preserve">$(0.2) </w:t>
            </w:r>
          </w:p>
        </w:tc>
        <w:tc>
          <w:tcPr>
            <w:tcW w:w="341" w:type="dxa"/>
            <w:tcBorders/>
            <w:shd w:fill="CCEEFF" w:val="clear"/>
            <w:vAlign w:val="bottom"/>
          </w:tcPr>
          <w:p>
            <w:pPr>
              <w:pStyle w:val="TableContents"/>
              <w:spacing w:before="0" w:after="283"/>
              <w:rPr/>
            </w:pPr>
            <w:r>
              <w:rPr/>
              <w:t> </w:t>
            </w:r>
          </w:p>
        </w:tc>
        <w:tc>
          <w:tcPr>
            <w:tcW w:w="1140" w:type="dxa"/>
            <w:tcBorders/>
            <w:shd w:fill="CCEEFF" w:val="clear"/>
          </w:tcPr>
          <w:p>
            <w:pPr>
              <w:pStyle w:val="TableContents"/>
              <w:spacing w:before="0" w:after="283"/>
              <w:jc w:val="center"/>
              <w:rPr/>
            </w:pPr>
            <w:r>
              <w:rPr/>
              <w:t>$382.5</w:t>
            </w:r>
          </w:p>
        </w:tc>
      </w:tr>
      <w:tr>
        <w:trPr/>
        <w:tc>
          <w:tcPr>
            <w:tcW w:w="1198" w:type="dxa"/>
            <w:tcBorders/>
            <w:shd w:fill="auto" w:val="clear"/>
          </w:tcPr>
          <w:p>
            <w:pPr>
              <w:pStyle w:val="TableContents"/>
              <w:spacing w:before="0" w:after="283"/>
              <w:jc w:val="center"/>
              <w:rPr/>
            </w:pPr>
            <w:r>
              <w:rPr/>
              <w:t xml:space="preserve">March/April 2006 </w:t>
            </w:r>
          </w:p>
        </w:tc>
        <w:tc>
          <w:tcPr>
            <w:tcW w:w="341" w:type="dxa"/>
            <w:tcBorders/>
            <w:shd w:fill="auto" w:val="clear"/>
            <w:vAlign w:val="bottom"/>
          </w:tcPr>
          <w:p>
            <w:pPr>
              <w:pStyle w:val="TableContents"/>
              <w:spacing w:before="0" w:after="283"/>
              <w:rPr/>
            </w:pPr>
            <w:r>
              <w:rPr/>
              <w:t> </w:t>
            </w:r>
          </w:p>
        </w:tc>
        <w:tc>
          <w:tcPr>
            <w:tcW w:w="1158" w:type="dxa"/>
            <w:tcBorders/>
            <w:shd w:fill="auto" w:val="clear"/>
          </w:tcPr>
          <w:p>
            <w:pPr>
              <w:pStyle w:val="TableContents"/>
              <w:spacing w:before="0" w:after="283"/>
              <w:jc w:val="center"/>
              <w:rPr/>
            </w:pPr>
            <w:r>
              <w:rPr/>
              <w:t xml:space="preserve">3,504,672 </w:t>
            </w:r>
          </w:p>
        </w:tc>
        <w:tc>
          <w:tcPr>
            <w:tcW w:w="341" w:type="dxa"/>
            <w:tcBorders/>
            <w:shd w:fill="auto" w:val="clear"/>
            <w:vAlign w:val="bottom"/>
          </w:tcPr>
          <w:p>
            <w:pPr>
              <w:pStyle w:val="TableContents"/>
              <w:spacing w:before="0" w:after="283"/>
              <w:rPr/>
            </w:pPr>
            <w:r>
              <w:rPr/>
              <w:t> </w:t>
            </w:r>
          </w:p>
        </w:tc>
        <w:tc>
          <w:tcPr>
            <w:tcW w:w="1199" w:type="dxa"/>
            <w:tcBorders/>
            <w:shd w:fill="auto" w:val="clear"/>
          </w:tcPr>
          <w:p>
            <w:pPr>
              <w:pStyle w:val="TableContents"/>
              <w:spacing w:before="0" w:after="283"/>
              <w:jc w:val="center"/>
              <w:rPr/>
            </w:pPr>
            <w:r>
              <w:rPr/>
              <w:t xml:space="preserve">$42.80 </w:t>
            </w:r>
          </w:p>
        </w:tc>
        <w:tc>
          <w:tcPr>
            <w:tcW w:w="341" w:type="dxa"/>
            <w:tcBorders/>
            <w:shd w:fill="auto" w:val="clear"/>
            <w:vAlign w:val="bottom"/>
          </w:tcPr>
          <w:p>
            <w:pPr>
              <w:pStyle w:val="TableContents"/>
              <w:spacing w:before="0" w:after="283"/>
              <w:rPr/>
            </w:pPr>
            <w:r>
              <w:rPr/>
              <w:t> </w:t>
            </w:r>
          </w:p>
        </w:tc>
        <w:tc>
          <w:tcPr>
            <w:tcW w:w="1166" w:type="dxa"/>
            <w:tcBorders/>
            <w:shd w:fill="auto" w:val="clear"/>
          </w:tcPr>
          <w:p>
            <w:pPr>
              <w:pStyle w:val="TableContents"/>
              <w:spacing w:before="0" w:after="283"/>
              <w:jc w:val="center"/>
              <w:rPr/>
            </w:pPr>
            <w:r>
              <w:rPr/>
              <w:t xml:space="preserve">$150.0 </w:t>
            </w:r>
          </w:p>
        </w:tc>
        <w:tc>
          <w:tcPr>
            <w:tcW w:w="341" w:type="dxa"/>
            <w:tcBorders/>
            <w:shd w:fill="auto" w:val="clear"/>
            <w:vAlign w:val="bottom"/>
          </w:tcPr>
          <w:p>
            <w:pPr>
              <w:pStyle w:val="TableContents"/>
              <w:spacing w:before="0" w:after="283"/>
              <w:rPr/>
            </w:pPr>
            <w:r>
              <w:rPr/>
              <w:t> </w:t>
            </w:r>
          </w:p>
        </w:tc>
        <w:tc>
          <w:tcPr>
            <w:tcW w:w="1364" w:type="dxa"/>
            <w:tcBorders/>
            <w:shd w:fill="auto" w:val="clear"/>
          </w:tcPr>
          <w:p>
            <w:pPr>
              <w:pStyle w:val="TableContents"/>
              <w:spacing w:before="0" w:after="283"/>
              <w:jc w:val="center"/>
              <w:rPr/>
            </w:pPr>
            <w:r>
              <w:rPr/>
              <w:t xml:space="preserve">$3.0 </w:t>
            </w:r>
          </w:p>
        </w:tc>
        <w:tc>
          <w:tcPr>
            <w:tcW w:w="341" w:type="dxa"/>
            <w:tcBorders/>
            <w:shd w:fill="auto" w:val="clear"/>
            <w:vAlign w:val="bottom"/>
          </w:tcPr>
          <w:p>
            <w:pPr>
              <w:pStyle w:val="TableContents"/>
              <w:spacing w:before="0" w:after="283"/>
              <w:rPr/>
            </w:pPr>
            <w:r>
              <w:rPr/>
              <w:t> </w:t>
            </w:r>
          </w:p>
        </w:tc>
        <w:tc>
          <w:tcPr>
            <w:tcW w:w="934" w:type="dxa"/>
            <w:tcBorders/>
            <w:shd w:fill="auto" w:val="clear"/>
          </w:tcPr>
          <w:p>
            <w:pPr>
              <w:pStyle w:val="TableContents"/>
              <w:spacing w:before="0" w:after="283"/>
              <w:jc w:val="center"/>
              <w:rPr/>
            </w:pPr>
            <w:r>
              <w:rPr/>
              <w:t xml:space="preserve">$(0.6) </w:t>
            </w:r>
          </w:p>
        </w:tc>
        <w:tc>
          <w:tcPr>
            <w:tcW w:w="341" w:type="dxa"/>
            <w:tcBorders/>
            <w:shd w:fill="auto" w:val="clear"/>
            <w:vAlign w:val="bottom"/>
          </w:tcPr>
          <w:p>
            <w:pPr>
              <w:pStyle w:val="TableContents"/>
              <w:spacing w:before="0" w:after="283"/>
              <w:rPr/>
            </w:pPr>
            <w:r>
              <w:rPr/>
              <w:t> </w:t>
            </w:r>
          </w:p>
        </w:tc>
        <w:tc>
          <w:tcPr>
            <w:tcW w:w="1140" w:type="dxa"/>
            <w:tcBorders/>
            <w:shd w:fill="auto" w:val="clear"/>
          </w:tcPr>
          <w:p>
            <w:pPr>
              <w:pStyle w:val="TableContents"/>
              <w:spacing w:before="0" w:after="283"/>
              <w:jc w:val="center"/>
              <w:rPr/>
            </w:pPr>
            <w:r>
              <w:rPr/>
              <w:t>$152.4</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LTIP Vesting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May 2007, we issued 280,326 common units at a unit price of $61.47, for an approximate fair value of $17.2 million in connection with the settlement of vested LTIP awards. In addition, our general partner contributed $0.4 million in connection with the LTIP unit issuance.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Distributions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details the distributions we have declared and paid in the six months ended June 30, 2007 and 2006 (in millions, except per unit amounts): </w:t>
      </w:r>
    </w:p>
    <w:tbl>
      <w:tblPr>
        <w:tblW w:w="5000" w:type="pct"/>
        <w:jc w:val="center"/>
        <w:tblInd w:w="0" w:type="dxa"/>
        <w:tblCellMar>
          <w:top w:w="0" w:type="dxa"/>
          <w:left w:w="0" w:type="dxa"/>
          <w:bottom w:w="0" w:type="dxa"/>
          <w:right w:w="0" w:type="dxa"/>
        </w:tblCellMar>
      </w:tblPr>
      <w:tblGrid>
        <w:gridCol w:w="2831"/>
        <w:gridCol w:w="301"/>
        <w:gridCol w:w="244"/>
        <w:gridCol w:w="1029"/>
        <w:gridCol w:w="98"/>
        <w:gridCol w:w="301"/>
        <w:gridCol w:w="232"/>
        <w:gridCol w:w="827"/>
        <w:gridCol w:w="119"/>
        <w:gridCol w:w="321"/>
        <w:gridCol w:w="212"/>
        <w:gridCol w:w="624"/>
        <w:gridCol w:w="98"/>
        <w:gridCol w:w="301"/>
        <w:gridCol w:w="162"/>
        <w:gridCol w:w="699"/>
        <w:gridCol w:w="98"/>
        <w:gridCol w:w="301"/>
        <w:gridCol w:w="220"/>
        <w:gridCol w:w="1077"/>
        <w:gridCol w:w="110"/>
      </w:tblGrid>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96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Distributions Paid</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35"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Common</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3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General Partner</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Distribution</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Unitholders</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Incentive</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 unit</w:t>
            </w:r>
          </w:p>
        </w:tc>
        <w:tc>
          <w:tcPr>
            <w:tcW w:w="110"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225" w:right="0" w:hanging="225"/>
              <w:rPr/>
            </w:pPr>
            <w:r>
              <w:rPr/>
              <w:t>May 15, 2007</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29" w:type="dxa"/>
            <w:tcBorders/>
            <w:shd w:fill="CCEEFF" w:val="clear"/>
            <w:vAlign w:val="bottom"/>
          </w:tcPr>
          <w:p>
            <w:pPr>
              <w:pStyle w:val="TableContents"/>
              <w:spacing w:before="0" w:after="283"/>
              <w:jc w:val="right"/>
              <w:rPr/>
            </w:pPr>
            <w:r>
              <w:rPr/>
              <w:t>88.9</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16.7</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624" w:type="dxa"/>
            <w:tcBorders/>
            <w:shd w:fill="CCEEFF" w:val="clear"/>
            <w:vAlign w:val="bottom"/>
          </w:tcPr>
          <w:p>
            <w:pPr>
              <w:pStyle w:val="TableContents"/>
              <w:spacing w:before="0" w:after="283"/>
              <w:jc w:val="right"/>
              <w:rPr/>
            </w:pPr>
            <w:r>
              <w:rPr/>
              <w:t>1.8</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107.4</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0.8125</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February 14, 2007</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jc w:val="right"/>
              <w:rPr/>
            </w:pPr>
            <w:r>
              <w:rPr/>
              <w:t>87.5</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15.3</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1.8</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104.6</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0.8000</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450" w:right="0" w:hanging="225"/>
              <w:rPr>
                <w:b/>
              </w:rPr>
            </w:pPr>
            <w:r>
              <w:rPr>
                <w:b/>
              </w:rPr>
              <w:t>2007 total</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29" w:type="dxa"/>
            <w:tcBorders/>
            <w:shd w:fill="CCEEFF" w:val="clear"/>
            <w:vAlign w:val="bottom"/>
          </w:tcPr>
          <w:p>
            <w:pPr>
              <w:pStyle w:val="TableContents"/>
              <w:spacing w:before="0" w:after="283"/>
              <w:jc w:val="right"/>
              <w:rPr/>
            </w:pPr>
            <w:r>
              <w:rPr/>
              <w:t>176.4</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32.0</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624" w:type="dxa"/>
            <w:tcBorders/>
            <w:shd w:fill="CCEEFF" w:val="clear"/>
            <w:vAlign w:val="bottom"/>
          </w:tcPr>
          <w:p>
            <w:pPr>
              <w:pStyle w:val="TableContents"/>
              <w:spacing w:before="0" w:after="283"/>
              <w:jc w:val="right"/>
              <w:rPr/>
            </w:pPr>
            <w:r>
              <w:rPr/>
              <w:t>3.6</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212.0</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May 15, 2006</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029" w:type="dxa"/>
            <w:tcBorders/>
            <w:shd w:fill="auto" w:val="clear"/>
            <w:vAlign w:val="bottom"/>
          </w:tcPr>
          <w:p>
            <w:pPr>
              <w:pStyle w:val="TableContents"/>
              <w:spacing w:before="0" w:after="283"/>
              <w:jc w:val="right"/>
              <w:rPr/>
            </w:pPr>
            <w:r>
              <w:rPr/>
              <w:t>54.6</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7.4</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624" w:type="dxa"/>
            <w:tcBorders/>
            <w:shd w:fill="auto" w:val="clear"/>
            <w:vAlign w:val="bottom"/>
          </w:tcPr>
          <w:p>
            <w:pPr>
              <w:pStyle w:val="TableContents"/>
              <w:spacing w:before="0" w:after="283"/>
              <w:jc w:val="right"/>
              <w:rPr/>
            </w:pPr>
            <w:r>
              <w:rPr/>
              <w:t>1.1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63.1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0.7075</w:t>
            </w:r>
          </w:p>
        </w:tc>
        <w:tc>
          <w:tcPr>
            <w:tcW w:w="110"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225" w:right="0" w:hanging="225"/>
              <w:rPr/>
            </w:pPr>
            <w:r>
              <w:rPr/>
              <w:t>February 14, 2006</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50.7</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5.6</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1.0</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57.3</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0.6875</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auto" w:val="clear"/>
            <w:vAlign w:val="bottom"/>
          </w:tcPr>
          <w:p>
            <w:pPr>
              <w:pStyle w:val="TableContents"/>
              <w:spacing w:before="0" w:after="0"/>
              <w:ind w:left="450" w:right="0" w:hanging="225"/>
              <w:rPr>
                <w:b/>
              </w:rPr>
            </w:pPr>
            <w:r>
              <w:rPr>
                <w:b/>
              </w:rPr>
              <w:t>2006 total</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029" w:type="dxa"/>
            <w:tcBorders/>
            <w:shd w:fill="auto" w:val="clear"/>
            <w:vAlign w:val="bottom"/>
          </w:tcPr>
          <w:p>
            <w:pPr>
              <w:pStyle w:val="TableContents"/>
              <w:spacing w:before="0" w:after="283"/>
              <w:jc w:val="right"/>
              <w:rPr/>
            </w:pPr>
            <w:r>
              <w:rPr/>
              <w:t>105.3</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13.0</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624" w:type="dxa"/>
            <w:tcBorders/>
            <w:shd w:fill="auto" w:val="clear"/>
            <w:vAlign w:val="bottom"/>
          </w:tcPr>
          <w:p>
            <w:pPr>
              <w:pStyle w:val="TableContents"/>
              <w:spacing w:before="0" w:after="283"/>
              <w:jc w:val="right"/>
              <w:rPr/>
            </w:pPr>
            <w:r>
              <w:rPr/>
              <w:t>2.1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120.4</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On July 19, 2007, we declared a cash distribution of $0.83 per unit on our outstanding common units. The distribution is payable on August 14, 2007 to unitholders of record on August 3, 2007, for the period April 1, 2007 through June 30, 2007. The total distribution to be paid is approximately $118.2 million, with approximately $96.3 million to be paid to our common unitholders and $2.0 million and $19.9 million to be paid to our general partner for its general partner and incentive distribution interests, respectively. </w:t>
      </w:r>
    </w:p>
    <w:p>
      <w:pPr>
        <w:pStyle w:val="TextBody"/>
        <w:spacing w:before="120" w:after="283"/>
        <w:jc w:val="left"/>
        <w:rPr/>
      </w:pPr>
      <w:r>
        <w:rPr/>
        <w:t>     </w:t>
      </w:r>
      <w:r>
        <w:rPr>
          <w:rFonts w:ascii="Times New Roman;Times;serif" w:hAnsi="Times New Roman;Times;serif"/>
          <w:sz w:val="17"/>
        </w:rPr>
        <w:t xml:space="preserve">Upon closing of the acquisition of Pacific Energy Partners L.P. (Pacific) in November 2006, our general partner agreed to reduce the amount of its incentive distributions as follows: (i) $5 million per quarter for the first four quarters beginning with the February 2007 distribution, (ii) $3.75 million per quarter for the following eight quarters, (iii) $2.5 million per quarter for the following four quarters, and (iv) $1.25 million per quarter for the final four quarters. The aggregate reduction in incentive distributions will be $65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8Long-Term Incentive Plans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general partner has adopted the Plains All American GP LLC 1998 Long-Term Incentive Plan (the 1998 Plan), the 2005 Long-Term Incentive Plan (the 2005 Plan) and the PPX Successor Long-Term Incentive Plan for employees and directors (the PPX Successor Plan), as well as the Plains All American GP LLC 2006 Long-Term Incentive Tracking Unit Plan for non-officer employees (the 2006 Plan).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earning criteria, a DER entitles the grantee to a cash payment equal to the cash distribution paid on an outstanding common unit prior to the vesting date of the underlying award. The 2006 Plan authorizes the grant of approximately 1.4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 for services provided to us.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Under SFAS 123(R) the fair value of the awards, which are subject to liability classification, is calculated based on the closing market price of our units at each balance sheet date adjusted for (i) the present value of any distributions that are estimated to occur on the underlying units over the vesting period that will not be received by the award recipients and (ii) an estimated forfeiture rate when appropriate. This fair value is recognized as compensation expense over the period the awards are earned. Our LTIP awards typically contain performance conditions based on attainment of certain annualized distribution levels and vest upon the later of a certain date or the attainment of such levels. For awards with performance conditions, we recognize LTIP compensation expense only if the achievement of the performance condition is considered probable and amortize that expense over the service period. When awards with performance conditions that were previously considered improbable of occurring become probable of occurring, we incur additional LTIP compensation expense necessary to adjust the life-to-date accrued liability associated with these awards. Our DER awards typically contain performance conditions based on attainment of certain annualized distribution levels and become earned upon the earlier of a certain date or the attainment of such levels. The DERs terminate with the vesting or forfeiture of the underlying LTIP award. We recognize compensation expense for DER payments in the period the payment is earned. </w:t>
      </w:r>
    </w:p>
    <w:p>
      <w:pPr>
        <w:pStyle w:val="TextBody"/>
        <w:spacing w:before="120" w:after="283"/>
        <w:jc w:val="left"/>
        <w:rPr/>
      </w:pPr>
      <w:r>
        <w:rPr/>
        <w:t>     </w:t>
      </w:r>
      <w:r>
        <w:rPr>
          <w:rFonts w:ascii="Times New Roman;Times;serif" w:hAnsi="Times New Roman;Times;serif"/>
          <w:sz w:val="17"/>
        </w:rPr>
        <w:t xml:space="preserve">At June 30, 2007 we have approximately 3.7 million awards outstanding. Upon our February 2007 annualized distribution of $3.20, approximately 1.5 million of these awards satisfied one of the two conditions necessary for vesting (the attainment of certain annualized distribution levels) and only lack the passage of time, vesting in various increments over the next 5 years. Approximately 1.8 million of our awards have performance conditions requiring the attainment of an annualized distribution of between $3.50 and $4.00 and vest upon the later of a certain date or the attainment of such levels. Provided the performance conditions associated with these awards are ultimately attained, these awards will vest in various increments between 2010 and 2014. The remaining 0.4 million awards contain the same performance conditions in order to accelerate the vesting but will vest in 2012 regardless of whether the performance conditions are attained. Approximately 2.3 million of our 3.7 million outstanding awards also include DERs, of which 1.1 million are currently earned. </w:t>
      </w:r>
    </w:p>
    <w:p>
      <w:pPr>
        <w:pStyle w:val="TextBody"/>
        <w:spacing w:before="120" w:after="283"/>
        <w:jc w:val="left"/>
        <w:rPr/>
      </w:pPr>
      <w:r>
        <w:rPr/>
        <w:t>     </w:t>
      </w:r>
      <w:r>
        <w:rPr>
          <w:rFonts w:ascii="Times New Roman;Times;serif" w:hAnsi="Times New Roman;Times;serif"/>
          <w:sz w:val="17"/>
        </w:rPr>
        <w:t xml:space="preserve">Our accrued liability at June 30, 2007 related to all outstanding awards and DERs is $51.9 million which includes an accrual associated with our assessment that the distribution threshold of $3.50 is probable of occurring. </w:t>
      </w:r>
    </w:p>
    <w:p>
      <w:pPr>
        <w:pStyle w:val="TextBody"/>
        <w:spacing w:before="120" w:after="283"/>
        <w:jc w:val="left"/>
        <w:rPr/>
      </w:pPr>
      <w:r>
        <w:rPr/>
        <w:t>     </w:t>
      </w:r>
      <w:r>
        <w:rPr>
          <w:rFonts w:ascii="Times New Roman;Times;serif" w:hAnsi="Times New Roman;Times;serif"/>
          <w:sz w:val="17"/>
        </w:rPr>
        <w:t xml:space="preserve">Our expenses and cash and noncash vestings related to our LTIP are summarized in the table below (in millions): </w:t>
      </w:r>
    </w:p>
    <w:tbl>
      <w:tblPr>
        <w:tblW w:w="5000" w:type="pct"/>
        <w:jc w:val="center"/>
        <w:tblInd w:w="0" w:type="dxa"/>
        <w:tblCellMar>
          <w:top w:w="0" w:type="dxa"/>
          <w:left w:w="0" w:type="dxa"/>
          <w:bottom w:w="0" w:type="dxa"/>
          <w:right w:w="0" w:type="dxa"/>
        </w:tblCellMar>
      </w:tblPr>
      <w:tblGrid>
        <w:gridCol w:w="3562"/>
        <w:gridCol w:w="336"/>
        <w:gridCol w:w="403"/>
        <w:gridCol w:w="798"/>
        <w:gridCol w:w="268"/>
        <w:gridCol w:w="380"/>
        <w:gridCol w:w="403"/>
        <w:gridCol w:w="595"/>
        <w:gridCol w:w="272"/>
        <w:gridCol w:w="336"/>
        <w:gridCol w:w="353"/>
        <w:gridCol w:w="640"/>
        <w:gridCol w:w="247"/>
        <w:gridCol w:w="359"/>
        <w:gridCol w:w="352"/>
        <w:gridCol w:w="640"/>
        <w:gridCol w:w="261"/>
      </w:tblGrid>
      <w:tr>
        <w:trPr/>
        <w:tc>
          <w:tcPr>
            <w:tcW w:w="356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r>
      <w:tr>
        <w:trPr/>
        <w:tc>
          <w:tcPr>
            <w:tcW w:w="356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119" w:type="dxa"/>
            <w:gridSpan w:val="7"/>
            <w:tcBorders/>
            <w:shd w:fill="auto" w:val="clear"/>
            <w:vAlign w:val="bottom"/>
          </w:tcPr>
          <w:p>
            <w:pPr>
              <w:pStyle w:val="TableContents"/>
              <w:spacing w:before="0" w:after="283"/>
              <w:jc w:val="center"/>
              <w:rPr>
                <w:b/>
              </w:rPr>
            </w:pPr>
            <w:r>
              <w:rPr>
                <w:b/>
              </w:rPr>
              <w:t>Three Months Ended</w:t>
            </w:r>
          </w:p>
        </w:tc>
        <w:tc>
          <w:tcPr>
            <w:tcW w:w="336" w:type="dxa"/>
            <w:tcBorders/>
            <w:shd w:fill="auto" w:val="clear"/>
            <w:vAlign w:val="bottom"/>
          </w:tcPr>
          <w:p>
            <w:pPr>
              <w:pStyle w:val="TableContents"/>
              <w:spacing w:before="0" w:after="283"/>
              <w:rPr/>
            </w:pPr>
            <w:r>
              <w:rPr/>
              <w:t> </w:t>
            </w:r>
          </w:p>
        </w:tc>
        <w:tc>
          <w:tcPr>
            <w:tcW w:w="2852" w:type="dxa"/>
            <w:gridSpan w:val="7"/>
            <w:tcBorders/>
            <w:shd w:fill="auto" w:val="clear"/>
            <w:vAlign w:val="bottom"/>
          </w:tcPr>
          <w:p>
            <w:pPr>
              <w:pStyle w:val="TableContents"/>
              <w:spacing w:before="0" w:after="283"/>
              <w:jc w:val="center"/>
              <w:rPr>
                <w:b/>
              </w:rPr>
            </w:pPr>
            <w:r>
              <w:rPr>
                <w:b/>
              </w:rPr>
              <w:t>Six Months Ended</w:t>
            </w:r>
          </w:p>
        </w:tc>
      </w:tr>
      <w:tr>
        <w:trPr/>
        <w:tc>
          <w:tcPr>
            <w:tcW w:w="356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119"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336" w:type="dxa"/>
            <w:tcBorders/>
            <w:shd w:fill="auto" w:val="clear"/>
            <w:vAlign w:val="bottom"/>
          </w:tcPr>
          <w:p>
            <w:pPr>
              <w:pStyle w:val="TableContents"/>
              <w:spacing w:before="0" w:after="283"/>
              <w:rPr/>
            </w:pPr>
            <w:r>
              <w:rPr/>
              <w:t> </w:t>
            </w:r>
          </w:p>
        </w:tc>
        <w:tc>
          <w:tcPr>
            <w:tcW w:w="2852"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r>
      <w:tr>
        <w:trPr/>
        <w:tc>
          <w:tcPr>
            <w:tcW w:w="356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6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80" w:type="dxa"/>
            <w:tcBorders/>
            <w:shd w:fill="auto" w:val="clear"/>
            <w:vAlign w:val="bottom"/>
          </w:tcPr>
          <w:p>
            <w:pPr>
              <w:pStyle w:val="TableContents"/>
              <w:spacing w:before="0" w:after="283"/>
              <w:rPr/>
            </w:pPr>
            <w:r>
              <w:rPr/>
              <w:t> </w:t>
            </w:r>
          </w:p>
        </w:tc>
        <w:tc>
          <w:tcPr>
            <w:tcW w:w="127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36" w:type="dxa"/>
            <w:tcBorders/>
            <w:shd w:fill="auto" w:val="clear"/>
            <w:vAlign w:val="bottom"/>
          </w:tcPr>
          <w:p>
            <w:pPr>
              <w:pStyle w:val="TableContents"/>
              <w:spacing w:before="0" w:after="283"/>
              <w:rPr/>
            </w:pPr>
            <w:r>
              <w:rPr/>
              <w:t> </w:t>
            </w:r>
          </w:p>
        </w:tc>
        <w:tc>
          <w:tcPr>
            <w:tcW w:w="12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59" w:type="dxa"/>
            <w:tcBorders/>
            <w:shd w:fill="auto" w:val="clear"/>
            <w:vAlign w:val="bottom"/>
          </w:tcPr>
          <w:p>
            <w:pPr>
              <w:pStyle w:val="TableContents"/>
              <w:spacing w:before="0" w:after="283"/>
              <w:rPr/>
            </w:pPr>
            <w:r>
              <w:rPr/>
              <w:t> </w:t>
            </w:r>
          </w:p>
        </w:tc>
        <w:tc>
          <w:tcPr>
            <w:tcW w:w="125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3562" w:type="dxa"/>
            <w:tcBorders/>
            <w:shd w:fill="CCEEFF" w:val="clear"/>
            <w:vAlign w:val="bottom"/>
          </w:tcPr>
          <w:p>
            <w:pPr>
              <w:pStyle w:val="TableContents"/>
              <w:spacing w:before="0" w:after="0"/>
              <w:ind w:left="225" w:right="0" w:hanging="225"/>
              <w:rPr/>
            </w:pPr>
            <w:r>
              <w:rPr/>
              <w:t>LTIP expense(1)</w:t>
            </w:r>
          </w:p>
        </w:tc>
        <w:tc>
          <w:tcPr>
            <w:tcW w:w="33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right"/>
              <w:rPr/>
            </w:pPr>
            <w:r>
              <w:rPr/>
              <w:t>$</w:t>
            </w:r>
          </w:p>
        </w:tc>
        <w:tc>
          <w:tcPr>
            <w:tcW w:w="798" w:type="dxa"/>
            <w:tcBorders/>
            <w:shd w:fill="CCEEFF" w:val="clear"/>
            <w:vAlign w:val="bottom"/>
          </w:tcPr>
          <w:p>
            <w:pPr>
              <w:pStyle w:val="TableContents"/>
              <w:spacing w:before="0" w:after="283"/>
              <w:jc w:val="right"/>
              <w:rPr/>
            </w:pPr>
            <w:r>
              <w:rPr/>
              <w:t>21.8</w:t>
            </w:r>
          </w:p>
        </w:tc>
        <w:tc>
          <w:tcPr>
            <w:tcW w:w="26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right"/>
              <w:rPr/>
            </w:pPr>
            <w:r>
              <w:rPr/>
              <w:t>$</w:t>
            </w:r>
          </w:p>
        </w:tc>
        <w:tc>
          <w:tcPr>
            <w:tcW w:w="595" w:type="dxa"/>
            <w:tcBorders/>
            <w:shd w:fill="CCEEFF" w:val="clear"/>
            <w:vAlign w:val="bottom"/>
          </w:tcPr>
          <w:p>
            <w:pPr>
              <w:pStyle w:val="TableContents"/>
              <w:spacing w:before="0" w:after="283"/>
              <w:jc w:val="right"/>
              <w:rPr/>
            </w:pPr>
            <w:r>
              <w:rPr/>
              <w:t>6.0</w:t>
            </w:r>
          </w:p>
        </w:tc>
        <w:tc>
          <w:tcPr>
            <w:tcW w:w="27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640" w:type="dxa"/>
            <w:tcBorders/>
            <w:shd w:fill="CCEEFF" w:val="clear"/>
            <w:vAlign w:val="bottom"/>
          </w:tcPr>
          <w:p>
            <w:pPr>
              <w:pStyle w:val="TableContents"/>
              <w:spacing w:before="0" w:after="283"/>
              <w:jc w:val="right"/>
              <w:rPr/>
            </w:pPr>
            <w:r>
              <w:rPr/>
              <w:t>40.4</w:t>
            </w:r>
          </w:p>
        </w:tc>
        <w:tc>
          <w:tcPr>
            <w:tcW w:w="24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jc w:val="right"/>
              <w:rPr/>
            </w:pPr>
            <w:r>
              <w:rPr/>
              <w:t>$</w:t>
            </w:r>
          </w:p>
        </w:tc>
        <w:tc>
          <w:tcPr>
            <w:tcW w:w="640" w:type="dxa"/>
            <w:tcBorders/>
            <w:shd w:fill="CCEEFF" w:val="clear"/>
            <w:vAlign w:val="bottom"/>
          </w:tcPr>
          <w:p>
            <w:pPr>
              <w:pStyle w:val="TableContents"/>
              <w:spacing w:before="0" w:after="283"/>
              <w:jc w:val="right"/>
              <w:rPr/>
            </w:pPr>
            <w:r>
              <w:rPr/>
              <w:t>16.8</w:t>
            </w:r>
          </w:p>
        </w:tc>
        <w:tc>
          <w:tcPr>
            <w:tcW w:w="261" w:type="dxa"/>
            <w:tcBorders/>
            <w:shd w:fill="CCEEFF" w:val="clear"/>
            <w:vAlign w:val="bottom"/>
          </w:tcPr>
          <w:p>
            <w:pPr>
              <w:pStyle w:val="TableContents"/>
              <w:spacing w:before="0" w:after="283"/>
              <w:rPr/>
            </w:pPr>
            <w:r>
              <w:rPr/>
              <w:t> </w:t>
            </w:r>
          </w:p>
        </w:tc>
      </w:tr>
      <w:tr>
        <w:trPr/>
        <w:tc>
          <w:tcPr>
            <w:tcW w:w="3562" w:type="dxa"/>
            <w:tcBorders/>
            <w:shd w:fill="auto" w:val="clear"/>
            <w:vAlign w:val="bottom"/>
          </w:tcPr>
          <w:p>
            <w:pPr>
              <w:pStyle w:val="TableContents"/>
              <w:spacing w:before="0" w:after="0"/>
              <w:ind w:left="225" w:right="0" w:hanging="225"/>
              <w:rPr/>
            </w:pPr>
            <w:r>
              <w:rPr/>
              <w:t>LTIP unit vestings</w:t>
            </w:r>
          </w:p>
        </w:tc>
        <w:tc>
          <w:tcPr>
            <w:tcW w:w="33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right"/>
              <w:rPr/>
            </w:pPr>
            <w:r>
              <w:rPr/>
              <w:t>$</w:t>
            </w:r>
          </w:p>
        </w:tc>
        <w:tc>
          <w:tcPr>
            <w:tcW w:w="798" w:type="dxa"/>
            <w:tcBorders/>
            <w:shd w:fill="auto" w:val="clear"/>
            <w:vAlign w:val="bottom"/>
          </w:tcPr>
          <w:p>
            <w:pPr>
              <w:pStyle w:val="TableContents"/>
              <w:spacing w:before="0" w:after="283"/>
              <w:jc w:val="right"/>
              <w:rPr/>
            </w:pPr>
            <w:r>
              <w:rPr/>
              <w:t>17.2</w:t>
            </w:r>
          </w:p>
        </w:tc>
        <w:tc>
          <w:tcPr>
            <w:tcW w:w="26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right"/>
              <w:rPr/>
            </w:pPr>
            <w:r>
              <w:rPr/>
              <w:t>$</w:t>
            </w:r>
          </w:p>
        </w:tc>
        <w:tc>
          <w:tcPr>
            <w:tcW w:w="595" w:type="dxa"/>
            <w:tcBorders/>
            <w:shd w:fill="auto" w:val="clear"/>
            <w:vAlign w:val="bottom"/>
          </w:tcPr>
          <w:p>
            <w:pPr>
              <w:pStyle w:val="TableContents"/>
              <w:spacing w:before="0" w:after="283"/>
              <w:jc w:val="right"/>
              <w:rPr/>
            </w:pPr>
            <w:r>
              <w:rPr/>
              <w:t></w:t>
            </w:r>
          </w:p>
        </w:tc>
        <w:tc>
          <w:tcPr>
            <w:tcW w:w="27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jc w:val="right"/>
              <w:rPr/>
            </w:pPr>
            <w:r>
              <w:rPr/>
              <w:t>$</w:t>
            </w:r>
          </w:p>
        </w:tc>
        <w:tc>
          <w:tcPr>
            <w:tcW w:w="640" w:type="dxa"/>
            <w:tcBorders/>
            <w:shd w:fill="auto" w:val="clear"/>
            <w:vAlign w:val="bottom"/>
          </w:tcPr>
          <w:p>
            <w:pPr>
              <w:pStyle w:val="TableContents"/>
              <w:spacing w:before="0" w:after="283"/>
              <w:jc w:val="right"/>
              <w:rPr/>
            </w:pPr>
            <w:r>
              <w:rPr/>
              <w:t>17.2</w:t>
            </w:r>
          </w:p>
        </w:tc>
        <w:tc>
          <w:tcPr>
            <w:tcW w:w="24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pPr>
            <w:r>
              <w:rPr/>
              <w:t>$</w:t>
            </w:r>
          </w:p>
        </w:tc>
        <w:tc>
          <w:tcPr>
            <w:tcW w:w="640" w:type="dxa"/>
            <w:tcBorders/>
            <w:shd w:fill="auto" w:val="clear"/>
            <w:vAlign w:val="bottom"/>
          </w:tcPr>
          <w:p>
            <w:pPr>
              <w:pStyle w:val="TableContents"/>
              <w:spacing w:before="0" w:after="283"/>
              <w:jc w:val="right"/>
              <w:rPr/>
            </w:pPr>
            <w:r>
              <w:rPr/>
              <w:t></w:t>
            </w:r>
          </w:p>
        </w:tc>
        <w:tc>
          <w:tcPr>
            <w:tcW w:w="261" w:type="dxa"/>
            <w:tcBorders/>
            <w:shd w:fill="auto" w:val="clear"/>
            <w:vAlign w:val="bottom"/>
          </w:tcPr>
          <w:p>
            <w:pPr>
              <w:pStyle w:val="TableContents"/>
              <w:spacing w:before="0" w:after="283"/>
              <w:rPr/>
            </w:pPr>
            <w:r>
              <w:rPr/>
              <w:t> </w:t>
            </w:r>
          </w:p>
        </w:tc>
      </w:tr>
      <w:tr>
        <w:trPr/>
        <w:tc>
          <w:tcPr>
            <w:tcW w:w="3562" w:type="dxa"/>
            <w:tcBorders/>
            <w:shd w:fill="CCEEFF" w:val="clear"/>
            <w:vAlign w:val="bottom"/>
          </w:tcPr>
          <w:p>
            <w:pPr>
              <w:pStyle w:val="TableContents"/>
              <w:spacing w:before="0" w:after="0"/>
              <w:ind w:left="225" w:right="0" w:hanging="225"/>
              <w:rPr/>
            </w:pPr>
            <w:r>
              <w:rPr/>
              <w:t>LTIP cash settled vestings</w:t>
            </w:r>
          </w:p>
        </w:tc>
        <w:tc>
          <w:tcPr>
            <w:tcW w:w="33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right"/>
              <w:rPr/>
            </w:pPr>
            <w:r>
              <w:rPr/>
              <w:t>$</w:t>
            </w:r>
          </w:p>
        </w:tc>
        <w:tc>
          <w:tcPr>
            <w:tcW w:w="798" w:type="dxa"/>
            <w:tcBorders/>
            <w:shd w:fill="CCEEFF" w:val="clear"/>
            <w:vAlign w:val="bottom"/>
          </w:tcPr>
          <w:p>
            <w:pPr>
              <w:pStyle w:val="TableContents"/>
              <w:spacing w:before="0" w:after="283"/>
              <w:jc w:val="right"/>
              <w:rPr/>
            </w:pPr>
            <w:r>
              <w:rPr/>
              <w:t>15.8</w:t>
            </w:r>
          </w:p>
        </w:tc>
        <w:tc>
          <w:tcPr>
            <w:tcW w:w="26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right"/>
              <w:rPr/>
            </w:pPr>
            <w:r>
              <w:rPr/>
              <w:t>$</w:t>
            </w:r>
          </w:p>
        </w:tc>
        <w:tc>
          <w:tcPr>
            <w:tcW w:w="595" w:type="dxa"/>
            <w:tcBorders/>
            <w:shd w:fill="CCEEFF" w:val="clear"/>
            <w:vAlign w:val="bottom"/>
          </w:tcPr>
          <w:p>
            <w:pPr>
              <w:pStyle w:val="TableContents"/>
              <w:spacing w:before="0" w:after="283"/>
              <w:jc w:val="right"/>
              <w:rPr/>
            </w:pPr>
            <w:r>
              <w:rPr/>
              <w:t>0.4</w:t>
            </w:r>
          </w:p>
        </w:tc>
        <w:tc>
          <w:tcPr>
            <w:tcW w:w="27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jc w:val="right"/>
              <w:rPr/>
            </w:pPr>
            <w:r>
              <w:rPr/>
              <w:t>$</w:t>
            </w:r>
          </w:p>
        </w:tc>
        <w:tc>
          <w:tcPr>
            <w:tcW w:w="640" w:type="dxa"/>
            <w:tcBorders/>
            <w:shd w:fill="CCEEFF" w:val="clear"/>
            <w:vAlign w:val="bottom"/>
          </w:tcPr>
          <w:p>
            <w:pPr>
              <w:pStyle w:val="TableContents"/>
              <w:spacing w:before="0" w:after="283"/>
              <w:jc w:val="right"/>
              <w:rPr/>
            </w:pPr>
            <w:r>
              <w:rPr/>
              <w:t>15.8</w:t>
            </w:r>
          </w:p>
        </w:tc>
        <w:tc>
          <w:tcPr>
            <w:tcW w:w="247"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jc w:val="right"/>
              <w:rPr/>
            </w:pPr>
            <w:r>
              <w:rPr/>
              <w:t>$</w:t>
            </w:r>
          </w:p>
        </w:tc>
        <w:tc>
          <w:tcPr>
            <w:tcW w:w="640" w:type="dxa"/>
            <w:tcBorders/>
            <w:shd w:fill="CCEEFF" w:val="clear"/>
            <w:vAlign w:val="bottom"/>
          </w:tcPr>
          <w:p>
            <w:pPr>
              <w:pStyle w:val="TableContents"/>
              <w:spacing w:before="0" w:after="283"/>
              <w:jc w:val="right"/>
              <w:rPr/>
            </w:pPr>
            <w:r>
              <w:rPr/>
              <w:t>0.4</w:t>
            </w:r>
          </w:p>
        </w:tc>
        <w:tc>
          <w:tcPr>
            <w:tcW w:w="261" w:type="dxa"/>
            <w:tcBorders/>
            <w:shd w:fill="CCEEFF" w:val="clear"/>
            <w:vAlign w:val="bottom"/>
          </w:tcPr>
          <w:p>
            <w:pPr>
              <w:pStyle w:val="TableContents"/>
              <w:spacing w:before="0" w:after="283"/>
              <w:rPr/>
            </w:pPr>
            <w:r>
              <w:rPr/>
              <w:t> </w:t>
            </w:r>
          </w:p>
        </w:tc>
      </w:tr>
      <w:tr>
        <w:trPr/>
        <w:tc>
          <w:tcPr>
            <w:tcW w:w="3562" w:type="dxa"/>
            <w:tcBorders/>
            <w:shd w:fill="auto" w:val="clear"/>
            <w:vAlign w:val="bottom"/>
          </w:tcPr>
          <w:p>
            <w:pPr>
              <w:pStyle w:val="TableContents"/>
              <w:spacing w:before="0" w:after="0"/>
              <w:ind w:left="225" w:right="0" w:hanging="225"/>
              <w:rPr/>
            </w:pPr>
            <w:r>
              <w:rPr/>
              <w:t>DER cash payments</w:t>
            </w:r>
          </w:p>
        </w:tc>
        <w:tc>
          <w:tcPr>
            <w:tcW w:w="33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right"/>
              <w:rPr/>
            </w:pPr>
            <w:r>
              <w:rPr/>
              <w:t>$</w:t>
            </w:r>
          </w:p>
        </w:tc>
        <w:tc>
          <w:tcPr>
            <w:tcW w:w="798" w:type="dxa"/>
            <w:tcBorders/>
            <w:shd w:fill="auto" w:val="clear"/>
            <w:vAlign w:val="bottom"/>
          </w:tcPr>
          <w:p>
            <w:pPr>
              <w:pStyle w:val="TableContents"/>
              <w:spacing w:before="0" w:after="283"/>
              <w:jc w:val="right"/>
              <w:rPr/>
            </w:pPr>
            <w:r>
              <w:rPr/>
              <w:t>1.3</w:t>
            </w:r>
          </w:p>
        </w:tc>
        <w:tc>
          <w:tcPr>
            <w:tcW w:w="26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jc w:val="right"/>
              <w:rPr/>
            </w:pPr>
            <w:r>
              <w:rPr/>
              <w:t>$</w:t>
            </w:r>
          </w:p>
        </w:tc>
        <w:tc>
          <w:tcPr>
            <w:tcW w:w="595" w:type="dxa"/>
            <w:tcBorders/>
            <w:shd w:fill="auto" w:val="clear"/>
            <w:vAlign w:val="bottom"/>
          </w:tcPr>
          <w:p>
            <w:pPr>
              <w:pStyle w:val="TableContents"/>
              <w:spacing w:before="0" w:after="283"/>
              <w:jc w:val="right"/>
              <w:rPr/>
            </w:pPr>
            <w:r>
              <w:rPr/>
              <w:t>0.7</w:t>
            </w:r>
          </w:p>
        </w:tc>
        <w:tc>
          <w:tcPr>
            <w:tcW w:w="27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jc w:val="right"/>
              <w:rPr/>
            </w:pPr>
            <w:r>
              <w:rPr/>
              <w:t>$</w:t>
            </w:r>
          </w:p>
        </w:tc>
        <w:tc>
          <w:tcPr>
            <w:tcW w:w="640" w:type="dxa"/>
            <w:tcBorders/>
            <w:shd w:fill="auto" w:val="clear"/>
            <w:vAlign w:val="bottom"/>
          </w:tcPr>
          <w:p>
            <w:pPr>
              <w:pStyle w:val="TableContents"/>
              <w:spacing w:before="0" w:after="283"/>
              <w:jc w:val="right"/>
              <w:rPr/>
            </w:pPr>
            <w:r>
              <w:rPr/>
              <w:t>2.4</w:t>
            </w:r>
          </w:p>
        </w:tc>
        <w:tc>
          <w:tcPr>
            <w:tcW w:w="24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pPr>
            <w:r>
              <w:rPr/>
              <w:t>$</w:t>
            </w:r>
          </w:p>
        </w:tc>
        <w:tc>
          <w:tcPr>
            <w:tcW w:w="640" w:type="dxa"/>
            <w:tcBorders/>
            <w:shd w:fill="auto" w:val="clear"/>
            <w:vAlign w:val="bottom"/>
          </w:tcPr>
          <w:p>
            <w:pPr>
              <w:pStyle w:val="TableContents"/>
              <w:spacing w:before="0" w:after="283"/>
              <w:jc w:val="right"/>
              <w:rPr/>
            </w:pPr>
            <w:r>
              <w:rPr/>
              <w:t>1.2</w:t>
            </w:r>
          </w:p>
        </w:tc>
        <w:tc>
          <w:tcPr>
            <w:tcW w:w="261"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80"/>
        <w:gridCol w:w="2179"/>
        <w:gridCol w:w="1446"/>
      </w:tblGrid>
      <w:tr>
        <w:trPr/>
        <w:tc>
          <w:tcPr>
            <w:tcW w:w="6580"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(1)</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Approximately $8 million of the charge for the second quarter of 2007 and approximately $16 million of the charge for the first six months of 2007 is associated with the Partnerships closing unit price increasing from $51.20 at December 31, 2006 to $57.61 at March 31, 2007 and $63.65 at June 30, 2007.</w:t>
            </w:r>
          </w:p>
        </w:tc>
      </w:tr>
      <w:tr>
        <w:trPr/>
        <w:tc>
          <w:tcPr>
            <w:tcW w:w="6580" w:type="dxa"/>
            <w:tcBorders/>
            <w:shd w:fill="auto" w:val="clear"/>
            <w:vAlign w:val="center"/>
          </w:tcPr>
          <w:p>
            <w:pPr>
              <w:pStyle w:val="TableContents"/>
              <w:spacing w:before="0" w:after="283"/>
              <w:rPr/>
            </w:pPr>
            <w:r>
              <w:rPr/>
              <w:t> </w:t>
            </w:r>
          </w:p>
        </w:tc>
        <w:tc>
          <w:tcPr>
            <w:tcW w:w="3625" w:type="dxa"/>
            <w:gridSpan w:val="2"/>
            <w:tcBorders/>
            <w:shd w:fill="auto" w:val="clear"/>
          </w:tcPr>
          <w:p>
            <w:pPr>
              <w:pStyle w:val="TableContents"/>
              <w:spacing w:before="0" w:after="283"/>
              <w:rPr>
                <w:sz w:val="4"/>
                <w:szCs w:val="4"/>
              </w:rPr>
            </w:pPr>
            <w:r>
              <w:rPr>
                <w:sz w:val="4"/>
                <w:szCs w:val="4"/>
              </w:rPr>
            </w:r>
          </w:p>
        </w:tc>
      </w:tr>
    </w:tbl>
    <w:p>
      <w:pPr>
        <w:pStyle w:val="TextBody"/>
        <w:jc w:val="center"/>
        <w:rPr>
          <w:sz w:val="17"/>
        </w:rPr>
      </w:pPr>
      <w:r>
        <w:rPr>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As of June 30, 2007, the weighted average remaining contractual life of our outstanding awards (that are currently considered probable of vesting) was approximately 3.2 years based on expected vesting dates. Based on the June 30, 2007 fair value measurement and probability assessment regarding future distributions, we expect to recognize an additional $91.6 million of expense over the life of our outstanding awards related to the remaining unrecognized fair value. This estimate is based on the closing market price of our limited partner units of $63.65 at June 30, 2007. Actual amounts may differ materially as a result of a change in market price and a change in probability assessment of future distributions. We estimate that the remaining fair value will be recognized in expense as shown below (in millions): </w:t>
      </w:r>
    </w:p>
    <w:tbl>
      <w:tblPr>
        <w:tblW w:w="5000" w:type="pct"/>
        <w:jc w:val="center"/>
        <w:tblInd w:w="0" w:type="dxa"/>
        <w:tblCellMar>
          <w:top w:w="0" w:type="dxa"/>
          <w:left w:w="0" w:type="dxa"/>
          <w:bottom w:w="0" w:type="dxa"/>
          <w:right w:w="0" w:type="dxa"/>
        </w:tblCellMar>
      </w:tblPr>
      <w:tblGrid>
        <w:gridCol w:w="832"/>
        <w:gridCol w:w="7277"/>
        <w:gridCol w:w="436"/>
        <w:gridCol w:w="1525"/>
        <w:gridCol w:w="135"/>
      </w:tblGrid>
      <w:tr>
        <w:trPr/>
        <w:tc>
          <w:tcPr>
            <w:tcW w:w="832" w:type="dxa"/>
            <w:tcBorders/>
            <w:shd w:fill="auto" w:val="clear"/>
            <w:vAlign w:val="bottom"/>
          </w:tcPr>
          <w:p>
            <w:pPr>
              <w:pStyle w:val="TableContents"/>
              <w:spacing w:before="0" w:after="283"/>
              <w:rPr/>
            </w:pPr>
            <w:r>
              <w:rPr/>
              <w:t> </w:t>
            </w:r>
          </w:p>
        </w:tc>
        <w:tc>
          <w:tcPr>
            <w:tcW w:w="727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2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832" w:type="dxa"/>
            <w:tcBorders/>
            <w:shd w:fill="auto" w:val="clear"/>
            <w:vAlign w:val="bottom"/>
          </w:tcPr>
          <w:p>
            <w:pPr>
              <w:pStyle w:val="TableContents"/>
              <w:spacing w:before="0" w:after="283"/>
              <w:rPr/>
            </w:pPr>
            <w:r>
              <w:rPr/>
              <w:t> </w:t>
            </w:r>
          </w:p>
        </w:tc>
        <w:tc>
          <w:tcPr>
            <w:tcW w:w="7277" w:type="dxa"/>
            <w:tcBorders/>
            <w:shd w:fill="auto" w:val="clear"/>
            <w:vAlign w:val="bottom"/>
          </w:tcPr>
          <w:p>
            <w:pPr>
              <w:pStyle w:val="TableContents"/>
              <w:spacing w:before="0" w:after="283"/>
              <w:rPr/>
            </w:pPr>
            <w:r>
              <w:rPr/>
              <w:t> </w:t>
            </w:r>
          </w:p>
        </w:tc>
        <w:tc>
          <w:tcPr>
            <w:tcW w:w="1961" w:type="dxa"/>
            <w:gridSpan w:val="2"/>
            <w:tcBorders/>
            <w:shd w:fill="auto" w:val="clear"/>
            <w:vAlign w:val="bottom"/>
          </w:tcPr>
          <w:p>
            <w:pPr>
              <w:pStyle w:val="TableContents"/>
              <w:spacing w:before="0" w:after="283"/>
              <w:jc w:val="center"/>
              <w:rPr>
                <w:b/>
              </w:rPr>
            </w:pPr>
            <w:r>
              <w:rPr>
                <w:b/>
              </w:rPr>
              <w:t>LTIP</w:t>
            </w:r>
          </w:p>
        </w:tc>
        <w:tc>
          <w:tcPr>
            <w:tcW w:w="135" w:type="dxa"/>
            <w:tcBorders/>
            <w:shd w:fill="auto" w:val="clear"/>
            <w:vAlign w:val="bottom"/>
          </w:tcPr>
          <w:p>
            <w:pPr>
              <w:pStyle w:val="TableContents"/>
              <w:spacing w:before="0" w:after="283"/>
              <w:rPr/>
            </w:pPr>
            <w:r>
              <w:rPr/>
              <w:t> </w:t>
            </w:r>
          </w:p>
        </w:tc>
      </w:tr>
      <w:tr>
        <w:trPr/>
        <w:tc>
          <w:tcPr>
            <w:tcW w:w="832" w:type="dxa"/>
            <w:tcBorders/>
            <w:shd w:fill="auto" w:val="clear"/>
            <w:vAlign w:val="bottom"/>
          </w:tcPr>
          <w:p>
            <w:pPr>
              <w:pStyle w:val="TableContents"/>
              <w:spacing w:before="0" w:after="283"/>
              <w:rPr/>
            </w:pPr>
            <w:r>
              <w:rPr/>
              <w:t> </w:t>
            </w:r>
          </w:p>
        </w:tc>
        <w:tc>
          <w:tcPr>
            <w:tcW w:w="7277" w:type="dxa"/>
            <w:tcBorders/>
            <w:shd w:fill="auto" w:val="clear"/>
            <w:vAlign w:val="bottom"/>
          </w:tcPr>
          <w:p>
            <w:pPr>
              <w:pStyle w:val="TableContents"/>
              <w:spacing w:before="0" w:after="283"/>
              <w:rPr/>
            </w:pPr>
            <w:r>
              <w:rPr/>
              <w:t> </w:t>
            </w:r>
          </w:p>
        </w:tc>
        <w:tc>
          <w:tcPr>
            <w:tcW w:w="1961" w:type="dxa"/>
            <w:gridSpan w:val="2"/>
            <w:tcBorders/>
            <w:shd w:fill="auto" w:val="clear"/>
            <w:vAlign w:val="bottom"/>
          </w:tcPr>
          <w:p>
            <w:pPr>
              <w:pStyle w:val="TableContents"/>
              <w:spacing w:before="0" w:after="283"/>
              <w:jc w:val="center"/>
              <w:rPr>
                <w:b/>
              </w:rPr>
            </w:pPr>
            <w:r>
              <w:rPr>
                <w:b/>
              </w:rPr>
              <w:t>Fair Value</w:t>
            </w:r>
          </w:p>
        </w:tc>
        <w:tc>
          <w:tcPr>
            <w:tcW w:w="135" w:type="dxa"/>
            <w:tcBorders/>
            <w:shd w:fill="auto" w:val="clear"/>
            <w:vAlign w:val="bottom"/>
          </w:tcPr>
          <w:p>
            <w:pPr>
              <w:pStyle w:val="TableContents"/>
              <w:spacing w:before="0" w:after="283"/>
              <w:rPr/>
            </w:pPr>
            <w:r>
              <w:rPr/>
              <w:t> </w:t>
            </w:r>
          </w:p>
        </w:tc>
      </w:tr>
      <w:tr>
        <w:trPr/>
        <w:tc>
          <w:tcPr>
            <w:tcW w:w="832" w:type="dxa"/>
            <w:tcBorders>
              <w:bottom w:val="single" w:sz="2" w:space="0" w:color="000000"/>
            </w:tcBorders>
            <w:shd w:fill="auto" w:val="clear"/>
            <w:tcMar>
              <w:bottom w:w="28" w:type="dxa"/>
            </w:tcMar>
            <w:vAlign w:val="bottom"/>
          </w:tcPr>
          <w:p>
            <w:pPr>
              <w:pStyle w:val="TableContents"/>
              <w:spacing w:before="0" w:after="283"/>
              <w:jc w:val="left"/>
              <w:rPr>
                <w:b/>
              </w:rPr>
            </w:pPr>
            <w:r>
              <w:rPr>
                <w:b/>
              </w:rPr>
              <w:t>Year</w:t>
            </w:r>
          </w:p>
        </w:tc>
        <w:tc>
          <w:tcPr>
            <w:tcW w:w="7277" w:type="dxa"/>
            <w:tcBorders/>
            <w:shd w:fill="auto" w:val="clear"/>
            <w:vAlign w:val="bottom"/>
          </w:tcPr>
          <w:p>
            <w:pPr>
              <w:pStyle w:val="TableContents"/>
              <w:spacing w:before="0" w:after="283"/>
              <w:rPr/>
            </w:pPr>
            <w:r>
              <w:rPr/>
              <w:t> </w:t>
            </w:r>
          </w:p>
        </w:tc>
        <w:tc>
          <w:tcPr>
            <w:tcW w:w="19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Amortization(1)</w:t>
            </w:r>
          </w:p>
        </w:tc>
        <w:tc>
          <w:tcPr>
            <w:tcW w:w="135" w:type="dxa"/>
            <w:tcBorders/>
            <w:shd w:fill="auto" w:val="clear"/>
            <w:vAlign w:val="bottom"/>
          </w:tcPr>
          <w:p>
            <w:pPr>
              <w:pStyle w:val="TableContents"/>
              <w:spacing w:before="0" w:after="283"/>
              <w:rPr/>
            </w:pPr>
            <w:r>
              <w:rPr/>
              <w:t> </w:t>
            </w:r>
          </w:p>
        </w:tc>
      </w:tr>
      <w:tr>
        <w:trPr/>
        <w:tc>
          <w:tcPr>
            <w:tcW w:w="832" w:type="dxa"/>
            <w:tcBorders/>
            <w:shd w:fill="CCEEFF" w:val="clear"/>
            <w:vAlign w:val="bottom"/>
          </w:tcPr>
          <w:p>
            <w:pPr>
              <w:pStyle w:val="TableContents"/>
              <w:spacing w:before="0" w:after="0"/>
              <w:ind w:left="225" w:right="0" w:hanging="225"/>
              <w:rPr/>
            </w:pPr>
            <w:r>
              <w:rPr/>
              <w:t>2007 (2)</w:t>
            </w:r>
          </w:p>
        </w:tc>
        <w:tc>
          <w:tcPr>
            <w:tcW w:w="727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w:t>
            </w:r>
          </w:p>
        </w:tc>
        <w:tc>
          <w:tcPr>
            <w:tcW w:w="1525" w:type="dxa"/>
            <w:tcBorders/>
            <w:shd w:fill="CCEEFF" w:val="clear"/>
            <w:vAlign w:val="bottom"/>
          </w:tcPr>
          <w:p>
            <w:pPr>
              <w:pStyle w:val="TableContents"/>
              <w:spacing w:before="0" w:after="283"/>
              <w:jc w:val="right"/>
              <w:rPr/>
            </w:pPr>
            <w:r>
              <w:rPr/>
              <w:t>16.3</w:t>
            </w:r>
          </w:p>
        </w:tc>
        <w:tc>
          <w:tcPr>
            <w:tcW w:w="135" w:type="dxa"/>
            <w:tcBorders/>
            <w:shd w:fill="CCEEFF" w:val="clear"/>
            <w:vAlign w:val="bottom"/>
          </w:tcPr>
          <w:p>
            <w:pPr>
              <w:pStyle w:val="TableContents"/>
              <w:spacing w:before="0" w:after="283"/>
              <w:rPr/>
            </w:pPr>
            <w:r>
              <w:rPr/>
              <w:t> </w:t>
            </w:r>
          </w:p>
        </w:tc>
      </w:tr>
      <w:tr>
        <w:trPr/>
        <w:tc>
          <w:tcPr>
            <w:tcW w:w="832" w:type="dxa"/>
            <w:tcBorders/>
            <w:shd w:fill="auto" w:val="clear"/>
            <w:vAlign w:val="bottom"/>
          </w:tcPr>
          <w:p>
            <w:pPr>
              <w:pStyle w:val="TableContents"/>
              <w:spacing w:before="0" w:after="0"/>
              <w:ind w:left="225" w:right="0" w:hanging="225"/>
              <w:rPr/>
            </w:pPr>
            <w:r>
              <w:rPr/>
              <w:t>2008</w:t>
            </w:r>
          </w:p>
        </w:tc>
        <w:tc>
          <w:tcPr>
            <w:tcW w:w="727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25" w:type="dxa"/>
            <w:tcBorders/>
            <w:shd w:fill="auto" w:val="clear"/>
            <w:vAlign w:val="bottom"/>
          </w:tcPr>
          <w:p>
            <w:pPr>
              <w:pStyle w:val="TableContents"/>
              <w:spacing w:before="0" w:after="283"/>
              <w:jc w:val="right"/>
              <w:rPr/>
            </w:pPr>
            <w:r>
              <w:rPr/>
              <w:t>30.8</w:t>
            </w:r>
          </w:p>
        </w:tc>
        <w:tc>
          <w:tcPr>
            <w:tcW w:w="135" w:type="dxa"/>
            <w:tcBorders/>
            <w:shd w:fill="auto" w:val="clear"/>
            <w:vAlign w:val="bottom"/>
          </w:tcPr>
          <w:p>
            <w:pPr>
              <w:pStyle w:val="TableContents"/>
              <w:spacing w:before="0" w:after="283"/>
              <w:rPr/>
            </w:pPr>
            <w:r>
              <w:rPr/>
              <w:t> </w:t>
            </w:r>
          </w:p>
        </w:tc>
      </w:tr>
      <w:tr>
        <w:trPr/>
        <w:tc>
          <w:tcPr>
            <w:tcW w:w="832" w:type="dxa"/>
            <w:tcBorders/>
            <w:shd w:fill="CCEEFF" w:val="clear"/>
            <w:vAlign w:val="bottom"/>
          </w:tcPr>
          <w:p>
            <w:pPr>
              <w:pStyle w:val="TableContents"/>
              <w:spacing w:before="0" w:after="0"/>
              <w:ind w:left="225" w:right="0" w:hanging="225"/>
              <w:rPr/>
            </w:pPr>
            <w:r>
              <w:rPr/>
              <w:t>2009</w:t>
            </w:r>
          </w:p>
        </w:tc>
        <w:tc>
          <w:tcPr>
            <w:tcW w:w="727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25" w:type="dxa"/>
            <w:tcBorders/>
            <w:shd w:fill="CCEEFF" w:val="clear"/>
            <w:vAlign w:val="bottom"/>
          </w:tcPr>
          <w:p>
            <w:pPr>
              <w:pStyle w:val="TableContents"/>
              <w:spacing w:before="0" w:after="283"/>
              <w:jc w:val="right"/>
              <w:rPr/>
            </w:pPr>
            <w:r>
              <w:rPr/>
              <w:t>23.7</w:t>
            </w:r>
          </w:p>
        </w:tc>
        <w:tc>
          <w:tcPr>
            <w:tcW w:w="135" w:type="dxa"/>
            <w:tcBorders/>
            <w:shd w:fill="CCEEFF" w:val="clear"/>
            <w:vAlign w:val="bottom"/>
          </w:tcPr>
          <w:p>
            <w:pPr>
              <w:pStyle w:val="TableContents"/>
              <w:spacing w:before="0" w:after="283"/>
              <w:rPr/>
            </w:pPr>
            <w:r>
              <w:rPr/>
              <w:t> </w:t>
            </w:r>
          </w:p>
        </w:tc>
      </w:tr>
      <w:tr>
        <w:trPr/>
        <w:tc>
          <w:tcPr>
            <w:tcW w:w="832" w:type="dxa"/>
            <w:tcBorders/>
            <w:shd w:fill="auto" w:val="clear"/>
            <w:vAlign w:val="bottom"/>
          </w:tcPr>
          <w:p>
            <w:pPr>
              <w:pStyle w:val="TableContents"/>
              <w:spacing w:before="0" w:after="0"/>
              <w:ind w:left="225" w:right="0" w:hanging="225"/>
              <w:rPr/>
            </w:pPr>
            <w:r>
              <w:rPr/>
              <w:t>2010</w:t>
            </w:r>
          </w:p>
        </w:tc>
        <w:tc>
          <w:tcPr>
            <w:tcW w:w="727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25" w:type="dxa"/>
            <w:tcBorders/>
            <w:shd w:fill="auto" w:val="clear"/>
            <w:vAlign w:val="bottom"/>
          </w:tcPr>
          <w:p>
            <w:pPr>
              <w:pStyle w:val="TableContents"/>
              <w:spacing w:before="0" w:after="283"/>
              <w:jc w:val="right"/>
              <w:rPr/>
            </w:pPr>
            <w:r>
              <w:rPr/>
              <w:t>14.3</w:t>
            </w:r>
          </w:p>
        </w:tc>
        <w:tc>
          <w:tcPr>
            <w:tcW w:w="135" w:type="dxa"/>
            <w:tcBorders/>
            <w:shd w:fill="auto" w:val="clear"/>
            <w:vAlign w:val="bottom"/>
          </w:tcPr>
          <w:p>
            <w:pPr>
              <w:pStyle w:val="TableContents"/>
              <w:spacing w:before="0" w:after="283"/>
              <w:rPr/>
            </w:pPr>
            <w:r>
              <w:rPr/>
              <w:t> </w:t>
            </w:r>
          </w:p>
        </w:tc>
      </w:tr>
      <w:tr>
        <w:trPr/>
        <w:tc>
          <w:tcPr>
            <w:tcW w:w="832" w:type="dxa"/>
            <w:tcBorders/>
            <w:shd w:fill="CCEEFF" w:val="clear"/>
            <w:vAlign w:val="bottom"/>
          </w:tcPr>
          <w:p>
            <w:pPr>
              <w:pStyle w:val="TableContents"/>
              <w:spacing w:before="0" w:after="0"/>
              <w:ind w:left="225" w:right="0" w:hanging="225"/>
              <w:rPr/>
            </w:pPr>
            <w:r>
              <w:rPr/>
              <w:t>2011</w:t>
            </w:r>
          </w:p>
        </w:tc>
        <w:tc>
          <w:tcPr>
            <w:tcW w:w="727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25" w:type="dxa"/>
            <w:tcBorders/>
            <w:shd w:fill="CCEEFF" w:val="clear"/>
            <w:vAlign w:val="bottom"/>
          </w:tcPr>
          <w:p>
            <w:pPr>
              <w:pStyle w:val="TableContents"/>
              <w:spacing w:before="0" w:after="283"/>
              <w:jc w:val="right"/>
              <w:rPr/>
            </w:pPr>
            <w:r>
              <w:rPr/>
              <w:t>4.4</w:t>
            </w:r>
          </w:p>
        </w:tc>
        <w:tc>
          <w:tcPr>
            <w:tcW w:w="135" w:type="dxa"/>
            <w:tcBorders/>
            <w:shd w:fill="CCEEFF" w:val="clear"/>
            <w:vAlign w:val="bottom"/>
          </w:tcPr>
          <w:p>
            <w:pPr>
              <w:pStyle w:val="TableContents"/>
              <w:spacing w:before="0" w:after="283"/>
              <w:rPr/>
            </w:pPr>
            <w:r>
              <w:rPr/>
              <w:t> </w:t>
            </w:r>
          </w:p>
        </w:tc>
      </w:tr>
      <w:tr>
        <w:trPr/>
        <w:tc>
          <w:tcPr>
            <w:tcW w:w="832" w:type="dxa"/>
            <w:tcBorders/>
            <w:shd w:fill="auto" w:val="clear"/>
            <w:vAlign w:val="bottom"/>
          </w:tcPr>
          <w:p>
            <w:pPr>
              <w:pStyle w:val="TableContents"/>
              <w:spacing w:before="0" w:after="0"/>
              <w:ind w:left="225" w:right="0" w:hanging="225"/>
              <w:rPr/>
            </w:pPr>
            <w:r>
              <w:rPr/>
              <w:t>2012</w:t>
            </w:r>
          </w:p>
        </w:tc>
        <w:tc>
          <w:tcPr>
            <w:tcW w:w="727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25" w:type="dxa"/>
            <w:tcBorders/>
            <w:shd w:fill="auto" w:val="clear"/>
            <w:vAlign w:val="bottom"/>
          </w:tcPr>
          <w:p>
            <w:pPr>
              <w:pStyle w:val="TableContents"/>
              <w:spacing w:before="0" w:after="283"/>
              <w:jc w:val="right"/>
              <w:rPr/>
            </w:pPr>
            <w:r>
              <w:rPr/>
              <w:t>2.1</w:t>
            </w:r>
          </w:p>
        </w:tc>
        <w:tc>
          <w:tcPr>
            <w:tcW w:w="135" w:type="dxa"/>
            <w:tcBorders/>
            <w:shd w:fill="auto" w:val="clear"/>
            <w:vAlign w:val="bottom"/>
          </w:tcPr>
          <w:p>
            <w:pPr>
              <w:pStyle w:val="TableContents"/>
              <w:spacing w:before="0" w:after="283"/>
              <w:rPr/>
            </w:pPr>
            <w:r>
              <w:rPr/>
              <w:t> </w:t>
            </w:r>
          </w:p>
        </w:tc>
      </w:tr>
      <w:tr>
        <w:trPr/>
        <w:tc>
          <w:tcPr>
            <w:tcW w:w="832" w:type="dxa"/>
            <w:tcBorders/>
            <w:shd w:fill="auto" w:val="clear"/>
            <w:vAlign w:val="center"/>
          </w:tcPr>
          <w:p>
            <w:pPr>
              <w:pStyle w:val="TableContents"/>
              <w:spacing w:before="0" w:after="0"/>
              <w:ind w:left="225" w:right="0" w:hanging="225"/>
              <w:rPr/>
            </w:pPr>
            <w:r>
              <w:rPr/>
              <w:t> </w:t>
            </w:r>
          </w:p>
        </w:tc>
        <w:tc>
          <w:tcPr>
            <w:tcW w:w="7277" w:type="dxa"/>
            <w:tcBorders/>
            <w:shd w:fill="auto" w:val="clear"/>
            <w:vAlign w:val="center"/>
          </w:tcPr>
          <w:p>
            <w:pPr>
              <w:pStyle w:val="TableContents"/>
              <w:spacing w:before="0" w:after="283"/>
              <w:rPr/>
            </w:pPr>
            <w:r>
              <w:rPr/>
              <w:t> </w:t>
            </w:r>
          </w:p>
        </w:tc>
        <w:tc>
          <w:tcPr>
            <w:tcW w:w="1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832" w:type="dxa"/>
            <w:tcBorders/>
            <w:shd w:fill="CCEEFF" w:val="clear"/>
            <w:vAlign w:val="bottom"/>
          </w:tcPr>
          <w:p>
            <w:pPr>
              <w:pStyle w:val="TableContents"/>
              <w:spacing w:before="0" w:after="0"/>
              <w:ind w:left="450" w:right="0" w:hanging="225"/>
              <w:rPr/>
            </w:pPr>
            <w:r>
              <w:rPr/>
              <w:t>Total</w:t>
            </w:r>
          </w:p>
        </w:tc>
        <w:tc>
          <w:tcPr>
            <w:tcW w:w="727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jc w:val="left"/>
              <w:rPr/>
            </w:pPr>
            <w:r>
              <w:rPr/>
              <w:t>$</w:t>
            </w:r>
          </w:p>
        </w:tc>
        <w:tc>
          <w:tcPr>
            <w:tcW w:w="1525" w:type="dxa"/>
            <w:tcBorders/>
            <w:shd w:fill="CCEEFF" w:val="clear"/>
            <w:vAlign w:val="bottom"/>
          </w:tcPr>
          <w:p>
            <w:pPr>
              <w:pStyle w:val="TableContents"/>
              <w:spacing w:before="0" w:after="283"/>
              <w:jc w:val="right"/>
              <w:rPr/>
            </w:pPr>
            <w:r>
              <w:rPr/>
              <w:t>91.6</w:t>
            </w:r>
          </w:p>
        </w:tc>
        <w:tc>
          <w:tcPr>
            <w:tcW w:w="135" w:type="dxa"/>
            <w:tcBorders/>
            <w:shd w:fill="CCEEFF" w:val="clear"/>
            <w:vAlign w:val="bottom"/>
          </w:tcPr>
          <w:p>
            <w:pPr>
              <w:pStyle w:val="TableContents"/>
              <w:spacing w:before="0" w:after="283"/>
              <w:rPr/>
            </w:pPr>
            <w:r>
              <w:rPr/>
              <w:t> </w:t>
            </w:r>
          </w:p>
        </w:tc>
      </w:tr>
      <w:tr>
        <w:trPr/>
        <w:tc>
          <w:tcPr>
            <w:tcW w:w="832" w:type="dxa"/>
            <w:tcBorders/>
            <w:shd w:fill="auto" w:val="clear"/>
            <w:vAlign w:val="center"/>
          </w:tcPr>
          <w:p>
            <w:pPr>
              <w:pStyle w:val="TableContents"/>
              <w:spacing w:before="0" w:after="0"/>
              <w:ind w:left="225" w:right="0" w:hanging="225"/>
              <w:rPr/>
            </w:pPr>
            <w:r>
              <w:rPr/>
              <w:t> </w:t>
            </w:r>
          </w:p>
        </w:tc>
        <w:tc>
          <w:tcPr>
            <w:tcW w:w="7277" w:type="dxa"/>
            <w:tcBorders/>
            <w:shd w:fill="auto" w:val="clear"/>
            <w:vAlign w:val="center"/>
          </w:tcPr>
          <w:p>
            <w:pPr>
              <w:pStyle w:val="TableContents"/>
              <w:spacing w:before="0" w:after="283"/>
              <w:rPr/>
            </w:pPr>
            <w:r>
              <w:rPr/>
              <w:t> </w:t>
            </w:r>
          </w:p>
        </w:tc>
        <w:tc>
          <w:tcPr>
            <w:tcW w:w="1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Amounts do not include fair value associated with awards containing performance conditions that are not considered to be probable of occurring at June 30, 2007.</w:t>
            </w:r>
          </w:p>
        </w:tc>
      </w:tr>
      <w:tr>
        <w:trPr/>
        <w:tc>
          <w:tcPr>
            <w:tcW w:w="6749" w:type="dxa"/>
            <w:tcBorders/>
            <w:shd w:fill="auto" w:val="clear"/>
            <w:vAlign w:val="center"/>
          </w:tcPr>
          <w:p>
            <w:pPr>
              <w:pStyle w:val="TableContents"/>
              <w:spacing w:before="0" w:after="283"/>
              <w:rPr/>
            </w:pPr>
            <w:r>
              <w:rPr/>
              <w:t> </w:t>
            </w:r>
          </w:p>
        </w:tc>
        <w:tc>
          <w:tcPr>
            <w:tcW w:w="3456" w:type="dxa"/>
            <w:gridSpan w:val="2"/>
            <w:tcBorders/>
            <w:shd w:fill="auto" w:val="clea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(2)</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Includes LTIP fair value amortization for the remaining six months of 2007.</w:t>
            </w:r>
          </w:p>
        </w:tc>
      </w:tr>
    </w:tbl>
    <w:p>
      <w:pPr>
        <w:pStyle w:val="TextBody"/>
        <w:spacing w:before="120" w:after="283"/>
        <w:jc w:val="left"/>
        <w:rPr/>
      </w:pPr>
      <w:r>
        <w:rPr/>
        <w:t>     </w:t>
      </w:r>
      <w:r>
        <w:rPr>
          <w:rFonts w:ascii="Times New Roman;Times;serif" w:hAnsi="Times New Roman;Times;serif"/>
          <w:sz w:val="17"/>
        </w:rPr>
        <w:t xml:space="preserve">Our LTIP activity is summarized in the following table (in millions, except weighted average grant date fair values per unit): </w:t>
      </w:r>
    </w:p>
    <w:tbl>
      <w:tblPr>
        <w:tblW w:w="5000" w:type="pct"/>
        <w:jc w:val="center"/>
        <w:tblInd w:w="0" w:type="dxa"/>
        <w:tblCellMar>
          <w:top w:w="0" w:type="dxa"/>
          <w:left w:w="0" w:type="dxa"/>
          <w:bottom w:w="0" w:type="dxa"/>
          <w:right w:w="0" w:type="dxa"/>
        </w:tblCellMar>
      </w:tblPr>
      <w:tblGrid>
        <w:gridCol w:w="6176"/>
        <w:gridCol w:w="394"/>
        <w:gridCol w:w="130"/>
        <w:gridCol w:w="754"/>
        <w:gridCol w:w="148"/>
        <w:gridCol w:w="394"/>
        <w:gridCol w:w="403"/>
        <w:gridCol w:w="1682"/>
        <w:gridCol w:w="124"/>
      </w:tblGrid>
      <w:tr>
        <w:trPr/>
        <w:tc>
          <w:tcPr>
            <w:tcW w:w="617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8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085" w:type="dxa"/>
            <w:gridSpan w:val="2"/>
            <w:tcBorders/>
            <w:shd w:fill="auto" w:val="clear"/>
            <w:vAlign w:val="bottom"/>
          </w:tcPr>
          <w:p>
            <w:pPr>
              <w:pStyle w:val="TableContents"/>
              <w:spacing w:before="0" w:after="283"/>
              <w:jc w:val="center"/>
              <w:rPr>
                <w:b/>
              </w:rPr>
            </w:pPr>
            <w:r>
              <w:rPr>
                <w:b/>
              </w:rPr>
              <w:t>Weighted</w:t>
            </w:r>
          </w:p>
        </w:tc>
        <w:tc>
          <w:tcPr>
            <w:tcW w:w="124" w:type="dxa"/>
            <w:tcBorders/>
            <w:shd w:fill="auto"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085" w:type="dxa"/>
            <w:gridSpan w:val="2"/>
            <w:tcBorders/>
            <w:shd w:fill="auto" w:val="clear"/>
            <w:vAlign w:val="bottom"/>
          </w:tcPr>
          <w:p>
            <w:pPr>
              <w:pStyle w:val="TableContents"/>
              <w:spacing w:before="0" w:after="283"/>
              <w:jc w:val="center"/>
              <w:rPr>
                <w:b/>
              </w:rPr>
            </w:pPr>
            <w:r>
              <w:rPr>
                <w:b/>
              </w:rPr>
              <w:t>Average</w:t>
            </w:r>
          </w:p>
        </w:tc>
        <w:tc>
          <w:tcPr>
            <w:tcW w:w="124" w:type="dxa"/>
            <w:tcBorders/>
            <w:shd w:fill="auto"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085" w:type="dxa"/>
            <w:gridSpan w:val="2"/>
            <w:tcBorders/>
            <w:shd w:fill="auto" w:val="clear"/>
            <w:vAlign w:val="bottom"/>
          </w:tcPr>
          <w:p>
            <w:pPr>
              <w:pStyle w:val="TableContents"/>
              <w:spacing w:before="0" w:after="283"/>
              <w:jc w:val="center"/>
              <w:rPr>
                <w:b/>
              </w:rPr>
            </w:pPr>
            <w:r>
              <w:rPr>
                <w:b/>
              </w:rPr>
              <w:t>Grant Date</w:t>
            </w:r>
          </w:p>
        </w:tc>
        <w:tc>
          <w:tcPr>
            <w:tcW w:w="124" w:type="dxa"/>
            <w:tcBorders/>
            <w:shd w:fill="auto"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8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0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Fair Value per unit</w:t>
            </w:r>
          </w:p>
        </w:tc>
        <w:tc>
          <w:tcPr>
            <w:tcW w:w="124" w:type="dxa"/>
            <w:tcBorders/>
            <w:shd w:fill="auto" w:val="clear"/>
            <w:vAlign w:val="bottom"/>
          </w:tcPr>
          <w:p>
            <w:pPr>
              <w:pStyle w:val="TableContents"/>
              <w:spacing w:before="0" w:after="283"/>
              <w:rPr/>
            </w:pPr>
            <w:r>
              <w:rPr/>
              <w:t> </w:t>
            </w:r>
          </w:p>
        </w:tc>
      </w:tr>
      <w:tr>
        <w:trPr/>
        <w:tc>
          <w:tcPr>
            <w:tcW w:w="6176" w:type="dxa"/>
            <w:tcBorders/>
            <w:shd w:fill="CCEEFF" w:val="clear"/>
            <w:vAlign w:val="bottom"/>
          </w:tcPr>
          <w:p>
            <w:pPr>
              <w:pStyle w:val="TableContents"/>
              <w:spacing w:before="0" w:after="0"/>
              <w:ind w:left="225" w:right="0" w:hanging="225"/>
              <w:rPr/>
            </w:pPr>
            <w:r>
              <w:rPr/>
              <w:t>Outstanding at December 31, 2006</w:t>
            </w:r>
          </w:p>
        </w:tc>
        <w:tc>
          <w:tcPr>
            <w:tcW w:w="39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3.0</w:t>
            </w:r>
          </w:p>
        </w:tc>
        <w:tc>
          <w:tcPr>
            <w:tcW w:w="14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left"/>
              <w:rPr/>
            </w:pPr>
            <w:r>
              <w:rPr/>
              <w:t>$</w:t>
            </w:r>
          </w:p>
        </w:tc>
        <w:tc>
          <w:tcPr>
            <w:tcW w:w="1682" w:type="dxa"/>
            <w:tcBorders/>
            <w:shd w:fill="CCEEFF" w:val="clear"/>
            <w:vAlign w:val="bottom"/>
          </w:tcPr>
          <w:p>
            <w:pPr>
              <w:pStyle w:val="TableContents"/>
              <w:spacing w:before="0" w:after="283"/>
              <w:jc w:val="right"/>
              <w:rPr/>
            </w:pPr>
            <w:r>
              <w:rPr/>
              <w:t>31.94</w:t>
            </w:r>
          </w:p>
        </w:tc>
        <w:tc>
          <w:tcPr>
            <w:tcW w:w="124" w:type="dxa"/>
            <w:tcBorders/>
            <w:shd w:fill="CCEEFF"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0"/>
              <w:ind w:left="450" w:right="0" w:hanging="225"/>
              <w:rPr/>
            </w:pPr>
            <w:r>
              <w:rPr/>
              <w:t>Granted</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1.4</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682" w:type="dxa"/>
            <w:tcBorders/>
            <w:shd w:fill="auto" w:val="clear"/>
            <w:vAlign w:val="bottom"/>
          </w:tcPr>
          <w:p>
            <w:pPr>
              <w:pStyle w:val="TableContents"/>
              <w:spacing w:before="0" w:after="283"/>
              <w:jc w:val="right"/>
              <w:rPr/>
            </w:pPr>
            <w:r>
              <w:rPr/>
              <w:t>47.43</w:t>
            </w:r>
          </w:p>
        </w:tc>
        <w:tc>
          <w:tcPr>
            <w:tcW w:w="124" w:type="dxa"/>
            <w:tcBorders/>
            <w:shd w:fill="auto" w:val="clear"/>
            <w:vAlign w:val="bottom"/>
          </w:tcPr>
          <w:p>
            <w:pPr>
              <w:pStyle w:val="TableContents"/>
              <w:spacing w:before="0" w:after="283"/>
              <w:rPr/>
            </w:pPr>
            <w:r>
              <w:rPr/>
              <w:t> </w:t>
            </w:r>
          </w:p>
        </w:tc>
      </w:tr>
      <w:tr>
        <w:trPr/>
        <w:tc>
          <w:tcPr>
            <w:tcW w:w="6176" w:type="dxa"/>
            <w:tcBorders/>
            <w:shd w:fill="CCEEFF" w:val="clear"/>
            <w:vAlign w:val="bottom"/>
          </w:tcPr>
          <w:p>
            <w:pPr>
              <w:pStyle w:val="TableContents"/>
              <w:spacing w:before="0" w:after="0"/>
              <w:ind w:left="450" w:right="0" w:hanging="225"/>
              <w:rPr/>
            </w:pPr>
            <w:r>
              <w:rPr/>
              <w:t>Vested</w:t>
            </w:r>
          </w:p>
        </w:tc>
        <w:tc>
          <w:tcPr>
            <w:tcW w:w="39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(0.7</w:t>
            </w:r>
          </w:p>
        </w:tc>
        <w:tc>
          <w:tcPr>
            <w:tcW w:w="148" w:type="dxa"/>
            <w:tcBorders/>
            <w:shd w:fill="CCEEFF" w:val="clear"/>
            <w:vAlign w:val="bottom"/>
          </w:tcPr>
          <w:p>
            <w:pPr>
              <w:pStyle w:val="TableContents"/>
              <w:spacing w:before="0" w:after="283"/>
              <w:rPr/>
            </w:pPr>
            <w:r>
              <w:rPr/>
              <w:t>)</w:t>
            </w:r>
          </w:p>
        </w:tc>
        <w:tc>
          <w:tcPr>
            <w:tcW w:w="39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sz w:val="4"/>
                <w:szCs w:val="4"/>
              </w:rPr>
            </w:pPr>
            <w:r>
              <w:rPr>
                <w:sz w:val="4"/>
                <w:szCs w:val="4"/>
              </w:rPr>
            </w:r>
          </w:p>
        </w:tc>
        <w:tc>
          <w:tcPr>
            <w:tcW w:w="1682" w:type="dxa"/>
            <w:tcBorders/>
            <w:shd w:fill="CCEEFF" w:val="clear"/>
            <w:vAlign w:val="bottom"/>
          </w:tcPr>
          <w:p>
            <w:pPr>
              <w:pStyle w:val="TableContents"/>
              <w:spacing w:before="0" w:after="283"/>
              <w:jc w:val="right"/>
              <w:rPr/>
            </w:pPr>
            <w:r>
              <w:rPr/>
              <w:t>34.90</w:t>
            </w:r>
          </w:p>
        </w:tc>
        <w:tc>
          <w:tcPr>
            <w:tcW w:w="124" w:type="dxa"/>
            <w:tcBorders/>
            <w:shd w:fill="CCEEFF" w:val="clear"/>
            <w:vAlign w:val="bottom"/>
          </w:tcPr>
          <w:p>
            <w:pPr>
              <w:pStyle w:val="TableContents"/>
              <w:spacing w:before="0" w:after="283"/>
              <w:rPr/>
            </w:pPr>
            <w:r>
              <w:rPr/>
              <w:t> </w:t>
            </w:r>
          </w:p>
        </w:tc>
      </w:tr>
      <w:tr>
        <w:trPr/>
        <w:tc>
          <w:tcPr>
            <w:tcW w:w="6176" w:type="dxa"/>
            <w:tcBorders/>
            <w:shd w:fill="auto" w:val="clear"/>
            <w:vAlign w:val="bottom"/>
          </w:tcPr>
          <w:p>
            <w:pPr>
              <w:pStyle w:val="TableContents"/>
              <w:spacing w:before="0" w:after="0"/>
              <w:ind w:left="450" w:right="0" w:hanging="225"/>
              <w:rPr/>
            </w:pPr>
            <w:r>
              <w:rPr/>
              <w:t>Cancelled or forfeited</w:t>
            </w:r>
          </w:p>
        </w:tc>
        <w:tc>
          <w:tcPr>
            <w:tcW w:w="39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w:t>
            </w:r>
          </w:p>
        </w:tc>
        <w:tc>
          <w:tcPr>
            <w:tcW w:w="14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682"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r>
      <w:tr>
        <w:trPr/>
        <w:tc>
          <w:tcPr>
            <w:tcW w:w="6176" w:type="dxa"/>
            <w:tcBorders/>
            <w:shd w:fill="auto" w:val="clear"/>
            <w:vAlign w:val="center"/>
          </w:tcPr>
          <w:p>
            <w:pPr>
              <w:pStyle w:val="TableContents"/>
              <w:spacing w:before="0" w:after="0"/>
              <w:ind w:left="225" w:right="0" w:hanging="225"/>
              <w:rPr/>
            </w:pPr>
            <w:r>
              <w:rPr/>
              <w:t> </w:t>
            </w:r>
          </w:p>
        </w:tc>
        <w:tc>
          <w:tcPr>
            <w:tcW w:w="394" w:type="dxa"/>
            <w:tcBorders/>
            <w:shd w:fill="auto" w:val="clear"/>
            <w:vAlign w:val="center"/>
          </w:tcPr>
          <w:p>
            <w:pPr>
              <w:pStyle w:val="TableContents"/>
              <w:spacing w:before="0" w:after="283"/>
              <w:rPr/>
            </w:pPr>
            <w:r>
              <w:rPr/>
              <w:t> </w:t>
            </w:r>
          </w:p>
        </w:tc>
        <w:tc>
          <w:tcPr>
            <w:tcW w:w="8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20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176" w:type="dxa"/>
            <w:tcBorders/>
            <w:shd w:fill="CCEEFF" w:val="clear"/>
            <w:vAlign w:val="bottom"/>
          </w:tcPr>
          <w:p>
            <w:pPr>
              <w:pStyle w:val="TableContents"/>
              <w:spacing w:before="0" w:after="0"/>
              <w:ind w:left="225" w:right="0" w:hanging="225"/>
              <w:rPr/>
            </w:pPr>
            <w:r>
              <w:rPr/>
              <w:t>Outstanding at June 30, 2007</w:t>
            </w:r>
          </w:p>
        </w:tc>
        <w:tc>
          <w:tcPr>
            <w:tcW w:w="39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3.7</w:t>
            </w:r>
          </w:p>
        </w:tc>
        <w:tc>
          <w:tcPr>
            <w:tcW w:w="14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jc w:val="left"/>
              <w:rPr/>
            </w:pPr>
            <w:r>
              <w:rPr/>
              <w:t>$</w:t>
            </w:r>
          </w:p>
        </w:tc>
        <w:tc>
          <w:tcPr>
            <w:tcW w:w="1682" w:type="dxa"/>
            <w:tcBorders/>
            <w:shd w:fill="CCEEFF" w:val="clear"/>
            <w:vAlign w:val="bottom"/>
          </w:tcPr>
          <w:p>
            <w:pPr>
              <w:pStyle w:val="TableContents"/>
              <w:spacing w:before="0" w:after="283"/>
              <w:jc w:val="right"/>
              <w:rPr/>
            </w:pPr>
            <w:r>
              <w:rPr/>
              <w:t>37.44</w:t>
            </w:r>
          </w:p>
        </w:tc>
        <w:tc>
          <w:tcPr>
            <w:tcW w:w="124"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9Derivative Instruments and Hedging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Summary of Financial Impact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derivative instruments we use consist primarily of futures and options contracts traded on the NYMEX, the ICE and over-the-counter, including commodity swap and option contracts entered into with financial institutions and other energy companies. </w:t>
      </w:r>
    </w:p>
    <w:p>
      <w:pPr>
        <w:pStyle w:val="TextBody"/>
        <w:spacing w:before="120" w:after="283"/>
        <w:jc w:val="left"/>
        <w:rPr/>
      </w:pPr>
      <w:r>
        <w:rPr/>
        <w:t>     </w:t>
      </w:r>
      <w:r>
        <w:rPr>
          <w:rFonts w:ascii="Times New Roman;Times;serif" w:hAnsi="Times New Roman;Times;serif"/>
          <w:sz w:val="17"/>
        </w:rPr>
        <w:t xml:space="preserve">A summary of the earnings impact of all derivative activities, including the change in fair value of open derivatives and settled derivatives taken to earnings, is as follows (in millions, losses designated in parentheses):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669"/>
        <w:gridCol w:w="197"/>
        <w:gridCol w:w="321"/>
        <w:gridCol w:w="777"/>
        <w:gridCol w:w="247"/>
        <w:gridCol w:w="220"/>
        <w:gridCol w:w="274"/>
        <w:gridCol w:w="626"/>
        <w:gridCol w:w="212"/>
        <w:gridCol w:w="220"/>
        <w:gridCol w:w="274"/>
        <w:gridCol w:w="626"/>
        <w:gridCol w:w="217"/>
        <w:gridCol w:w="197"/>
        <w:gridCol w:w="337"/>
        <w:gridCol w:w="749"/>
        <w:gridCol w:w="258"/>
        <w:gridCol w:w="216"/>
        <w:gridCol w:w="264"/>
        <w:gridCol w:w="696"/>
        <w:gridCol w:w="206"/>
        <w:gridCol w:w="216"/>
        <w:gridCol w:w="264"/>
        <w:gridCol w:w="696"/>
        <w:gridCol w:w="226"/>
      </w:tblGrid>
      <w:tr>
        <w:trPr/>
        <w:tc>
          <w:tcPr>
            <w:tcW w:w="166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166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4014" w:type="dxa"/>
            <w:gridSpan w:val="11"/>
            <w:tcBorders/>
            <w:shd w:fill="auto" w:val="clear"/>
            <w:vAlign w:val="bottom"/>
          </w:tcPr>
          <w:p>
            <w:pPr>
              <w:pStyle w:val="TableContents"/>
              <w:spacing w:before="0" w:after="283"/>
              <w:jc w:val="center"/>
              <w:rPr>
                <w:b/>
              </w:rPr>
            </w:pPr>
            <w:r>
              <w:rPr>
                <w:b/>
              </w:rPr>
              <w:t>For the Three Months Ended</w:t>
            </w:r>
          </w:p>
        </w:tc>
        <w:tc>
          <w:tcPr>
            <w:tcW w:w="197" w:type="dxa"/>
            <w:tcBorders/>
            <w:shd w:fill="auto" w:val="clear"/>
            <w:vAlign w:val="bottom"/>
          </w:tcPr>
          <w:p>
            <w:pPr>
              <w:pStyle w:val="TableContents"/>
              <w:spacing w:before="0" w:after="283"/>
              <w:rPr/>
            </w:pPr>
            <w:r>
              <w:rPr/>
              <w:t> </w:t>
            </w:r>
          </w:p>
        </w:tc>
        <w:tc>
          <w:tcPr>
            <w:tcW w:w="4128" w:type="dxa"/>
            <w:gridSpan w:val="11"/>
            <w:tcBorders/>
            <w:shd w:fill="auto" w:val="clear"/>
            <w:vAlign w:val="bottom"/>
          </w:tcPr>
          <w:p>
            <w:pPr>
              <w:pStyle w:val="TableContents"/>
              <w:spacing w:before="0" w:after="283"/>
              <w:jc w:val="center"/>
              <w:rPr>
                <w:b/>
              </w:rPr>
            </w:pPr>
            <w:r>
              <w:rPr>
                <w:b/>
              </w:rPr>
              <w:t>For the Three Months Ended</w:t>
            </w:r>
          </w:p>
        </w:tc>
      </w:tr>
      <w:tr>
        <w:trPr/>
        <w:tc>
          <w:tcPr>
            <w:tcW w:w="166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401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197" w:type="dxa"/>
            <w:tcBorders/>
            <w:shd w:fill="auto" w:val="clear"/>
            <w:vAlign w:val="bottom"/>
          </w:tcPr>
          <w:p>
            <w:pPr>
              <w:pStyle w:val="TableContents"/>
              <w:spacing w:before="0" w:after="283"/>
              <w:rPr/>
            </w:pPr>
            <w:r>
              <w:rPr/>
              <w:t> </w:t>
            </w:r>
          </w:p>
        </w:tc>
        <w:tc>
          <w:tcPr>
            <w:tcW w:w="412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June 30, 2006</w:t>
            </w:r>
          </w:p>
        </w:tc>
      </w:tr>
      <w:tr>
        <w:trPr/>
        <w:tc>
          <w:tcPr>
            <w:tcW w:w="166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45" w:type="dxa"/>
            <w:gridSpan w:val="3"/>
            <w:tcBorders/>
            <w:shd w:fill="auto" w:val="clear"/>
            <w:vAlign w:val="bottom"/>
          </w:tcPr>
          <w:p>
            <w:pPr>
              <w:pStyle w:val="TableContents"/>
              <w:spacing w:before="0" w:after="283"/>
              <w:jc w:val="center"/>
              <w:rPr>
                <w:b/>
              </w:rPr>
            </w:pPr>
            <w:r>
              <w:rPr>
                <w:b/>
              </w:rPr>
              <w:t>Mark-to-</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b/>
              </w:rPr>
            </w:pPr>
            <w:r>
              <w:rPr>
                <w:b/>
              </w:rPr>
              <w:t>Mark-to-</w:t>
            </w:r>
          </w:p>
        </w:tc>
        <w:tc>
          <w:tcPr>
            <w:tcW w:w="216" w:type="dxa"/>
            <w:tcBorders/>
            <w:shd w:fill="auto" w:val="clear"/>
            <w:vAlign w:val="bottom"/>
          </w:tcPr>
          <w:p>
            <w:pPr>
              <w:pStyle w:val="TableContents"/>
              <w:spacing w:before="0" w:after="283"/>
              <w:rPr/>
            </w:pPr>
            <w:r>
              <w:rPr/>
              <w:t> </w:t>
            </w:r>
          </w:p>
        </w:tc>
        <w:tc>
          <w:tcPr>
            <w:tcW w:w="1166" w:type="dxa"/>
            <w:gridSpan w:val="3"/>
            <w:tcBorders/>
            <w:shd w:fill="auto" w:val="clear"/>
            <w:vAlign w:val="bottom"/>
          </w:tcPr>
          <w:p>
            <w:pPr>
              <w:pStyle w:val="TableContents"/>
              <w:spacing w:before="0" w:after="283"/>
              <w:jc w:val="center"/>
              <w:rPr/>
            </w:pPr>
            <w:r>
              <w:rPr/>
              <w:t> </w:t>
            </w:r>
          </w:p>
        </w:tc>
        <w:tc>
          <w:tcPr>
            <w:tcW w:w="216" w:type="dxa"/>
            <w:tcBorders/>
            <w:shd w:fill="auto" w:val="clear"/>
            <w:vAlign w:val="bottom"/>
          </w:tcPr>
          <w:p>
            <w:pPr>
              <w:pStyle w:val="TableContents"/>
              <w:spacing w:before="0" w:after="283"/>
              <w:rPr/>
            </w:pPr>
            <w:r>
              <w:rPr/>
              <w:t> </w:t>
            </w:r>
          </w:p>
        </w:tc>
        <w:tc>
          <w:tcPr>
            <w:tcW w:w="1186" w:type="dxa"/>
            <w:gridSpan w:val="3"/>
            <w:tcBorders/>
            <w:shd w:fill="auto" w:val="clear"/>
            <w:vAlign w:val="bottom"/>
          </w:tcPr>
          <w:p>
            <w:pPr>
              <w:pStyle w:val="TableContents"/>
              <w:spacing w:before="0" w:after="283"/>
              <w:jc w:val="center"/>
              <w:rPr/>
            </w:pPr>
            <w:r>
              <w:rPr/>
              <w:t> </w:t>
            </w:r>
          </w:p>
        </w:tc>
      </w:tr>
      <w:tr>
        <w:trPr/>
        <w:tc>
          <w:tcPr>
            <w:tcW w:w="1669"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345" w:type="dxa"/>
            <w:gridSpan w:val="3"/>
            <w:tcBorders/>
            <w:shd w:fill="auto" w:val="clear"/>
            <w:vAlign w:val="bottom"/>
          </w:tcPr>
          <w:p>
            <w:pPr>
              <w:pStyle w:val="TableContents"/>
              <w:spacing w:before="0" w:after="283"/>
              <w:jc w:val="center"/>
              <w:rPr>
                <w:b/>
              </w:rPr>
            </w:pPr>
            <w:r>
              <w:rPr>
                <w:b/>
              </w:rPr>
              <w:t>market, net</w:t>
            </w:r>
          </w:p>
        </w:tc>
        <w:tc>
          <w:tcPr>
            <w:tcW w:w="220" w:type="dxa"/>
            <w:tcBorders/>
            <w:shd w:fill="auto" w:val="clear"/>
            <w:vAlign w:val="bottom"/>
          </w:tcPr>
          <w:p>
            <w:pPr>
              <w:pStyle w:val="TableContents"/>
              <w:spacing w:before="0" w:after="283"/>
              <w:rPr/>
            </w:pPr>
            <w:r>
              <w:rPr/>
              <w:t> </w:t>
            </w:r>
          </w:p>
        </w:tc>
        <w:tc>
          <w:tcPr>
            <w:tcW w:w="1112" w:type="dxa"/>
            <w:gridSpan w:val="3"/>
            <w:tcBorders/>
            <w:shd w:fill="auto" w:val="clear"/>
            <w:vAlign w:val="bottom"/>
          </w:tcPr>
          <w:p>
            <w:pPr>
              <w:pStyle w:val="TableContents"/>
              <w:spacing w:before="0" w:after="283"/>
              <w:jc w:val="center"/>
              <w:rPr>
                <w:b/>
              </w:rPr>
            </w:pPr>
            <w:r>
              <w:rPr>
                <w:b/>
              </w:rPr>
              <w:t>Settled</w:t>
            </w:r>
          </w:p>
        </w:tc>
        <w:tc>
          <w:tcPr>
            <w:tcW w:w="220" w:type="dxa"/>
            <w:tcBorders/>
            <w:shd w:fill="auto" w:val="clear"/>
            <w:vAlign w:val="bottom"/>
          </w:tcPr>
          <w:p>
            <w:pPr>
              <w:pStyle w:val="TableContents"/>
              <w:spacing w:before="0" w:after="283"/>
              <w:rPr/>
            </w:pPr>
            <w:r>
              <w:rPr/>
              <w:t> </w:t>
            </w:r>
          </w:p>
        </w:tc>
        <w:tc>
          <w:tcPr>
            <w:tcW w:w="1117" w:type="dxa"/>
            <w:gridSpan w:val="3"/>
            <w:tcBorders/>
            <w:shd w:fill="auto" w:val="clear"/>
            <w:vAlign w:val="bottom"/>
          </w:tcPr>
          <w:p>
            <w:pPr>
              <w:pStyle w:val="TableContents"/>
              <w:spacing w:before="0" w:after="283"/>
              <w:jc w:val="center"/>
              <w:rPr>
                <w:b/>
              </w:rPr>
            </w:pPr>
            <w:r>
              <w:rPr>
                <w:b/>
              </w:rPr>
              <w:t>Total</w:t>
            </w:r>
          </w:p>
        </w:tc>
        <w:tc>
          <w:tcPr>
            <w:tcW w:w="197" w:type="dxa"/>
            <w:tcBorders/>
            <w:shd w:fill="auto" w:val="clear"/>
            <w:vAlign w:val="bottom"/>
          </w:tcPr>
          <w:p>
            <w:pPr>
              <w:pStyle w:val="TableContents"/>
              <w:spacing w:before="0" w:after="283"/>
              <w:rPr/>
            </w:pPr>
            <w:r>
              <w:rPr/>
              <w:t> </w:t>
            </w:r>
          </w:p>
        </w:tc>
        <w:tc>
          <w:tcPr>
            <w:tcW w:w="1344" w:type="dxa"/>
            <w:gridSpan w:val="3"/>
            <w:tcBorders/>
            <w:shd w:fill="auto" w:val="clear"/>
            <w:vAlign w:val="bottom"/>
          </w:tcPr>
          <w:p>
            <w:pPr>
              <w:pStyle w:val="TableContents"/>
              <w:spacing w:before="0" w:after="283"/>
              <w:jc w:val="center"/>
              <w:rPr>
                <w:b/>
              </w:rPr>
            </w:pPr>
            <w:r>
              <w:rPr>
                <w:b/>
              </w:rPr>
              <w:t>market, net</w:t>
            </w:r>
          </w:p>
        </w:tc>
        <w:tc>
          <w:tcPr>
            <w:tcW w:w="216" w:type="dxa"/>
            <w:tcBorders/>
            <w:shd w:fill="auto" w:val="clear"/>
            <w:vAlign w:val="bottom"/>
          </w:tcPr>
          <w:p>
            <w:pPr>
              <w:pStyle w:val="TableContents"/>
              <w:spacing w:before="0" w:after="283"/>
              <w:rPr/>
            </w:pPr>
            <w:r>
              <w:rPr/>
              <w:t> </w:t>
            </w:r>
          </w:p>
        </w:tc>
        <w:tc>
          <w:tcPr>
            <w:tcW w:w="1166" w:type="dxa"/>
            <w:gridSpan w:val="3"/>
            <w:tcBorders/>
            <w:shd w:fill="auto" w:val="clear"/>
            <w:vAlign w:val="bottom"/>
          </w:tcPr>
          <w:p>
            <w:pPr>
              <w:pStyle w:val="TableContents"/>
              <w:spacing w:before="0" w:after="283"/>
              <w:jc w:val="center"/>
              <w:rPr>
                <w:b/>
              </w:rPr>
            </w:pPr>
            <w:r>
              <w:rPr>
                <w:b/>
              </w:rPr>
              <w:t>Settled</w:t>
            </w:r>
          </w:p>
        </w:tc>
        <w:tc>
          <w:tcPr>
            <w:tcW w:w="216" w:type="dxa"/>
            <w:tcBorders/>
            <w:shd w:fill="auto" w:val="clear"/>
            <w:vAlign w:val="bottom"/>
          </w:tcPr>
          <w:p>
            <w:pPr>
              <w:pStyle w:val="TableContents"/>
              <w:spacing w:before="0" w:after="283"/>
              <w:rPr/>
            </w:pPr>
            <w:r>
              <w:rPr/>
              <w:t> </w:t>
            </w:r>
          </w:p>
        </w:tc>
        <w:tc>
          <w:tcPr>
            <w:tcW w:w="1186" w:type="dxa"/>
            <w:gridSpan w:val="3"/>
            <w:tcBorders/>
            <w:shd w:fill="auto" w:val="clear"/>
            <w:vAlign w:val="bottom"/>
          </w:tcPr>
          <w:p>
            <w:pPr>
              <w:pStyle w:val="TableContents"/>
              <w:spacing w:before="0" w:after="283"/>
              <w:jc w:val="center"/>
              <w:rPr>
                <w:b/>
              </w:rPr>
            </w:pPr>
            <w:r>
              <w:rPr>
                <w:b/>
              </w:rPr>
              <w:t>Total</w:t>
            </w:r>
          </w:p>
        </w:tc>
      </w:tr>
      <w:tr>
        <w:trPr/>
        <w:tc>
          <w:tcPr>
            <w:tcW w:w="1669" w:type="dxa"/>
            <w:tcBorders/>
            <w:shd w:fill="CCEEFF" w:val="clear"/>
            <w:vAlign w:val="bottom"/>
          </w:tcPr>
          <w:p>
            <w:pPr>
              <w:pStyle w:val="TableContents"/>
              <w:spacing w:before="0" w:after="0"/>
              <w:ind w:left="225" w:right="0" w:hanging="225"/>
              <w:rPr/>
            </w:pPr>
            <w:r>
              <w:rPr/>
              <w:t>Commodity price-risk hedging</w:t>
            </w:r>
          </w:p>
        </w:tc>
        <w:tc>
          <w:tcPr>
            <w:tcW w:w="1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right"/>
              <w:rPr/>
            </w:pPr>
            <w:r>
              <w:rPr/>
              <w:t>$</w:t>
            </w:r>
          </w:p>
        </w:tc>
        <w:tc>
          <w:tcPr>
            <w:tcW w:w="777" w:type="dxa"/>
            <w:tcBorders/>
            <w:shd w:fill="CCEEFF" w:val="clear"/>
            <w:vAlign w:val="bottom"/>
          </w:tcPr>
          <w:p>
            <w:pPr>
              <w:pStyle w:val="TableContents"/>
              <w:spacing w:before="0" w:after="283"/>
              <w:jc w:val="right"/>
              <w:rPr/>
            </w:pPr>
            <w:r>
              <w:rPr/>
              <w:t>13.4</w:t>
            </w:r>
          </w:p>
        </w:tc>
        <w:tc>
          <w:tcPr>
            <w:tcW w:w="24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11.1</w:t>
            </w:r>
          </w:p>
        </w:tc>
        <w:tc>
          <w:tcPr>
            <w:tcW w:w="2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24.5</w:t>
            </w:r>
          </w:p>
        </w:tc>
        <w:tc>
          <w:tcPr>
            <w:tcW w:w="21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pPr>
            <w:r>
              <w:rPr/>
              <w:t>$</w:t>
            </w:r>
          </w:p>
        </w:tc>
        <w:tc>
          <w:tcPr>
            <w:tcW w:w="749" w:type="dxa"/>
            <w:tcBorders/>
            <w:shd w:fill="CCEEFF" w:val="clear"/>
            <w:vAlign w:val="bottom"/>
          </w:tcPr>
          <w:p>
            <w:pPr>
              <w:pStyle w:val="TableContents"/>
              <w:spacing w:before="0" w:after="283"/>
              <w:jc w:val="right"/>
              <w:rPr/>
            </w:pPr>
            <w:r>
              <w:rPr/>
              <w:t>(2.6</w:t>
            </w:r>
          </w:p>
        </w:tc>
        <w:tc>
          <w:tcPr>
            <w:tcW w:w="258"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w:t>
            </w:r>
          </w:p>
        </w:tc>
        <w:tc>
          <w:tcPr>
            <w:tcW w:w="696" w:type="dxa"/>
            <w:tcBorders/>
            <w:shd w:fill="CCEEFF" w:val="clear"/>
            <w:vAlign w:val="bottom"/>
          </w:tcPr>
          <w:p>
            <w:pPr>
              <w:pStyle w:val="TableContents"/>
              <w:spacing w:before="0" w:after="283"/>
              <w:jc w:val="right"/>
              <w:rPr/>
            </w:pPr>
            <w:r>
              <w:rPr/>
              <w:t>(10.1</w:t>
            </w:r>
          </w:p>
        </w:tc>
        <w:tc>
          <w:tcPr>
            <w:tcW w:w="206"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w:t>
            </w:r>
          </w:p>
        </w:tc>
        <w:tc>
          <w:tcPr>
            <w:tcW w:w="696" w:type="dxa"/>
            <w:tcBorders/>
            <w:shd w:fill="CCEEFF" w:val="clear"/>
            <w:vAlign w:val="bottom"/>
          </w:tcPr>
          <w:p>
            <w:pPr>
              <w:pStyle w:val="TableContents"/>
              <w:spacing w:before="0" w:after="283"/>
              <w:jc w:val="right"/>
              <w:rPr/>
            </w:pPr>
            <w:r>
              <w:rPr/>
              <w:t>(12.7</w:t>
            </w:r>
          </w:p>
        </w:tc>
        <w:tc>
          <w:tcPr>
            <w:tcW w:w="226" w:type="dxa"/>
            <w:tcBorders/>
            <w:shd w:fill="CCEEFF" w:val="clear"/>
            <w:vAlign w:val="bottom"/>
          </w:tcPr>
          <w:p>
            <w:pPr>
              <w:pStyle w:val="TableContents"/>
              <w:spacing w:before="0" w:after="283"/>
              <w:rPr/>
            </w:pPr>
            <w:r>
              <w:rPr/>
              <w:t>)</w:t>
            </w:r>
          </w:p>
        </w:tc>
      </w:tr>
      <w:tr>
        <w:trPr/>
        <w:tc>
          <w:tcPr>
            <w:tcW w:w="1669" w:type="dxa"/>
            <w:tcBorders/>
            <w:shd w:fill="auto" w:val="clear"/>
            <w:vAlign w:val="bottom"/>
          </w:tcPr>
          <w:p>
            <w:pPr>
              <w:pStyle w:val="TableContents"/>
              <w:spacing w:before="0" w:after="0"/>
              <w:ind w:left="225" w:right="0" w:hanging="225"/>
              <w:rPr/>
            </w:pPr>
            <w:r>
              <w:rPr/>
              <w:t>Controlled trading program</w:t>
            </w:r>
          </w:p>
        </w:tc>
        <w:tc>
          <w:tcPr>
            <w:tcW w:w="1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24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0.8</w:t>
            </w:r>
          </w:p>
        </w:tc>
        <w:tc>
          <w:tcPr>
            <w:tcW w:w="2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0.8</w:t>
            </w:r>
          </w:p>
        </w:tc>
        <w:tc>
          <w:tcPr>
            <w:tcW w:w="2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w:t>
            </w:r>
          </w:p>
        </w:tc>
        <w:tc>
          <w:tcPr>
            <w:tcW w:w="25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r>
      <w:tr>
        <w:trPr/>
        <w:tc>
          <w:tcPr>
            <w:tcW w:w="1669" w:type="dxa"/>
            <w:tcBorders/>
            <w:shd w:fill="CCEEFF" w:val="clear"/>
            <w:vAlign w:val="bottom"/>
          </w:tcPr>
          <w:p>
            <w:pPr>
              <w:pStyle w:val="TableContents"/>
              <w:spacing w:before="0" w:after="0"/>
              <w:ind w:left="225" w:right="0" w:hanging="225"/>
              <w:rPr/>
            </w:pPr>
            <w:r>
              <w:rPr/>
              <w:t>Interest rate risk hedging</w:t>
            </w:r>
          </w:p>
        </w:tc>
        <w:tc>
          <w:tcPr>
            <w:tcW w:w="1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right"/>
              <w:rPr/>
            </w:pPr>
            <w:r>
              <w:rPr/>
              <w:t> </w:t>
            </w:r>
          </w:p>
        </w:tc>
        <w:tc>
          <w:tcPr>
            <w:tcW w:w="777" w:type="dxa"/>
            <w:tcBorders/>
            <w:shd w:fill="CCEEFF" w:val="clear"/>
            <w:vAlign w:val="bottom"/>
          </w:tcPr>
          <w:p>
            <w:pPr>
              <w:pStyle w:val="TableContents"/>
              <w:spacing w:before="0" w:after="283"/>
              <w:jc w:val="right"/>
              <w:rPr/>
            </w:pPr>
            <w:r>
              <w:rPr/>
              <w:t>(0.3</w:t>
            </w:r>
          </w:p>
        </w:tc>
        <w:tc>
          <w:tcPr>
            <w:tcW w:w="247"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pPr>
            <w:r>
              <w:rPr/>
              <w:t>(0.2</w:t>
            </w:r>
          </w:p>
        </w:tc>
        <w:tc>
          <w:tcPr>
            <w:tcW w:w="212"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 </w:t>
            </w:r>
          </w:p>
        </w:tc>
        <w:tc>
          <w:tcPr>
            <w:tcW w:w="626" w:type="dxa"/>
            <w:tcBorders/>
            <w:shd w:fill="CCEEFF" w:val="clear"/>
            <w:vAlign w:val="bottom"/>
          </w:tcPr>
          <w:p>
            <w:pPr>
              <w:pStyle w:val="TableContents"/>
              <w:spacing w:before="0" w:after="283"/>
              <w:jc w:val="right"/>
              <w:rPr/>
            </w:pPr>
            <w:r>
              <w:rPr/>
              <w:t>(0.5</w:t>
            </w:r>
          </w:p>
        </w:tc>
        <w:tc>
          <w:tcPr>
            <w:tcW w:w="217" w:type="dxa"/>
            <w:tcBorders/>
            <w:shd w:fill="CCEEFF" w:val="clear"/>
            <w:vAlign w:val="bottom"/>
          </w:tcPr>
          <w:p>
            <w:pPr>
              <w:pStyle w:val="TableContents"/>
              <w:spacing w:before="0" w:after="283"/>
              <w:rPr/>
            </w:pPr>
            <w:r>
              <w:rPr/>
              <w:t>)</w:t>
            </w:r>
          </w:p>
        </w:tc>
        <w:tc>
          <w:tcPr>
            <w:tcW w:w="19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w:t>
            </w:r>
          </w:p>
        </w:tc>
        <w:tc>
          <w:tcPr>
            <w:tcW w:w="258"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 </w:t>
            </w:r>
          </w:p>
        </w:tc>
        <w:tc>
          <w:tcPr>
            <w:tcW w:w="696" w:type="dxa"/>
            <w:tcBorders/>
            <w:shd w:fill="CCEEFF" w:val="clear"/>
            <w:vAlign w:val="bottom"/>
          </w:tcPr>
          <w:p>
            <w:pPr>
              <w:pStyle w:val="TableContents"/>
              <w:spacing w:before="0" w:after="283"/>
              <w:jc w:val="right"/>
              <w:rPr/>
            </w:pPr>
            <w:r>
              <w:rPr/>
              <w:t>(0.4</w:t>
            </w:r>
          </w:p>
        </w:tc>
        <w:tc>
          <w:tcPr>
            <w:tcW w:w="206"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 </w:t>
            </w:r>
          </w:p>
        </w:tc>
        <w:tc>
          <w:tcPr>
            <w:tcW w:w="696" w:type="dxa"/>
            <w:tcBorders/>
            <w:shd w:fill="CCEEFF" w:val="clear"/>
            <w:vAlign w:val="bottom"/>
          </w:tcPr>
          <w:p>
            <w:pPr>
              <w:pStyle w:val="TableContents"/>
              <w:spacing w:before="0" w:after="283"/>
              <w:jc w:val="right"/>
              <w:rPr/>
            </w:pPr>
            <w:r>
              <w:rPr/>
              <w:t>(0.4</w:t>
            </w:r>
          </w:p>
        </w:tc>
        <w:tc>
          <w:tcPr>
            <w:tcW w:w="226" w:type="dxa"/>
            <w:tcBorders/>
            <w:shd w:fill="CCEEFF" w:val="clear"/>
            <w:vAlign w:val="bottom"/>
          </w:tcPr>
          <w:p>
            <w:pPr>
              <w:pStyle w:val="TableContents"/>
              <w:spacing w:before="0" w:after="283"/>
              <w:rPr/>
            </w:pPr>
            <w:r>
              <w:rPr/>
              <w:t>)</w:t>
            </w:r>
          </w:p>
        </w:tc>
      </w:tr>
      <w:tr>
        <w:trPr/>
        <w:tc>
          <w:tcPr>
            <w:tcW w:w="1669" w:type="dxa"/>
            <w:tcBorders/>
            <w:shd w:fill="auto" w:val="clear"/>
            <w:vAlign w:val="bottom"/>
          </w:tcPr>
          <w:p>
            <w:pPr>
              <w:pStyle w:val="TableContents"/>
              <w:spacing w:before="0" w:after="0"/>
              <w:ind w:left="225" w:right="0" w:hanging="225"/>
              <w:rPr/>
            </w:pPr>
            <w:r>
              <w:rPr/>
              <w:t>Currency exchange rate risk hedging</w:t>
            </w:r>
          </w:p>
        </w:tc>
        <w:tc>
          <w:tcPr>
            <w:tcW w:w="1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1.8</w:t>
            </w:r>
          </w:p>
        </w:tc>
        <w:tc>
          <w:tcPr>
            <w:tcW w:w="24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0.8</w:t>
            </w:r>
          </w:p>
        </w:tc>
        <w:tc>
          <w:tcPr>
            <w:tcW w:w="2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pPr>
            <w:r>
              <w:rPr/>
              <w:t>2.6</w:t>
            </w:r>
          </w:p>
        </w:tc>
        <w:tc>
          <w:tcPr>
            <w:tcW w:w="2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0.2</w:t>
            </w:r>
          </w:p>
        </w:tc>
        <w:tc>
          <w:tcPr>
            <w:tcW w:w="25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w:t>
            </w:r>
          </w:p>
        </w:tc>
        <w:tc>
          <w:tcPr>
            <w:tcW w:w="206"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0.2</w:t>
            </w:r>
          </w:p>
        </w:tc>
        <w:tc>
          <w:tcPr>
            <w:tcW w:w="226" w:type="dxa"/>
            <w:tcBorders/>
            <w:shd w:fill="auto" w:val="clear"/>
            <w:vAlign w:val="bottom"/>
          </w:tcPr>
          <w:p>
            <w:pPr>
              <w:pStyle w:val="TableContents"/>
              <w:spacing w:before="0" w:after="283"/>
              <w:rPr/>
            </w:pPr>
            <w:r>
              <w:rPr/>
              <w:t> </w:t>
            </w:r>
          </w:p>
        </w:tc>
      </w:tr>
      <w:tr>
        <w:trPr/>
        <w:tc>
          <w:tcPr>
            <w:tcW w:w="1669"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4014"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197" w:type="dxa"/>
            <w:tcBorders/>
            <w:shd w:fill="auto" w:val="clear"/>
            <w:vAlign w:val="center"/>
          </w:tcPr>
          <w:p>
            <w:pPr>
              <w:pStyle w:val="TableContents"/>
              <w:spacing w:before="0" w:after="283"/>
              <w:rPr/>
            </w:pPr>
            <w:r>
              <w:rPr/>
              <w:t> </w:t>
            </w:r>
          </w:p>
        </w:tc>
        <w:tc>
          <w:tcPr>
            <w:tcW w:w="412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669" w:type="dxa"/>
            <w:tcBorders/>
            <w:shd w:fill="CCEEFF" w:val="clear"/>
            <w:vAlign w:val="bottom"/>
          </w:tcPr>
          <w:p>
            <w:pPr>
              <w:pStyle w:val="TableContents"/>
              <w:spacing w:before="0" w:after="0"/>
              <w:ind w:left="225" w:right="0" w:hanging="225"/>
              <w:rPr/>
            </w:pPr>
            <w:r>
              <w:rPr/>
              <w:t>Total</w:t>
            </w:r>
          </w:p>
        </w:tc>
        <w:tc>
          <w:tcPr>
            <w:tcW w:w="1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right"/>
              <w:rPr/>
            </w:pPr>
            <w:r>
              <w:rPr/>
              <w:t>$</w:t>
            </w:r>
          </w:p>
        </w:tc>
        <w:tc>
          <w:tcPr>
            <w:tcW w:w="777" w:type="dxa"/>
            <w:tcBorders/>
            <w:shd w:fill="CCEEFF" w:val="clear"/>
            <w:vAlign w:val="bottom"/>
          </w:tcPr>
          <w:p>
            <w:pPr>
              <w:pStyle w:val="TableContents"/>
              <w:spacing w:before="0" w:after="283"/>
              <w:jc w:val="right"/>
              <w:rPr/>
            </w:pPr>
            <w:r>
              <w:rPr/>
              <w:t>14.9</w:t>
            </w:r>
          </w:p>
        </w:tc>
        <w:tc>
          <w:tcPr>
            <w:tcW w:w="24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12.5</w:t>
            </w:r>
          </w:p>
        </w:tc>
        <w:tc>
          <w:tcPr>
            <w:tcW w:w="2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jc w:val="right"/>
              <w:rPr/>
            </w:pPr>
            <w:r>
              <w:rPr/>
              <w:t>$</w:t>
            </w:r>
          </w:p>
        </w:tc>
        <w:tc>
          <w:tcPr>
            <w:tcW w:w="626" w:type="dxa"/>
            <w:tcBorders/>
            <w:shd w:fill="CCEEFF" w:val="clear"/>
            <w:vAlign w:val="bottom"/>
          </w:tcPr>
          <w:p>
            <w:pPr>
              <w:pStyle w:val="TableContents"/>
              <w:spacing w:before="0" w:after="283"/>
              <w:jc w:val="right"/>
              <w:rPr/>
            </w:pPr>
            <w:r>
              <w:rPr/>
              <w:t>27.4</w:t>
            </w:r>
          </w:p>
        </w:tc>
        <w:tc>
          <w:tcPr>
            <w:tcW w:w="21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jc w:val="right"/>
              <w:rPr/>
            </w:pPr>
            <w:r>
              <w:rPr/>
              <w:t>$</w:t>
            </w:r>
          </w:p>
        </w:tc>
        <w:tc>
          <w:tcPr>
            <w:tcW w:w="749" w:type="dxa"/>
            <w:tcBorders/>
            <w:shd w:fill="CCEEFF" w:val="clear"/>
            <w:vAlign w:val="bottom"/>
          </w:tcPr>
          <w:p>
            <w:pPr>
              <w:pStyle w:val="TableContents"/>
              <w:spacing w:before="0" w:after="283"/>
              <w:jc w:val="right"/>
              <w:rPr/>
            </w:pPr>
            <w:r>
              <w:rPr/>
              <w:t>(2.4</w:t>
            </w:r>
          </w:p>
        </w:tc>
        <w:tc>
          <w:tcPr>
            <w:tcW w:w="258"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w:t>
            </w:r>
          </w:p>
        </w:tc>
        <w:tc>
          <w:tcPr>
            <w:tcW w:w="696" w:type="dxa"/>
            <w:tcBorders/>
            <w:shd w:fill="CCEEFF" w:val="clear"/>
            <w:vAlign w:val="bottom"/>
          </w:tcPr>
          <w:p>
            <w:pPr>
              <w:pStyle w:val="TableContents"/>
              <w:spacing w:before="0" w:after="283"/>
              <w:jc w:val="right"/>
              <w:rPr/>
            </w:pPr>
            <w:r>
              <w:rPr/>
              <w:t>(10.5</w:t>
            </w:r>
          </w:p>
        </w:tc>
        <w:tc>
          <w:tcPr>
            <w:tcW w:w="206" w:type="dxa"/>
            <w:tcBorders/>
            <w:shd w:fill="CCEEFF" w:val="clear"/>
            <w:vAlign w:val="bottom"/>
          </w:tcPr>
          <w:p>
            <w:pPr>
              <w:pStyle w:val="TableContents"/>
              <w:spacing w:before="0" w:after="283"/>
              <w:rPr/>
            </w:pPr>
            <w:r>
              <w:rPr/>
              <w:t>)</w:t>
            </w:r>
          </w:p>
        </w:tc>
        <w:tc>
          <w:tcPr>
            <w:tcW w:w="216"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right"/>
              <w:rPr/>
            </w:pPr>
            <w:r>
              <w:rPr/>
              <w:t>$</w:t>
            </w:r>
          </w:p>
        </w:tc>
        <w:tc>
          <w:tcPr>
            <w:tcW w:w="696" w:type="dxa"/>
            <w:tcBorders/>
            <w:shd w:fill="CCEEFF" w:val="clear"/>
            <w:vAlign w:val="bottom"/>
          </w:tcPr>
          <w:p>
            <w:pPr>
              <w:pStyle w:val="TableContents"/>
              <w:spacing w:before="0" w:after="283"/>
              <w:jc w:val="right"/>
              <w:rPr/>
            </w:pPr>
            <w:r>
              <w:rPr/>
              <w:t>(12.9</w:t>
            </w:r>
          </w:p>
        </w:tc>
        <w:tc>
          <w:tcPr>
            <w:tcW w:w="226" w:type="dxa"/>
            <w:tcBorders/>
            <w:shd w:fill="CCEEFF" w:val="clear"/>
            <w:vAlign w:val="bottom"/>
          </w:tcPr>
          <w:p>
            <w:pPr>
              <w:pStyle w:val="TableContents"/>
              <w:spacing w:before="0" w:after="283"/>
              <w:rPr/>
            </w:pPr>
            <w:r>
              <w:rPr/>
              <w:t>)</w:t>
            </w:r>
          </w:p>
        </w:tc>
      </w:tr>
      <w:tr>
        <w:trPr/>
        <w:tc>
          <w:tcPr>
            <w:tcW w:w="1669"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4014"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197" w:type="dxa"/>
            <w:tcBorders/>
            <w:shd w:fill="auto" w:val="clear"/>
            <w:vAlign w:val="center"/>
          </w:tcPr>
          <w:p>
            <w:pPr>
              <w:pStyle w:val="TableContents"/>
              <w:spacing w:before="0" w:after="283"/>
              <w:rPr/>
            </w:pPr>
            <w:r>
              <w:rPr/>
              <w:t> </w:t>
            </w:r>
          </w:p>
        </w:tc>
        <w:tc>
          <w:tcPr>
            <w:tcW w:w="412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807"/>
        <w:gridCol w:w="222"/>
        <w:gridCol w:w="351"/>
        <w:gridCol w:w="747"/>
        <w:gridCol w:w="273"/>
        <w:gridCol w:w="239"/>
        <w:gridCol w:w="272"/>
        <w:gridCol w:w="578"/>
        <w:gridCol w:w="217"/>
        <w:gridCol w:w="239"/>
        <w:gridCol w:w="272"/>
        <w:gridCol w:w="577"/>
        <w:gridCol w:w="221"/>
        <w:gridCol w:w="222"/>
        <w:gridCol w:w="351"/>
        <w:gridCol w:w="748"/>
        <w:gridCol w:w="272"/>
        <w:gridCol w:w="243"/>
        <w:gridCol w:w="280"/>
        <w:gridCol w:w="544"/>
        <w:gridCol w:w="221"/>
        <w:gridCol w:w="243"/>
        <w:gridCol w:w="280"/>
        <w:gridCol w:w="544"/>
        <w:gridCol w:w="242"/>
      </w:tblGrid>
      <w:tr>
        <w:trPr/>
        <w:tc>
          <w:tcPr>
            <w:tcW w:w="18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18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986" w:type="dxa"/>
            <w:gridSpan w:val="11"/>
            <w:tcBorders/>
            <w:shd w:fill="auto" w:val="clear"/>
            <w:vAlign w:val="bottom"/>
          </w:tcPr>
          <w:p>
            <w:pPr>
              <w:pStyle w:val="TableContents"/>
              <w:spacing w:before="0" w:after="283"/>
              <w:jc w:val="center"/>
              <w:rPr>
                <w:b/>
              </w:rPr>
            </w:pPr>
            <w:r>
              <w:rPr>
                <w:b/>
              </w:rPr>
              <w:t>For the Six Months Ended</w:t>
            </w:r>
          </w:p>
        </w:tc>
        <w:tc>
          <w:tcPr>
            <w:tcW w:w="222" w:type="dxa"/>
            <w:tcBorders/>
            <w:shd w:fill="auto" w:val="clear"/>
            <w:vAlign w:val="bottom"/>
          </w:tcPr>
          <w:p>
            <w:pPr>
              <w:pStyle w:val="TableContents"/>
              <w:spacing w:before="0" w:after="283"/>
              <w:rPr/>
            </w:pPr>
            <w:r>
              <w:rPr/>
              <w:t> </w:t>
            </w:r>
          </w:p>
        </w:tc>
        <w:tc>
          <w:tcPr>
            <w:tcW w:w="3968" w:type="dxa"/>
            <w:gridSpan w:val="11"/>
            <w:tcBorders/>
            <w:shd w:fill="auto" w:val="clear"/>
            <w:vAlign w:val="bottom"/>
          </w:tcPr>
          <w:p>
            <w:pPr>
              <w:pStyle w:val="TableContents"/>
              <w:spacing w:before="0" w:after="283"/>
              <w:jc w:val="center"/>
              <w:rPr>
                <w:b/>
              </w:rPr>
            </w:pPr>
            <w:r>
              <w:rPr>
                <w:b/>
              </w:rPr>
              <w:t>For the Six Months Ended</w:t>
            </w:r>
          </w:p>
        </w:tc>
      </w:tr>
      <w:tr>
        <w:trPr/>
        <w:tc>
          <w:tcPr>
            <w:tcW w:w="18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98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222" w:type="dxa"/>
            <w:tcBorders/>
            <w:shd w:fill="auto" w:val="clear"/>
            <w:vAlign w:val="bottom"/>
          </w:tcPr>
          <w:p>
            <w:pPr>
              <w:pStyle w:val="TableContents"/>
              <w:spacing w:before="0" w:after="283"/>
              <w:rPr/>
            </w:pPr>
            <w:r>
              <w:rPr/>
              <w:t> </w:t>
            </w:r>
          </w:p>
        </w:tc>
        <w:tc>
          <w:tcPr>
            <w:tcW w:w="396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June 30, 2006</w:t>
            </w:r>
          </w:p>
        </w:tc>
      </w:tr>
      <w:tr>
        <w:trPr/>
        <w:tc>
          <w:tcPr>
            <w:tcW w:w="18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71" w:type="dxa"/>
            <w:gridSpan w:val="3"/>
            <w:tcBorders/>
            <w:shd w:fill="auto" w:val="clear"/>
            <w:vAlign w:val="bottom"/>
          </w:tcPr>
          <w:p>
            <w:pPr>
              <w:pStyle w:val="TableContents"/>
              <w:spacing w:before="0" w:after="283"/>
              <w:jc w:val="center"/>
              <w:rPr>
                <w:b/>
              </w:rPr>
            </w:pPr>
            <w:r>
              <w:rPr>
                <w:b/>
              </w:rPr>
              <w:t>Mark-to-</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71" w:type="dxa"/>
            <w:gridSpan w:val="3"/>
            <w:tcBorders/>
            <w:shd w:fill="auto" w:val="clear"/>
            <w:vAlign w:val="bottom"/>
          </w:tcPr>
          <w:p>
            <w:pPr>
              <w:pStyle w:val="TableContents"/>
              <w:spacing w:before="0" w:after="283"/>
              <w:jc w:val="center"/>
              <w:rPr>
                <w:b/>
              </w:rPr>
            </w:pPr>
            <w:r>
              <w:rPr>
                <w:b/>
              </w:rPr>
              <w:t>Mark-to-</w:t>
            </w:r>
          </w:p>
        </w:tc>
        <w:tc>
          <w:tcPr>
            <w:tcW w:w="243" w:type="dxa"/>
            <w:tcBorders/>
            <w:shd w:fill="auto" w:val="clear"/>
            <w:vAlign w:val="bottom"/>
          </w:tcPr>
          <w:p>
            <w:pPr>
              <w:pStyle w:val="TableContents"/>
              <w:spacing w:before="0" w:after="283"/>
              <w:rPr/>
            </w:pPr>
            <w:r>
              <w:rPr/>
              <w:t> </w:t>
            </w:r>
          </w:p>
        </w:tc>
        <w:tc>
          <w:tcPr>
            <w:tcW w:w="1045" w:type="dxa"/>
            <w:gridSpan w:val="3"/>
            <w:tcBorders/>
            <w:shd w:fill="auto" w:val="clear"/>
            <w:vAlign w:val="bottom"/>
          </w:tcPr>
          <w:p>
            <w:pPr>
              <w:pStyle w:val="TableContents"/>
              <w:spacing w:before="0" w:after="283"/>
              <w:jc w:val="center"/>
              <w:rPr/>
            </w:pPr>
            <w:r>
              <w:rPr/>
              <w:t> </w:t>
            </w:r>
          </w:p>
        </w:tc>
        <w:tc>
          <w:tcPr>
            <w:tcW w:w="243" w:type="dxa"/>
            <w:tcBorders/>
            <w:shd w:fill="auto" w:val="clear"/>
            <w:vAlign w:val="bottom"/>
          </w:tcPr>
          <w:p>
            <w:pPr>
              <w:pStyle w:val="TableContents"/>
              <w:spacing w:before="0" w:after="283"/>
              <w:rPr/>
            </w:pPr>
            <w:r>
              <w:rPr/>
              <w:t> </w:t>
            </w:r>
          </w:p>
        </w:tc>
        <w:tc>
          <w:tcPr>
            <w:tcW w:w="1066" w:type="dxa"/>
            <w:gridSpan w:val="3"/>
            <w:tcBorders/>
            <w:shd w:fill="auto" w:val="clear"/>
            <w:vAlign w:val="bottom"/>
          </w:tcPr>
          <w:p>
            <w:pPr>
              <w:pStyle w:val="TableContents"/>
              <w:spacing w:before="0" w:after="283"/>
              <w:jc w:val="center"/>
              <w:rPr/>
            </w:pPr>
            <w:r>
              <w:rPr/>
              <w:t> </w:t>
            </w:r>
          </w:p>
        </w:tc>
      </w:tr>
      <w:tr>
        <w:trPr/>
        <w:tc>
          <w:tcPr>
            <w:tcW w:w="18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71" w:type="dxa"/>
            <w:gridSpan w:val="3"/>
            <w:tcBorders/>
            <w:shd w:fill="auto" w:val="clear"/>
            <w:vAlign w:val="bottom"/>
          </w:tcPr>
          <w:p>
            <w:pPr>
              <w:pStyle w:val="TableContents"/>
              <w:spacing w:before="0" w:after="283"/>
              <w:jc w:val="center"/>
              <w:rPr>
                <w:b/>
              </w:rPr>
            </w:pPr>
            <w:r>
              <w:rPr>
                <w:b/>
              </w:rPr>
              <w:t>market, net</w:t>
            </w:r>
          </w:p>
        </w:tc>
        <w:tc>
          <w:tcPr>
            <w:tcW w:w="239" w:type="dxa"/>
            <w:tcBorders/>
            <w:shd w:fill="auto" w:val="clear"/>
            <w:vAlign w:val="bottom"/>
          </w:tcPr>
          <w:p>
            <w:pPr>
              <w:pStyle w:val="TableContents"/>
              <w:spacing w:before="0" w:after="283"/>
              <w:rPr/>
            </w:pPr>
            <w:r>
              <w:rPr/>
              <w:t> </w:t>
            </w:r>
          </w:p>
        </w:tc>
        <w:tc>
          <w:tcPr>
            <w:tcW w:w="1067" w:type="dxa"/>
            <w:gridSpan w:val="3"/>
            <w:tcBorders/>
            <w:shd w:fill="auto" w:val="clear"/>
            <w:vAlign w:val="bottom"/>
          </w:tcPr>
          <w:p>
            <w:pPr>
              <w:pStyle w:val="TableContents"/>
              <w:spacing w:before="0" w:after="283"/>
              <w:jc w:val="center"/>
              <w:rPr>
                <w:b/>
              </w:rPr>
            </w:pPr>
            <w:r>
              <w:rPr>
                <w:b/>
              </w:rPr>
              <w:t>Settled</w:t>
            </w:r>
          </w:p>
        </w:tc>
        <w:tc>
          <w:tcPr>
            <w:tcW w:w="239" w:type="dxa"/>
            <w:tcBorders/>
            <w:shd w:fill="auto" w:val="clear"/>
            <w:vAlign w:val="bottom"/>
          </w:tcPr>
          <w:p>
            <w:pPr>
              <w:pStyle w:val="TableContents"/>
              <w:spacing w:before="0" w:after="283"/>
              <w:rPr/>
            </w:pPr>
            <w:r>
              <w:rPr/>
              <w:t> </w:t>
            </w:r>
          </w:p>
        </w:tc>
        <w:tc>
          <w:tcPr>
            <w:tcW w:w="1070" w:type="dxa"/>
            <w:gridSpan w:val="3"/>
            <w:tcBorders/>
            <w:shd w:fill="auto" w:val="clear"/>
            <w:vAlign w:val="bottom"/>
          </w:tcPr>
          <w:p>
            <w:pPr>
              <w:pStyle w:val="TableContents"/>
              <w:spacing w:before="0" w:after="283"/>
              <w:jc w:val="center"/>
              <w:rPr>
                <w:b/>
              </w:rPr>
            </w:pPr>
            <w:r>
              <w:rPr>
                <w:b/>
              </w:rPr>
              <w:t>Total</w:t>
            </w:r>
          </w:p>
        </w:tc>
        <w:tc>
          <w:tcPr>
            <w:tcW w:w="222" w:type="dxa"/>
            <w:tcBorders/>
            <w:shd w:fill="auto" w:val="clear"/>
            <w:vAlign w:val="bottom"/>
          </w:tcPr>
          <w:p>
            <w:pPr>
              <w:pStyle w:val="TableContents"/>
              <w:spacing w:before="0" w:after="283"/>
              <w:rPr/>
            </w:pPr>
            <w:r>
              <w:rPr/>
              <w:t> </w:t>
            </w:r>
          </w:p>
        </w:tc>
        <w:tc>
          <w:tcPr>
            <w:tcW w:w="1371" w:type="dxa"/>
            <w:gridSpan w:val="3"/>
            <w:tcBorders/>
            <w:shd w:fill="auto" w:val="clear"/>
            <w:vAlign w:val="bottom"/>
          </w:tcPr>
          <w:p>
            <w:pPr>
              <w:pStyle w:val="TableContents"/>
              <w:spacing w:before="0" w:after="283"/>
              <w:jc w:val="center"/>
              <w:rPr>
                <w:b/>
              </w:rPr>
            </w:pPr>
            <w:r>
              <w:rPr>
                <w:b/>
              </w:rPr>
              <w:t>market, net</w:t>
            </w:r>
          </w:p>
        </w:tc>
        <w:tc>
          <w:tcPr>
            <w:tcW w:w="243" w:type="dxa"/>
            <w:tcBorders/>
            <w:shd w:fill="auto" w:val="clear"/>
            <w:vAlign w:val="bottom"/>
          </w:tcPr>
          <w:p>
            <w:pPr>
              <w:pStyle w:val="TableContents"/>
              <w:spacing w:before="0" w:after="283"/>
              <w:rPr/>
            </w:pPr>
            <w:r>
              <w:rPr/>
              <w:t> </w:t>
            </w:r>
          </w:p>
        </w:tc>
        <w:tc>
          <w:tcPr>
            <w:tcW w:w="1045" w:type="dxa"/>
            <w:gridSpan w:val="3"/>
            <w:tcBorders/>
            <w:shd w:fill="auto" w:val="clear"/>
            <w:vAlign w:val="bottom"/>
          </w:tcPr>
          <w:p>
            <w:pPr>
              <w:pStyle w:val="TableContents"/>
              <w:spacing w:before="0" w:after="283"/>
              <w:jc w:val="center"/>
              <w:rPr>
                <w:b/>
              </w:rPr>
            </w:pPr>
            <w:r>
              <w:rPr>
                <w:b/>
              </w:rPr>
              <w:t>Settled</w:t>
            </w:r>
          </w:p>
        </w:tc>
        <w:tc>
          <w:tcPr>
            <w:tcW w:w="243" w:type="dxa"/>
            <w:tcBorders/>
            <w:shd w:fill="auto" w:val="clear"/>
            <w:vAlign w:val="bottom"/>
          </w:tcPr>
          <w:p>
            <w:pPr>
              <w:pStyle w:val="TableContents"/>
              <w:spacing w:before="0" w:after="283"/>
              <w:rPr/>
            </w:pPr>
            <w:r>
              <w:rPr/>
              <w:t> </w:t>
            </w:r>
          </w:p>
        </w:tc>
        <w:tc>
          <w:tcPr>
            <w:tcW w:w="1066" w:type="dxa"/>
            <w:gridSpan w:val="3"/>
            <w:tcBorders/>
            <w:shd w:fill="auto" w:val="clear"/>
            <w:vAlign w:val="bottom"/>
          </w:tcPr>
          <w:p>
            <w:pPr>
              <w:pStyle w:val="TableContents"/>
              <w:spacing w:before="0" w:after="283"/>
              <w:jc w:val="center"/>
              <w:rPr>
                <w:b/>
              </w:rPr>
            </w:pPr>
            <w:r>
              <w:rPr>
                <w:b/>
              </w:rPr>
              <w:t>Total</w:t>
            </w:r>
          </w:p>
        </w:tc>
      </w:tr>
      <w:tr>
        <w:trPr/>
        <w:tc>
          <w:tcPr>
            <w:tcW w:w="1807" w:type="dxa"/>
            <w:tcBorders/>
            <w:shd w:fill="CCEEFF" w:val="clear"/>
            <w:vAlign w:val="bottom"/>
          </w:tcPr>
          <w:p>
            <w:pPr>
              <w:pStyle w:val="TableContents"/>
              <w:spacing w:before="0" w:after="0"/>
              <w:ind w:left="225" w:right="0" w:hanging="225"/>
              <w:rPr/>
            </w:pPr>
            <w:r>
              <w:rPr/>
              <w:t>Commodity price-risk hedging</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pPr>
            <w:r>
              <w:rPr/>
              <w:t>$</w:t>
            </w:r>
          </w:p>
        </w:tc>
        <w:tc>
          <w:tcPr>
            <w:tcW w:w="747" w:type="dxa"/>
            <w:tcBorders/>
            <w:shd w:fill="CCEEFF" w:val="clear"/>
            <w:vAlign w:val="bottom"/>
          </w:tcPr>
          <w:p>
            <w:pPr>
              <w:pStyle w:val="TableContents"/>
              <w:spacing w:before="0" w:after="283"/>
              <w:jc w:val="right"/>
              <w:rPr/>
            </w:pPr>
            <w:r>
              <w:rPr/>
              <w:t>(5.6</w:t>
            </w:r>
          </w:p>
        </w:tc>
        <w:tc>
          <w:tcPr>
            <w:tcW w:w="273" w:type="dxa"/>
            <w:tcBorders/>
            <w:shd w:fill="CCEEFF" w:val="clear"/>
            <w:vAlign w:val="bottom"/>
          </w:tcPr>
          <w:p>
            <w:pPr>
              <w:pStyle w:val="TableContents"/>
              <w:spacing w:before="0" w:after="283"/>
              <w:rPr/>
            </w:pPr>
            <w:r>
              <w:rPr/>
              <w:t>)</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w:t>
            </w:r>
          </w:p>
        </w:tc>
        <w:tc>
          <w:tcPr>
            <w:tcW w:w="578" w:type="dxa"/>
            <w:tcBorders/>
            <w:shd w:fill="CCEEFF" w:val="clear"/>
            <w:vAlign w:val="bottom"/>
          </w:tcPr>
          <w:p>
            <w:pPr>
              <w:pStyle w:val="TableContents"/>
              <w:spacing w:before="0" w:after="283"/>
              <w:jc w:val="right"/>
              <w:rPr/>
            </w:pPr>
            <w:r>
              <w:rPr/>
              <w:t>80.9</w:t>
            </w:r>
          </w:p>
        </w:tc>
        <w:tc>
          <w:tcPr>
            <w:tcW w:w="21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w:t>
            </w:r>
          </w:p>
        </w:tc>
        <w:tc>
          <w:tcPr>
            <w:tcW w:w="577" w:type="dxa"/>
            <w:tcBorders/>
            <w:shd w:fill="CCEEFF" w:val="clear"/>
            <w:vAlign w:val="bottom"/>
          </w:tcPr>
          <w:p>
            <w:pPr>
              <w:pStyle w:val="TableContents"/>
              <w:spacing w:before="0" w:after="283"/>
              <w:jc w:val="right"/>
              <w:rPr/>
            </w:pPr>
            <w:r>
              <w:rPr/>
              <w:t>75.3</w:t>
            </w:r>
          </w:p>
        </w:tc>
        <w:tc>
          <w:tcPr>
            <w:tcW w:w="221"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pPr>
            <w:r>
              <w:rPr/>
              <w:t>$</w:t>
            </w:r>
          </w:p>
        </w:tc>
        <w:tc>
          <w:tcPr>
            <w:tcW w:w="748" w:type="dxa"/>
            <w:tcBorders/>
            <w:shd w:fill="CCEEFF" w:val="clear"/>
            <w:vAlign w:val="bottom"/>
          </w:tcPr>
          <w:p>
            <w:pPr>
              <w:pStyle w:val="TableContents"/>
              <w:spacing w:before="0" w:after="283"/>
              <w:jc w:val="right"/>
              <w:rPr/>
            </w:pPr>
            <w:r>
              <w:rPr/>
              <w:t>(3.3</w:t>
            </w:r>
          </w:p>
        </w:tc>
        <w:tc>
          <w:tcPr>
            <w:tcW w:w="272" w:type="dxa"/>
            <w:tcBorders/>
            <w:shd w:fill="CCEEFF" w:val="clear"/>
            <w:vAlign w:val="bottom"/>
          </w:tcPr>
          <w:p>
            <w:pPr>
              <w:pStyle w:val="TableContents"/>
              <w:spacing w:before="0" w:after="283"/>
              <w:rPr/>
            </w:pPr>
            <w:r>
              <w:rPr/>
              <w:t>)</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544" w:type="dxa"/>
            <w:tcBorders/>
            <w:shd w:fill="CCEEFF" w:val="clear"/>
            <w:vAlign w:val="bottom"/>
          </w:tcPr>
          <w:p>
            <w:pPr>
              <w:pStyle w:val="TableContents"/>
              <w:spacing w:before="0" w:after="283"/>
              <w:jc w:val="right"/>
              <w:rPr/>
            </w:pPr>
            <w:r>
              <w:rPr/>
              <w:t>(3.9</w:t>
            </w:r>
          </w:p>
        </w:tc>
        <w:tc>
          <w:tcPr>
            <w:tcW w:w="221" w:type="dxa"/>
            <w:tcBorders/>
            <w:shd w:fill="CCEEFF" w:val="clear"/>
            <w:vAlign w:val="bottom"/>
          </w:tcPr>
          <w:p>
            <w:pPr>
              <w:pStyle w:val="TableContents"/>
              <w:spacing w:before="0" w:after="283"/>
              <w:rPr/>
            </w:pPr>
            <w:r>
              <w:rPr/>
              <w:t>)</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544" w:type="dxa"/>
            <w:tcBorders/>
            <w:shd w:fill="CCEEFF" w:val="clear"/>
            <w:vAlign w:val="bottom"/>
          </w:tcPr>
          <w:p>
            <w:pPr>
              <w:pStyle w:val="TableContents"/>
              <w:spacing w:before="0" w:after="283"/>
              <w:jc w:val="right"/>
              <w:rPr/>
            </w:pPr>
            <w:r>
              <w:rPr/>
              <w:t>(7.2</w:t>
            </w:r>
          </w:p>
        </w:tc>
        <w:tc>
          <w:tcPr>
            <w:tcW w:w="242" w:type="dxa"/>
            <w:tcBorders/>
            <w:shd w:fill="CCEEFF" w:val="clear"/>
            <w:vAlign w:val="bottom"/>
          </w:tcPr>
          <w:p>
            <w:pPr>
              <w:pStyle w:val="TableContents"/>
              <w:spacing w:before="0" w:after="283"/>
              <w:rPr/>
            </w:pPr>
            <w:r>
              <w:rPr/>
              <w:t>)</w:t>
            </w:r>
          </w:p>
        </w:tc>
      </w:tr>
      <w:tr>
        <w:trPr/>
        <w:tc>
          <w:tcPr>
            <w:tcW w:w="1807" w:type="dxa"/>
            <w:tcBorders/>
            <w:shd w:fill="auto" w:val="clear"/>
            <w:vAlign w:val="bottom"/>
          </w:tcPr>
          <w:p>
            <w:pPr>
              <w:pStyle w:val="TableContents"/>
              <w:spacing w:before="0" w:after="0"/>
              <w:ind w:left="225" w:right="0" w:hanging="225"/>
              <w:rPr/>
            </w:pPr>
            <w:r>
              <w:rPr/>
              <w:t>Controlled trading program</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pPr>
            <w:r>
              <w:rPr/>
              <w:t>0.9</w:t>
            </w:r>
          </w:p>
        </w:tc>
        <w:tc>
          <w:tcPr>
            <w:tcW w:w="21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0.9</w:t>
            </w:r>
          </w:p>
        </w:tc>
        <w:tc>
          <w:tcPr>
            <w:tcW w:w="22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w:t>
            </w:r>
          </w:p>
        </w:tc>
        <w:tc>
          <w:tcPr>
            <w:tcW w:w="27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pPr>
            <w:r>
              <w:rPr/>
              <w:t></w:t>
            </w:r>
          </w:p>
        </w:tc>
        <w:tc>
          <w:tcPr>
            <w:tcW w:w="22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pPr>
            <w:r>
              <w:rPr/>
              <w:t></w:t>
            </w:r>
          </w:p>
        </w:tc>
        <w:tc>
          <w:tcPr>
            <w:tcW w:w="242" w:type="dxa"/>
            <w:tcBorders/>
            <w:shd w:fill="auto" w:val="clear"/>
            <w:vAlign w:val="bottom"/>
          </w:tcPr>
          <w:p>
            <w:pPr>
              <w:pStyle w:val="TableContents"/>
              <w:spacing w:before="0" w:after="283"/>
              <w:rPr/>
            </w:pPr>
            <w:r>
              <w:rPr/>
              <w:t> </w:t>
            </w:r>
          </w:p>
        </w:tc>
      </w:tr>
      <w:tr>
        <w:trPr/>
        <w:tc>
          <w:tcPr>
            <w:tcW w:w="1807" w:type="dxa"/>
            <w:tcBorders/>
            <w:shd w:fill="CCEEFF" w:val="clear"/>
            <w:vAlign w:val="bottom"/>
          </w:tcPr>
          <w:p>
            <w:pPr>
              <w:pStyle w:val="TableContents"/>
              <w:spacing w:before="0" w:after="0"/>
              <w:ind w:left="225" w:right="0" w:hanging="225"/>
              <w:rPr/>
            </w:pPr>
            <w:r>
              <w:rPr/>
              <w:t>Interest rate risk hedging</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pPr>
            <w:r>
              <w:rPr/>
              <w:t> </w:t>
            </w:r>
          </w:p>
        </w:tc>
        <w:tc>
          <w:tcPr>
            <w:tcW w:w="747" w:type="dxa"/>
            <w:tcBorders/>
            <w:shd w:fill="CCEEFF" w:val="clear"/>
            <w:vAlign w:val="bottom"/>
          </w:tcPr>
          <w:p>
            <w:pPr>
              <w:pStyle w:val="TableContents"/>
              <w:spacing w:before="0" w:after="283"/>
              <w:jc w:val="right"/>
              <w:rPr/>
            </w:pPr>
            <w:r>
              <w:rPr/>
              <w:t>(0.3</w:t>
            </w:r>
          </w:p>
        </w:tc>
        <w:tc>
          <w:tcPr>
            <w:tcW w:w="273" w:type="dxa"/>
            <w:tcBorders/>
            <w:shd w:fill="CCEEFF" w:val="clear"/>
            <w:vAlign w:val="bottom"/>
          </w:tcPr>
          <w:p>
            <w:pPr>
              <w:pStyle w:val="TableContents"/>
              <w:spacing w:before="0" w:after="283"/>
              <w:rPr/>
            </w:pPr>
            <w:r>
              <w:rPr/>
              <w:t>)</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 </w:t>
            </w:r>
          </w:p>
        </w:tc>
        <w:tc>
          <w:tcPr>
            <w:tcW w:w="578" w:type="dxa"/>
            <w:tcBorders/>
            <w:shd w:fill="CCEEFF" w:val="clear"/>
            <w:vAlign w:val="bottom"/>
          </w:tcPr>
          <w:p>
            <w:pPr>
              <w:pStyle w:val="TableContents"/>
              <w:spacing w:before="0" w:after="283"/>
              <w:jc w:val="right"/>
              <w:rPr/>
            </w:pPr>
            <w:r>
              <w:rPr/>
              <w:t>(0.4</w:t>
            </w:r>
          </w:p>
        </w:tc>
        <w:tc>
          <w:tcPr>
            <w:tcW w:w="217" w:type="dxa"/>
            <w:tcBorders/>
            <w:shd w:fill="CCEEFF" w:val="clear"/>
            <w:vAlign w:val="bottom"/>
          </w:tcPr>
          <w:p>
            <w:pPr>
              <w:pStyle w:val="TableContents"/>
              <w:spacing w:before="0" w:after="283"/>
              <w:rPr/>
            </w:pPr>
            <w:r>
              <w:rPr/>
              <w:t>)</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 </w:t>
            </w:r>
          </w:p>
        </w:tc>
        <w:tc>
          <w:tcPr>
            <w:tcW w:w="577" w:type="dxa"/>
            <w:tcBorders/>
            <w:shd w:fill="CCEEFF" w:val="clear"/>
            <w:vAlign w:val="bottom"/>
          </w:tcPr>
          <w:p>
            <w:pPr>
              <w:pStyle w:val="TableContents"/>
              <w:spacing w:before="0" w:after="283"/>
              <w:jc w:val="right"/>
              <w:rPr/>
            </w:pPr>
            <w:r>
              <w:rPr/>
              <w:t>(0.7</w:t>
            </w:r>
          </w:p>
        </w:tc>
        <w:tc>
          <w:tcPr>
            <w:tcW w:w="221"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w:t>
            </w:r>
          </w:p>
        </w:tc>
        <w:tc>
          <w:tcPr>
            <w:tcW w:w="272"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44" w:type="dxa"/>
            <w:tcBorders/>
            <w:shd w:fill="CCEEFF" w:val="clear"/>
            <w:vAlign w:val="bottom"/>
          </w:tcPr>
          <w:p>
            <w:pPr>
              <w:pStyle w:val="TableContents"/>
              <w:spacing w:before="0" w:after="283"/>
              <w:jc w:val="right"/>
              <w:rPr/>
            </w:pPr>
            <w:r>
              <w:rPr/>
              <w:t>(0.8</w:t>
            </w:r>
          </w:p>
        </w:tc>
        <w:tc>
          <w:tcPr>
            <w:tcW w:w="221" w:type="dxa"/>
            <w:tcBorders/>
            <w:shd w:fill="CCEEFF" w:val="clear"/>
            <w:vAlign w:val="bottom"/>
          </w:tcPr>
          <w:p>
            <w:pPr>
              <w:pStyle w:val="TableContents"/>
              <w:spacing w:before="0" w:after="283"/>
              <w:rPr/>
            </w:pPr>
            <w:r>
              <w:rPr/>
              <w:t>)</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44" w:type="dxa"/>
            <w:tcBorders/>
            <w:shd w:fill="CCEEFF" w:val="clear"/>
            <w:vAlign w:val="bottom"/>
          </w:tcPr>
          <w:p>
            <w:pPr>
              <w:pStyle w:val="TableContents"/>
              <w:spacing w:before="0" w:after="283"/>
              <w:jc w:val="right"/>
              <w:rPr/>
            </w:pPr>
            <w:r>
              <w:rPr/>
              <w:t>(0.8</w:t>
            </w:r>
          </w:p>
        </w:tc>
        <w:tc>
          <w:tcPr>
            <w:tcW w:w="242" w:type="dxa"/>
            <w:tcBorders/>
            <w:shd w:fill="CCEEFF" w:val="clear"/>
            <w:vAlign w:val="bottom"/>
          </w:tcPr>
          <w:p>
            <w:pPr>
              <w:pStyle w:val="TableContents"/>
              <w:spacing w:before="0" w:after="283"/>
              <w:rPr/>
            </w:pPr>
            <w:r>
              <w:rPr/>
              <w:t>)</w:t>
            </w:r>
          </w:p>
        </w:tc>
      </w:tr>
      <w:tr>
        <w:trPr/>
        <w:tc>
          <w:tcPr>
            <w:tcW w:w="1807" w:type="dxa"/>
            <w:tcBorders/>
            <w:shd w:fill="auto" w:val="clear"/>
            <w:vAlign w:val="bottom"/>
          </w:tcPr>
          <w:p>
            <w:pPr>
              <w:pStyle w:val="TableContents"/>
              <w:spacing w:before="0" w:after="0"/>
              <w:ind w:left="225" w:right="0" w:hanging="225"/>
              <w:rPr/>
            </w:pPr>
            <w:r>
              <w:rPr/>
              <w:t>Currency exchange rate risk hedging</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3.8</w:t>
            </w:r>
          </w:p>
        </w:tc>
        <w:tc>
          <w:tcPr>
            <w:tcW w:w="27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right"/>
              <w:rPr/>
            </w:pPr>
            <w:r>
              <w:rPr/>
              <w:t> </w:t>
            </w:r>
          </w:p>
        </w:tc>
        <w:tc>
          <w:tcPr>
            <w:tcW w:w="578" w:type="dxa"/>
            <w:tcBorders/>
            <w:shd w:fill="auto" w:val="clear"/>
            <w:vAlign w:val="bottom"/>
          </w:tcPr>
          <w:p>
            <w:pPr>
              <w:pStyle w:val="TableContents"/>
              <w:spacing w:before="0" w:after="283"/>
              <w:jc w:val="right"/>
              <w:rPr/>
            </w:pPr>
            <w:r>
              <w:rPr/>
              <w:t>(0.2</w:t>
            </w:r>
          </w:p>
        </w:tc>
        <w:tc>
          <w:tcPr>
            <w:tcW w:w="217" w:type="dxa"/>
            <w:tcBorders/>
            <w:shd w:fill="auto" w:val="clear"/>
            <w:vAlign w:val="bottom"/>
          </w:tcPr>
          <w:p>
            <w:pPr>
              <w:pStyle w:val="TableContents"/>
              <w:spacing w:before="0" w:after="283"/>
              <w:rPr/>
            </w:pPr>
            <w:r>
              <w:rPr/>
              <w:t>)</w:t>
            </w:r>
          </w:p>
        </w:tc>
        <w:tc>
          <w:tcPr>
            <w:tcW w:w="239"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pPr>
            <w:r>
              <w:rPr/>
              <w:t>3.6</w:t>
            </w:r>
          </w:p>
        </w:tc>
        <w:tc>
          <w:tcPr>
            <w:tcW w:w="221"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0.2</w:t>
            </w:r>
          </w:p>
        </w:tc>
        <w:tc>
          <w:tcPr>
            <w:tcW w:w="272"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pPr>
            <w:r>
              <w:rPr/>
              <w:t></w:t>
            </w:r>
          </w:p>
        </w:tc>
        <w:tc>
          <w:tcPr>
            <w:tcW w:w="22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44" w:type="dxa"/>
            <w:tcBorders/>
            <w:shd w:fill="auto" w:val="clear"/>
            <w:vAlign w:val="bottom"/>
          </w:tcPr>
          <w:p>
            <w:pPr>
              <w:pStyle w:val="TableContents"/>
              <w:spacing w:before="0" w:after="283"/>
              <w:jc w:val="right"/>
              <w:rPr/>
            </w:pPr>
            <w:r>
              <w:rPr/>
              <w:t>0.2</w:t>
            </w:r>
          </w:p>
        </w:tc>
        <w:tc>
          <w:tcPr>
            <w:tcW w:w="242" w:type="dxa"/>
            <w:tcBorders/>
            <w:shd w:fill="auto" w:val="clear"/>
            <w:vAlign w:val="bottom"/>
          </w:tcPr>
          <w:p>
            <w:pPr>
              <w:pStyle w:val="TableContents"/>
              <w:spacing w:before="0" w:after="283"/>
              <w:rPr/>
            </w:pPr>
            <w:r>
              <w:rPr/>
              <w:t> </w:t>
            </w:r>
          </w:p>
        </w:tc>
      </w:tr>
      <w:tr>
        <w:trPr/>
        <w:tc>
          <w:tcPr>
            <w:tcW w:w="180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3986"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3968"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807" w:type="dxa"/>
            <w:tcBorders/>
            <w:shd w:fill="CCEEFF" w:val="clear"/>
            <w:vAlign w:val="bottom"/>
          </w:tcPr>
          <w:p>
            <w:pPr>
              <w:pStyle w:val="TableContents"/>
              <w:spacing w:before="0" w:after="0"/>
              <w:ind w:left="225" w:right="0" w:hanging="225"/>
              <w:rPr/>
            </w:pPr>
            <w:r>
              <w:rPr/>
              <w:t>Total</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pPr>
            <w:r>
              <w:rPr/>
              <w:t>$</w:t>
            </w:r>
          </w:p>
        </w:tc>
        <w:tc>
          <w:tcPr>
            <w:tcW w:w="747" w:type="dxa"/>
            <w:tcBorders/>
            <w:shd w:fill="CCEEFF" w:val="clear"/>
            <w:vAlign w:val="bottom"/>
          </w:tcPr>
          <w:p>
            <w:pPr>
              <w:pStyle w:val="TableContents"/>
              <w:spacing w:before="0" w:after="283"/>
              <w:jc w:val="right"/>
              <w:rPr/>
            </w:pPr>
            <w:r>
              <w:rPr/>
              <w:t>(2.1</w:t>
            </w:r>
          </w:p>
        </w:tc>
        <w:tc>
          <w:tcPr>
            <w:tcW w:w="273" w:type="dxa"/>
            <w:tcBorders/>
            <w:shd w:fill="CCEEFF" w:val="clear"/>
            <w:vAlign w:val="bottom"/>
          </w:tcPr>
          <w:p>
            <w:pPr>
              <w:pStyle w:val="TableContents"/>
              <w:spacing w:before="0" w:after="283"/>
              <w:rPr/>
            </w:pPr>
            <w:r>
              <w:rPr/>
              <w:t>)</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w:t>
            </w:r>
          </w:p>
        </w:tc>
        <w:tc>
          <w:tcPr>
            <w:tcW w:w="578" w:type="dxa"/>
            <w:tcBorders/>
            <w:shd w:fill="CCEEFF" w:val="clear"/>
            <w:vAlign w:val="bottom"/>
          </w:tcPr>
          <w:p>
            <w:pPr>
              <w:pStyle w:val="TableContents"/>
              <w:spacing w:before="0" w:after="283"/>
              <w:jc w:val="right"/>
              <w:rPr/>
            </w:pPr>
            <w:r>
              <w:rPr/>
              <w:t>81.2</w:t>
            </w:r>
          </w:p>
        </w:tc>
        <w:tc>
          <w:tcPr>
            <w:tcW w:w="21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right"/>
              <w:rPr/>
            </w:pPr>
            <w:r>
              <w:rPr/>
              <w:t>$</w:t>
            </w:r>
          </w:p>
        </w:tc>
        <w:tc>
          <w:tcPr>
            <w:tcW w:w="577" w:type="dxa"/>
            <w:tcBorders/>
            <w:shd w:fill="CCEEFF" w:val="clear"/>
            <w:vAlign w:val="bottom"/>
          </w:tcPr>
          <w:p>
            <w:pPr>
              <w:pStyle w:val="TableContents"/>
              <w:spacing w:before="0" w:after="283"/>
              <w:jc w:val="right"/>
              <w:rPr/>
            </w:pPr>
            <w:r>
              <w:rPr/>
              <w:t>79.1</w:t>
            </w:r>
          </w:p>
        </w:tc>
        <w:tc>
          <w:tcPr>
            <w:tcW w:w="221"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pPr>
            <w:r>
              <w:rPr/>
              <w:t>$</w:t>
            </w:r>
          </w:p>
        </w:tc>
        <w:tc>
          <w:tcPr>
            <w:tcW w:w="748" w:type="dxa"/>
            <w:tcBorders/>
            <w:shd w:fill="CCEEFF" w:val="clear"/>
            <w:vAlign w:val="bottom"/>
          </w:tcPr>
          <w:p>
            <w:pPr>
              <w:pStyle w:val="TableContents"/>
              <w:spacing w:before="0" w:after="283"/>
              <w:jc w:val="right"/>
              <w:rPr/>
            </w:pPr>
            <w:r>
              <w:rPr/>
              <w:t>(3.1</w:t>
            </w:r>
          </w:p>
        </w:tc>
        <w:tc>
          <w:tcPr>
            <w:tcW w:w="272" w:type="dxa"/>
            <w:tcBorders/>
            <w:shd w:fill="CCEEFF" w:val="clear"/>
            <w:vAlign w:val="bottom"/>
          </w:tcPr>
          <w:p>
            <w:pPr>
              <w:pStyle w:val="TableContents"/>
              <w:spacing w:before="0" w:after="283"/>
              <w:rPr/>
            </w:pPr>
            <w:r>
              <w:rPr/>
              <w:t>)</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544" w:type="dxa"/>
            <w:tcBorders/>
            <w:shd w:fill="CCEEFF" w:val="clear"/>
            <w:vAlign w:val="bottom"/>
          </w:tcPr>
          <w:p>
            <w:pPr>
              <w:pStyle w:val="TableContents"/>
              <w:spacing w:before="0" w:after="283"/>
              <w:jc w:val="right"/>
              <w:rPr/>
            </w:pPr>
            <w:r>
              <w:rPr/>
              <w:t>(4.7</w:t>
            </w:r>
          </w:p>
        </w:tc>
        <w:tc>
          <w:tcPr>
            <w:tcW w:w="221" w:type="dxa"/>
            <w:tcBorders/>
            <w:shd w:fill="CCEEFF" w:val="clear"/>
            <w:vAlign w:val="bottom"/>
          </w:tcPr>
          <w:p>
            <w:pPr>
              <w:pStyle w:val="TableContents"/>
              <w:spacing w:before="0" w:after="283"/>
              <w:rPr/>
            </w:pPr>
            <w:r>
              <w:rPr/>
              <w:t>)</w:t>
            </w:r>
          </w:p>
        </w:tc>
        <w:tc>
          <w:tcPr>
            <w:tcW w:w="2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544" w:type="dxa"/>
            <w:tcBorders/>
            <w:shd w:fill="CCEEFF" w:val="clear"/>
            <w:vAlign w:val="bottom"/>
          </w:tcPr>
          <w:p>
            <w:pPr>
              <w:pStyle w:val="TableContents"/>
              <w:spacing w:before="0" w:after="283"/>
              <w:jc w:val="right"/>
              <w:rPr/>
            </w:pPr>
            <w:r>
              <w:rPr/>
              <w:t>(7.8</w:t>
            </w:r>
          </w:p>
        </w:tc>
        <w:tc>
          <w:tcPr>
            <w:tcW w:w="242" w:type="dxa"/>
            <w:tcBorders/>
            <w:shd w:fill="CCEEFF" w:val="clear"/>
            <w:vAlign w:val="bottom"/>
          </w:tcPr>
          <w:p>
            <w:pPr>
              <w:pStyle w:val="TableContents"/>
              <w:spacing w:before="0" w:after="283"/>
              <w:rPr/>
            </w:pPr>
            <w:r>
              <w:rPr/>
              <w:t>)</w:t>
            </w:r>
          </w:p>
        </w:tc>
      </w:tr>
      <w:tr>
        <w:trPr/>
        <w:tc>
          <w:tcPr>
            <w:tcW w:w="180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3986"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3968"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The breakdown of the net mark-to-market impact to earnings between derivatives that do not qualify for hedge accounting and the ineffective portion of cash flow hedges is as follows (in millions, losses designated in parentheses): </w:t>
      </w:r>
    </w:p>
    <w:tbl>
      <w:tblPr>
        <w:tblW w:w="5000" w:type="pct"/>
        <w:jc w:val="center"/>
        <w:tblInd w:w="0" w:type="dxa"/>
        <w:tblCellMar>
          <w:top w:w="0" w:type="dxa"/>
          <w:left w:w="0" w:type="dxa"/>
          <w:bottom w:w="0" w:type="dxa"/>
          <w:right w:w="0" w:type="dxa"/>
        </w:tblCellMar>
      </w:tblPr>
      <w:tblGrid>
        <w:gridCol w:w="1921"/>
        <w:gridCol w:w="162"/>
        <w:gridCol w:w="182"/>
        <w:gridCol w:w="1610"/>
        <w:gridCol w:w="275"/>
        <w:gridCol w:w="267"/>
        <w:gridCol w:w="182"/>
        <w:gridCol w:w="1491"/>
        <w:gridCol w:w="110"/>
        <w:gridCol w:w="162"/>
        <w:gridCol w:w="174"/>
        <w:gridCol w:w="1425"/>
        <w:gridCol w:w="264"/>
        <w:gridCol w:w="259"/>
        <w:gridCol w:w="173"/>
        <w:gridCol w:w="1428"/>
        <w:gridCol w:w="120"/>
      </w:tblGrid>
      <w:tr>
        <w:trPr/>
        <w:tc>
          <w:tcPr>
            <w:tcW w:w="19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61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19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400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For the Three Months ended June 30,</w:t>
            </w:r>
          </w:p>
        </w:tc>
        <w:tc>
          <w:tcPr>
            <w:tcW w:w="1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372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For the Six Months ended June 30,</w:t>
            </w:r>
          </w:p>
        </w:tc>
        <w:tc>
          <w:tcPr>
            <w:tcW w:w="120" w:type="dxa"/>
            <w:tcBorders/>
            <w:shd w:fill="auto" w:val="clear"/>
            <w:vAlign w:val="bottom"/>
          </w:tcPr>
          <w:p>
            <w:pPr>
              <w:pStyle w:val="TableContents"/>
              <w:spacing w:before="0" w:after="283"/>
              <w:rPr/>
            </w:pPr>
            <w:r>
              <w:rPr/>
              <w:t> </w:t>
            </w:r>
          </w:p>
        </w:tc>
      </w:tr>
      <w:tr>
        <w:trPr/>
        <w:tc>
          <w:tcPr>
            <w:tcW w:w="19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7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7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5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6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0" w:type="dxa"/>
            <w:tcBorders/>
            <w:shd w:fill="auto" w:val="clear"/>
            <w:vAlign w:val="bottom"/>
          </w:tcPr>
          <w:p>
            <w:pPr>
              <w:pStyle w:val="TableContents"/>
              <w:spacing w:before="0" w:after="283"/>
              <w:rPr/>
            </w:pPr>
            <w:r>
              <w:rPr/>
              <w:t> </w:t>
            </w:r>
          </w:p>
        </w:tc>
      </w:tr>
      <w:tr>
        <w:trPr/>
        <w:tc>
          <w:tcPr>
            <w:tcW w:w="1921" w:type="dxa"/>
            <w:tcBorders/>
            <w:shd w:fill="CCEEFF" w:val="clear"/>
            <w:vAlign w:val="bottom"/>
          </w:tcPr>
          <w:p>
            <w:pPr>
              <w:pStyle w:val="TableContents"/>
              <w:spacing w:before="0" w:after="0"/>
              <w:ind w:left="225" w:right="0" w:hanging="225"/>
              <w:rPr/>
            </w:pPr>
            <w:r>
              <w:rPr/>
              <w:t>Derivatives that do not qualify for hedge accounting</w:t>
            </w:r>
          </w:p>
        </w:tc>
        <w:tc>
          <w:tcPr>
            <w:tcW w:w="1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610" w:type="dxa"/>
            <w:tcBorders/>
            <w:shd w:fill="CCEEFF" w:val="clear"/>
            <w:vAlign w:val="bottom"/>
          </w:tcPr>
          <w:p>
            <w:pPr>
              <w:pStyle w:val="TableContents"/>
              <w:spacing w:before="0" w:after="283"/>
              <w:jc w:val="right"/>
              <w:rPr/>
            </w:pPr>
            <w:r>
              <w:rPr/>
              <w:t>$15.7</w:t>
            </w:r>
          </w:p>
        </w:tc>
        <w:tc>
          <w:tcPr>
            <w:tcW w:w="27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491" w:type="dxa"/>
            <w:tcBorders/>
            <w:shd w:fill="CCEEFF" w:val="clear"/>
            <w:vAlign w:val="bottom"/>
          </w:tcPr>
          <w:p>
            <w:pPr>
              <w:pStyle w:val="TableContents"/>
              <w:spacing w:before="0" w:after="283"/>
              <w:jc w:val="right"/>
              <w:rPr/>
            </w:pPr>
            <w:r>
              <w:rPr/>
              <w:t>$(2.8</w:t>
            </w:r>
          </w:p>
        </w:tc>
        <w:tc>
          <w:tcPr>
            <w:tcW w:w="110" w:type="dxa"/>
            <w:tcBorders/>
            <w:shd w:fill="CCEEFF" w:val="clear"/>
            <w:vAlign w:val="bottom"/>
          </w:tcPr>
          <w:p>
            <w:pPr>
              <w:pStyle w:val="TableContents"/>
              <w:spacing w:before="0" w:after="283"/>
              <w:rPr/>
            </w:pPr>
            <w:r>
              <w:rPr/>
              <w:t>)</w:t>
            </w:r>
          </w:p>
        </w:tc>
        <w:tc>
          <w:tcPr>
            <w:tcW w:w="16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1425" w:type="dxa"/>
            <w:tcBorders/>
            <w:shd w:fill="CCEEFF" w:val="clear"/>
            <w:vAlign w:val="bottom"/>
          </w:tcPr>
          <w:p>
            <w:pPr>
              <w:pStyle w:val="TableContents"/>
              <w:spacing w:before="0" w:after="283"/>
              <w:jc w:val="right"/>
              <w:rPr/>
            </w:pPr>
            <w:r>
              <w:rPr/>
              <w:t>$(0.7</w:t>
            </w:r>
          </w:p>
        </w:tc>
        <w:tc>
          <w:tcPr>
            <w:tcW w:w="264" w:type="dxa"/>
            <w:tcBorders/>
            <w:shd w:fill="CCEEFF" w:val="clear"/>
            <w:vAlign w:val="bottom"/>
          </w:tcPr>
          <w:p>
            <w:pPr>
              <w:pStyle w:val="TableContents"/>
              <w:spacing w:before="0" w:after="283"/>
              <w:rPr/>
            </w:pPr>
            <w:r>
              <w:rPr/>
              <w:t>)</w:t>
            </w:r>
          </w:p>
        </w:tc>
        <w:tc>
          <w:tcPr>
            <w:tcW w:w="25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283"/>
              <w:jc w:val="right"/>
              <w:rPr/>
            </w:pPr>
            <w:r>
              <w:rPr/>
              <w:t>$(3.6</w:t>
            </w:r>
          </w:p>
        </w:tc>
        <w:tc>
          <w:tcPr>
            <w:tcW w:w="120" w:type="dxa"/>
            <w:tcBorders/>
            <w:shd w:fill="CCEEFF" w:val="clear"/>
            <w:vAlign w:val="bottom"/>
          </w:tcPr>
          <w:p>
            <w:pPr>
              <w:pStyle w:val="TableContents"/>
              <w:spacing w:before="0" w:after="283"/>
              <w:rPr/>
            </w:pPr>
            <w:r>
              <w:rPr/>
              <w:t>)</w:t>
            </w:r>
          </w:p>
        </w:tc>
      </w:tr>
      <w:tr>
        <w:trPr/>
        <w:tc>
          <w:tcPr>
            <w:tcW w:w="1921" w:type="dxa"/>
            <w:tcBorders/>
            <w:shd w:fill="auto" w:val="clear"/>
            <w:vAlign w:val="bottom"/>
          </w:tcPr>
          <w:p>
            <w:pPr>
              <w:pStyle w:val="TableContents"/>
              <w:spacing w:before="0" w:after="0"/>
              <w:ind w:left="225" w:right="0" w:hanging="225"/>
              <w:rPr/>
            </w:pPr>
            <w:r>
              <w:rPr/>
              <w:t>Ineffective portion of cash flow hedges</w:t>
            </w:r>
          </w:p>
        </w:tc>
        <w:tc>
          <w:tcPr>
            <w:tcW w:w="16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610" w:type="dxa"/>
            <w:tcBorders/>
            <w:shd w:fill="auto" w:val="clear"/>
            <w:vAlign w:val="bottom"/>
          </w:tcPr>
          <w:p>
            <w:pPr>
              <w:pStyle w:val="TableContents"/>
              <w:spacing w:before="0" w:after="283"/>
              <w:jc w:val="right"/>
              <w:rPr/>
            </w:pPr>
            <w:r>
              <w:rPr/>
              <w:t>(0.8</w:t>
            </w:r>
          </w:p>
        </w:tc>
        <w:tc>
          <w:tcPr>
            <w:tcW w:w="275" w:type="dxa"/>
            <w:tcBorders/>
            <w:shd w:fill="auto" w:val="clear"/>
            <w:vAlign w:val="bottom"/>
          </w:tcPr>
          <w:p>
            <w:pPr>
              <w:pStyle w:val="TableContents"/>
              <w:spacing w:before="0" w:after="283"/>
              <w:rPr/>
            </w:pPr>
            <w:r>
              <w:rPr/>
              <w:t>)</w:t>
            </w:r>
          </w:p>
        </w:tc>
        <w:tc>
          <w:tcPr>
            <w:tcW w:w="26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0.4</w:t>
            </w:r>
          </w:p>
        </w:tc>
        <w:tc>
          <w:tcPr>
            <w:tcW w:w="1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1425" w:type="dxa"/>
            <w:tcBorders/>
            <w:shd w:fill="auto" w:val="clear"/>
            <w:vAlign w:val="bottom"/>
          </w:tcPr>
          <w:p>
            <w:pPr>
              <w:pStyle w:val="TableContents"/>
              <w:spacing w:before="0" w:after="283"/>
              <w:jc w:val="right"/>
              <w:rPr/>
            </w:pPr>
            <w:r>
              <w:rPr/>
              <w:t>(1.4</w:t>
            </w:r>
          </w:p>
        </w:tc>
        <w:tc>
          <w:tcPr>
            <w:tcW w:w="264"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283"/>
              <w:jc w:val="right"/>
              <w:rPr/>
            </w:pPr>
            <w:r>
              <w:rPr/>
              <w:t>0.5</w:t>
            </w:r>
          </w:p>
        </w:tc>
        <w:tc>
          <w:tcPr>
            <w:tcW w:w="120" w:type="dxa"/>
            <w:tcBorders/>
            <w:shd w:fill="auto" w:val="clear"/>
            <w:vAlign w:val="bottom"/>
          </w:tcPr>
          <w:p>
            <w:pPr>
              <w:pStyle w:val="TableContents"/>
              <w:spacing w:before="0" w:after="283"/>
              <w:rPr/>
            </w:pPr>
            <w:r>
              <w:rPr/>
              <w:t> </w:t>
            </w:r>
          </w:p>
        </w:tc>
      </w:tr>
      <w:tr>
        <w:trPr/>
        <w:tc>
          <w:tcPr>
            <w:tcW w:w="1921" w:type="dxa"/>
            <w:tcBorders/>
            <w:shd w:fill="auto" w:val="clear"/>
            <w:vAlign w:val="center"/>
          </w:tcPr>
          <w:p>
            <w:pPr>
              <w:pStyle w:val="TableContents"/>
              <w:spacing w:before="0" w:after="0"/>
              <w:ind w:left="225" w:right="0" w:hanging="225"/>
              <w:rPr/>
            </w:pPr>
            <w:r>
              <w:rPr/>
              <w:t> </w:t>
            </w:r>
          </w:p>
        </w:tc>
        <w:tc>
          <w:tcPr>
            <w:tcW w:w="162" w:type="dxa"/>
            <w:tcBorders/>
            <w:shd w:fill="auto" w:val="clear"/>
            <w:vAlign w:val="center"/>
          </w:tcPr>
          <w:p>
            <w:pPr>
              <w:pStyle w:val="TableContents"/>
              <w:spacing w:before="0" w:after="283"/>
              <w:rPr/>
            </w:pPr>
            <w:r>
              <w:rPr/>
              <w:t> </w:t>
            </w:r>
          </w:p>
        </w:tc>
        <w:tc>
          <w:tcPr>
            <w:tcW w:w="17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6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6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1921" w:type="dxa"/>
            <w:tcBorders/>
            <w:shd w:fill="CCEEFF" w:val="clear"/>
            <w:vAlign w:val="bottom"/>
          </w:tcPr>
          <w:p>
            <w:pPr>
              <w:pStyle w:val="TableContents"/>
              <w:spacing w:before="0" w:after="0"/>
              <w:ind w:left="225" w:right="0" w:hanging="225"/>
              <w:rPr/>
            </w:pPr>
            <w:r>
              <w:rPr/>
              <w:t>Total</w:t>
            </w:r>
          </w:p>
        </w:tc>
        <w:tc>
          <w:tcPr>
            <w:tcW w:w="162"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610" w:type="dxa"/>
            <w:tcBorders/>
            <w:shd w:fill="CCEEFF" w:val="clear"/>
            <w:vAlign w:val="bottom"/>
          </w:tcPr>
          <w:p>
            <w:pPr>
              <w:pStyle w:val="TableContents"/>
              <w:spacing w:before="0" w:after="283"/>
              <w:jc w:val="right"/>
              <w:rPr/>
            </w:pPr>
            <w:r>
              <w:rPr/>
              <w:t>$14.9</w:t>
            </w:r>
          </w:p>
        </w:tc>
        <w:tc>
          <w:tcPr>
            <w:tcW w:w="275"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491" w:type="dxa"/>
            <w:tcBorders/>
            <w:shd w:fill="CCEEFF" w:val="clear"/>
            <w:vAlign w:val="bottom"/>
          </w:tcPr>
          <w:p>
            <w:pPr>
              <w:pStyle w:val="TableContents"/>
              <w:spacing w:before="0" w:after="283"/>
              <w:jc w:val="right"/>
              <w:rPr/>
            </w:pPr>
            <w:r>
              <w:rPr/>
              <w:t>$(2.4</w:t>
            </w:r>
          </w:p>
        </w:tc>
        <w:tc>
          <w:tcPr>
            <w:tcW w:w="110" w:type="dxa"/>
            <w:tcBorders/>
            <w:shd w:fill="CCEEFF" w:val="clear"/>
            <w:vAlign w:val="bottom"/>
          </w:tcPr>
          <w:p>
            <w:pPr>
              <w:pStyle w:val="TableContents"/>
              <w:spacing w:before="0" w:after="283"/>
              <w:rPr/>
            </w:pPr>
            <w:r>
              <w:rPr/>
              <w:t>)</w:t>
            </w:r>
          </w:p>
        </w:tc>
        <w:tc>
          <w:tcPr>
            <w:tcW w:w="162"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1425" w:type="dxa"/>
            <w:tcBorders/>
            <w:shd w:fill="CCEEFF" w:val="clear"/>
            <w:vAlign w:val="bottom"/>
          </w:tcPr>
          <w:p>
            <w:pPr>
              <w:pStyle w:val="TableContents"/>
              <w:spacing w:before="0" w:after="283"/>
              <w:jc w:val="right"/>
              <w:rPr/>
            </w:pPr>
            <w:r>
              <w:rPr/>
              <w:t>$(2.1</w:t>
            </w:r>
          </w:p>
        </w:tc>
        <w:tc>
          <w:tcPr>
            <w:tcW w:w="264" w:type="dxa"/>
            <w:tcBorders/>
            <w:shd w:fill="CCEEFF" w:val="clear"/>
            <w:vAlign w:val="bottom"/>
          </w:tcPr>
          <w:p>
            <w:pPr>
              <w:pStyle w:val="TableContents"/>
              <w:spacing w:before="0" w:after="283"/>
              <w:rPr/>
            </w:pPr>
            <w:r>
              <w:rPr/>
              <w:t>)</w:t>
            </w:r>
          </w:p>
        </w:tc>
        <w:tc>
          <w:tcPr>
            <w:tcW w:w="25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283"/>
              <w:jc w:val="right"/>
              <w:rPr/>
            </w:pPr>
            <w:r>
              <w:rPr/>
              <w:t>$(3.1</w:t>
            </w:r>
          </w:p>
        </w:tc>
        <w:tc>
          <w:tcPr>
            <w:tcW w:w="120" w:type="dxa"/>
            <w:tcBorders/>
            <w:shd w:fill="CCEEFF" w:val="clear"/>
            <w:vAlign w:val="bottom"/>
          </w:tcPr>
          <w:p>
            <w:pPr>
              <w:pStyle w:val="TableContents"/>
              <w:spacing w:before="0" w:after="283"/>
              <w:rPr/>
            </w:pPr>
            <w:r>
              <w:rPr/>
              <w:t>)</w:t>
            </w:r>
          </w:p>
        </w:tc>
      </w:tr>
      <w:tr>
        <w:trPr/>
        <w:tc>
          <w:tcPr>
            <w:tcW w:w="1921" w:type="dxa"/>
            <w:tcBorders/>
            <w:shd w:fill="auto" w:val="clear"/>
            <w:vAlign w:val="center"/>
          </w:tcPr>
          <w:p>
            <w:pPr>
              <w:pStyle w:val="TableContents"/>
              <w:spacing w:before="0" w:after="0"/>
              <w:ind w:left="225" w:right="0" w:hanging="225"/>
              <w:rPr/>
            </w:pPr>
            <w:r>
              <w:rPr/>
              <w:t> </w:t>
            </w:r>
          </w:p>
        </w:tc>
        <w:tc>
          <w:tcPr>
            <w:tcW w:w="162" w:type="dxa"/>
            <w:tcBorders/>
            <w:shd w:fill="auto" w:val="clear"/>
            <w:vAlign w:val="center"/>
          </w:tcPr>
          <w:p>
            <w:pPr>
              <w:pStyle w:val="TableContents"/>
              <w:spacing w:before="0" w:after="283"/>
              <w:rPr/>
            </w:pPr>
            <w:r>
              <w:rPr/>
              <w:t> </w:t>
            </w:r>
          </w:p>
        </w:tc>
        <w:tc>
          <w:tcPr>
            <w:tcW w:w="17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6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4"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6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Derivatives that do not qualify for hedge accounting consist of (i) derivatives that are an effective element of our risk management strategy but are not consistently effective to qualify for hedge accounting pursuant to SFAS No. 133, Accounting For Derivative Instruments and Hedging Activities, as amended (SFAS 133) and (ii) certain transactions that have not been designated as hedges. </w:t>
      </w:r>
    </w:p>
    <w:p>
      <w:pPr>
        <w:pStyle w:val="TextBody"/>
        <w:spacing w:before="120" w:after="283"/>
        <w:jc w:val="left"/>
        <w:rPr/>
      </w:pPr>
      <w:r>
        <w:rPr/>
        <w:t>     </w:t>
      </w:r>
      <w:r>
        <w:rPr>
          <w:rFonts w:ascii="Times New Roman;Times;serif" w:hAnsi="Times New Roman;Times;serif"/>
          <w:sz w:val="17"/>
        </w:rPr>
        <w:t xml:space="preserve">The following table summarizes the net assets and liabilities on our condensed consolidated balance sheet that are related to the fair value of our open derivative positions (in millions):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6412"/>
        <w:gridCol w:w="426"/>
        <w:gridCol w:w="217"/>
        <w:gridCol w:w="900"/>
        <w:gridCol w:w="147"/>
        <w:gridCol w:w="426"/>
        <w:gridCol w:w="303"/>
        <w:gridCol w:w="1220"/>
        <w:gridCol w:w="154"/>
      </w:tblGrid>
      <w:tr>
        <w:trPr/>
        <w:tc>
          <w:tcPr>
            <w:tcW w:w="6412"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6412"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283"/>
              <w:jc w:val="center"/>
              <w:rPr>
                <w:b/>
              </w:rPr>
            </w:pPr>
            <w:r>
              <w:rPr>
                <w:b/>
              </w:rPr>
              <w:t>June 30,</w:t>
            </w:r>
          </w:p>
        </w:tc>
        <w:tc>
          <w:tcPr>
            <w:tcW w:w="14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283"/>
              <w:jc w:val="center"/>
              <w:rPr>
                <w:b/>
              </w:rPr>
            </w:pPr>
            <w:r>
              <w:rPr>
                <w:b/>
              </w:rPr>
              <w:t>December 31,</w:t>
            </w:r>
          </w:p>
        </w:tc>
        <w:tc>
          <w:tcPr>
            <w:tcW w:w="154" w:type="dxa"/>
            <w:tcBorders/>
            <w:shd w:fill="auto" w:val="clear"/>
            <w:vAlign w:val="bottom"/>
          </w:tcPr>
          <w:p>
            <w:pPr>
              <w:pStyle w:val="TableContents"/>
              <w:spacing w:before="0" w:after="283"/>
              <w:rPr/>
            </w:pPr>
            <w:r>
              <w:rPr/>
              <w:t> </w:t>
            </w:r>
          </w:p>
        </w:tc>
      </w:tr>
      <w:tr>
        <w:trPr/>
        <w:tc>
          <w:tcPr>
            <w:tcW w:w="6412"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1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4" w:type="dxa"/>
            <w:tcBorders/>
            <w:shd w:fill="auto" w:val="clear"/>
            <w:vAlign w:val="bottom"/>
          </w:tcPr>
          <w:p>
            <w:pPr>
              <w:pStyle w:val="TableContents"/>
              <w:spacing w:before="0" w:after="283"/>
              <w:rPr/>
            </w:pPr>
            <w:r>
              <w:rPr/>
              <w:t> </w:t>
            </w:r>
          </w:p>
        </w:tc>
      </w:tr>
      <w:tr>
        <w:trPr/>
        <w:tc>
          <w:tcPr>
            <w:tcW w:w="6412" w:type="dxa"/>
            <w:tcBorders/>
            <w:shd w:fill="CCEEFF" w:val="clear"/>
            <w:vAlign w:val="bottom"/>
          </w:tcPr>
          <w:p>
            <w:pPr>
              <w:pStyle w:val="TableContents"/>
              <w:spacing w:before="0" w:after="0"/>
              <w:ind w:left="225" w:right="0" w:hanging="225"/>
              <w:rPr/>
            </w:pPr>
            <w:r>
              <w:rPr/>
              <w:t>Other current assets</w:t>
            </w:r>
          </w:p>
        </w:tc>
        <w:tc>
          <w:tcPr>
            <w:tcW w:w="4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38.7</w:t>
            </w:r>
          </w:p>
        </w:tc>
        <w:tc>
          <w:tcPr>
            <w:tcW w:w="14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left"/>
              <w:rPr/>
            </w:pPr>
            <w:r>
              <w:rPr/>
              <w:t>$</w:t>
            </w:r>
          </w:p>
        </w:tc>
        <w:tc>
          <w:tcPr>
            <w:tcW w:w="1220" w:type="dxa"/>
            <w:tcBorders/>
            <w:shd w:fill="CCEEFF" w:val="clear"/>
            <w:vAlign w:val="bottom"/>
          </w:tcPr>
          <w:p>
            <w:pPr>
              <w:pStyle w:val="TableContents"/>
              <w:spacing w:before="0" w:after="283"/>
              <w:jc w:val="right"/>
              <w:rPr/>
            </w:pPr>
            <w:r>
              <w:rPr/>
              <w:t>55.2</w:t>
            </w:r>
          </w:p>
        </w:tc>
        <w:tc>
          <w:tcPr>
            <w:tcW w:w="154" w:type="dxa"/>
            <w:tcBorders/>
            <w:shd w:fill="CCEEFF" w:val="clear"/>
            <w:vAlign w:val="bottom"/>
          </w:tcPr>
          <w:p>
            <w:pPr>
              <w:pStyle w:val="TableContents"/>
              <w:spacing w:before="0" w:after="283"/>
              <w:rPr/>
            </w:pPr>
            <w:r>
              <w:rPr/>
              <w:t> </w:t>
            </w:r>
          </w:p>
        </w:tc>
      </w:tr>
      <w:tr>
        <w:trPr/>
        <w:tc>
          <w:tcPr>
            <w:tcW w:w="6412" w:type="dxa"/>
            <w:tcBorders/>
            <w:shd w:fill="auto" w:val="clear"/>
            <w:vAlign w:val="bottom"/>
          </w:tcPr>
          <w:p>
            <w:pPr>
              <w:pStyle w:val="TableContents"/>
              <w:spacing w:before="0" w:after="0"/>
              <w:ind w:left="225" w:right="0" w:hanging="225"/>
              <w:rPr/>
            </w:pPr>
            <w:r>
              <w:rPr/>
              <w:t>Other long-term assets</w:t>
            </w:r>
          </w:p>
        </w:tc>
        <w:tc>
          <w:tcPr>
            <w:tcW w:w="4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6.6</w:t>
            </w:r>
          </w:p>
        </w:tc>
        <w:tc>
          <w:tcPr>
            <w:tcW w:w="14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9.0</w:t>
            </w:r>
          </w:p>
        </w:tc>
        <w:tc>
          <w:tcPr>
            <w:tcW w:w="154" w:type="dxa"/>
            <w:tcBorders/>
            <w:shd w:fill="auto" w:val="clear"/>
            <w:vAlign w:val="bottom"/>
          </w:tcPr>
          <w:p>
            <w:pPr>
              <w:pStyle w:val="TableContents"/>
              <w:spacing w:before="0" w:after="283"/>
              <w:rPr/>
            </w:pPr>
            <w:r>
              <w:rPr/>
              <w:t> </w:t>
            </w:r>
          </w:p>
        </w:tc>
      </w:tr>
      <w:tr>
        <w:trPr/>
        <w:tc>
          <w:tcPr>
            <w:tcW w:w="6412" w:type="dxa"/>
            <w:tcBorders/>
            <w:shd w:fill="CCEEFF" w:val="clear"/>
            <w:vAlign w:val="bottom"/>
          </w:tcPr>
          <w:p>
            <w:pPr>
              <w:pStyle w:val="TableContents"/>
              <w:spacing w:before="0" w:after="0"/>
              <w:ind w:left="225" w:right="0" w:hanging="225"/>
              <w:rPr/>
            </w:pPr>
            <w:r>
              <w:rPr/>
              <w:t>Other current liabilities</w:t>
            </w:r>
          </w:p>
        </w:tc>
        <w:tc>
          <w:tcPr>
            <w:tcW w:w="4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(68.2</w:t>
            </w:r>
          </w:p>
        </w:tc>
        <w:tc>
          <w:tcPr>
            <w:tcW w:w="14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283"/>
              <w:jc w:val="right"/>
              <w:rPr/>
            </w:pPr>
            <w:r>
              <w:rPr/>
              <w:t>(77.3</w:t>
            </w:r>
          </w:p>
        </w:tc>
        <w:tc>
          <w:tcPr>
            <w:tcW w:w="154" w:type="dxa"/>
            <w:tcBorders/>
            <w:shd w:fill="CCEEFF" w:val="clear"/>
            <w:vAlign w:val="bottom"/>
          </w:tcPr>
          <w:p>
            <w:pPr>
              <w:pStyle w:val="TableContents"/>
              <w:spacing w:before="0" w:after="283"/>
              <w:rPr/>
            </w:pPr>
            <w:r>
              <w:rPr/>
              <w:t>)</w:t>
            </w:r>
          </w:p>
        </w:tc>
      </w:tr>
      <w:tr>
        <w:trPr/>
        <w:tc>
          <w:tcPr>
            <w:tcW w:w="6412" w:type="dxa"/>
            <w:tcBorders/>
            <w:shd w:fill="auto" w:val="clear"/>
            <w:vAlign w:val="bottom"/>
          </w:tcPr>
          <w:p>
            <w:pPr>
              <w:pStyle w:val="TableContents"/>
              <w:spacing w:before="0" w:after="0"/>
              <w:ind w:left="225" w:right="0" w:hanging="225"/>
              <w:rPr/>
            </w:pPr>
            <w:r>
              <w:rPr/>
              <w:t>Long-term debt under credit facilities and other (fair value hedge adjustment)</w:t>
            </w:r>
          </w:p>
        </w:tc>
        <w:tc>
          <w:tcPr>
            <w:tcW w:w="4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1.4</w:t>
            </w:r>
          </w:p>
        </w:tc>
        <w:tc>
          <w:tcPr>
            <w:tcW w:w="14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jc w:val="left"/>
              <w:rPr/>
            </w:pPr>
            <w:r>
              <w:rPr/>
              <w:t> </w:t>
            </w:r>
          </w:p>
        </w:tc>
        <w:tc>
          <w:tcPr>
            <w:tcW w:w="1220" w:type="dxa"/>
            <w:tcBorders/>
            <w:shd w:fill="auto" w:val="clear"/>
            <w:vAlign w:val="bottom"/>
          </w:tcPr>
          <w:p>
            <w:pPr>
              <w:pStyle w:val="TableContents"/>
              <w:spacing w:before="0" w:after="283"/>
              <w:jc w:val="right"/>
              <w:rPr/>
            </w:pPr>
            <w:r>
              <w:rPr/>
              <w:t></w:t>
            </w:r>
          </w:p>
        </w:tc>
        <w:tc>
          <w:tcPr>
            <w:tcW w:w="154" w:type="dxa"/>
            <w:tcBorders/>
            <w:shd w:fill="auto" w:val="clear"/>
            <w:vAlign w:val="bottom"/>
          </w:tcPr>
          <w:p>
            <w:pPr>
              <w:pStyle w:val="TableContents"/>
              <w:spacing w:before="0" w:after="283"/>
              <w:rPr/>
            </w:pPr>
            <w:r>
              <w:rPr/>
              <w:t> </w:t>
            </w:r>
          </w:p>
        </w:tc>
      </w:tr>
      <w:tr>
        <w:trPr/>
        <w:tc>
          <w:tcPr>
            <w:tcW w:w="6412" w:type="dxa"/>
            <w:tcBorders/>
            <w:shd w:fill="CCEEFF" w:val="clear"/>
            <w:vAlign w:val="bottom"/>
          </w:tcPr>
          <w:p>
            <w:pPr>
              <w:pStyle w:val="TableContents"/>
              <w:spacing w:before="0" w:after="0"/>
              <w:ind w:left="225" w:right="0" w:hanging="225"/>
              <w:rPr/>
            </w:pPr>
            <w:r>
              <w:rPr/>
              <w:t>Other long-term liabilities and deferred credits</w:t>
            </w:r>
          </w:p>
        </w:tc>
        <w:tc>
          <w:tcPr>
            <w:tcW w:w="4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(26.1</w:t>
            </w:r>
          </w:p>
        </w:tc>
        <w:tc>
          <w:tcPr>
            <w:tcW w:w="14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283"/>
              <w:jc w:val="right"/>
              <w:rPr/>
            </w:pPr>
            <w:r>
              <w:rPr/>
              <w:t>(21.4</w:t>
            </w:r>
          </w:p>
        </w:tc>
        <w:tc>
          <w:tcPr>
            <w:tcW w:w="154" w:type="dxa"/>
            <w:tcBorders/>
            <w:shd w:fill="CCEEFF" w:val="clear"/>
            <w:vAlign w:val="bottom"/>
          </w:tcPr>
          <w:p>
            <w:pPr>
              <w:pStyle w:val="TableContents"/>
              <w:spacing w:before="0" w:after="283"/>
              <w:rPr/>
            </w:pPr>
            <w:r>
              <w:rPr/>
              <w:t>)</w:t>
            </w:r>
          </w:p>
        </w:tc>
      </w:tr>
      <w:tr>
        <w:trPr/>
        <w:tc>
          <w:tcPr>
            <w:tcW w:w="6412"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11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5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r>
        <w:trPr/>
        <w:tc>
          <w:tcPr>
            <w:tcW w:w="6412" w:type="dxa"/>
            <w:tcBorders/>
            <w:shd w:fill="auto" w:val="clear"/>
            <w:vAlign w:val="bottom"/>
          </w:tcPr>
          <w:p>
            <w:pPr>
              <w:pStyle w:val="TableContents"/>
              <w:spacing w:before="0" w:after="0"/>
              <w:ind w:left="225" w:right="0" w:hanging="225"/>
              <w:rPr/>
            </w:pPr>
            <w:r>
              <w:rPr/>
              <w:t>Net liability</w:t>
            </w:r>
          </w:p>
        </w:tc>
        <w:tc>
          <w:tcPr>
            <w:tcW w:w="4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(47.6</w:t>
            </w:r>
          </w:p>
        </w:tc>
        <w:tc>
          <w:tcPr>
            <w:tcW w:w="14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jc w:val="left"/>
              <w:rPr/>
            </w:pPr>
            <w:r>
              <w:rPr/>
              <w:t>$</w:t>
            </w:r>
          </w:p>
        </w:tc>
        <w:tc>
          <w:tcPr>
            <w:tcW w:w="1220" w:type="dxa"/>
            <w:tcBorders/>
            <w:shd w:fill="auto" w:val="clear"/>
            <w:vAlign w:val="bottom"/>
          </w:tcPr>
          <w:p>
            <w:pPr>
              <w:pStyle w:val="TableContents"/>
              <w:spacing w:before="0" w:after="283"/>
              <w:jc w:val="right"/>
              <w:rPr/>
            </w:pPr>
            <w:r>
              <w:rPr/>
              <w:t>(34.5</w:t>
            </w:r>
          </w:p>
        </w:tc>
        <w:tc>
          <w:tcPr>
            <w:tcW w:w="154" w:type="dxa"/>
            <w:tcBorders/>
            <w:shd w:fill="auto" w:val="clear"/>
            <w:vAlign w:val="bottom"/>
          </w:tcPr>
          <w:p>
            <w:pPr>
              <w:pStyle w:val="TableContents"/>
              <w:spacing w:before="0" w:after="283"/>
              <w:rPr/>
            </w:pPr>
            <w:r>
              <w:rPr/>
              <w:t>)</w:t>
            </w:r>
          </w:p>
        </w:tc>
      </w:tr>
      <w:tr>
        <w:trPr/>
        <w:tc>
          <w:tcPr>
            <w:tcW w:w="6412" w:type="dxa"/>
            <w:tcBorders/>
            <w:shd w:fill="auto" w:val="clear"/>
            <w:vAlign w:val="center"/>
          </w:tcPr>
          <w:p>
            <w:pPr>
              <w:pStyle w:val="TableContents"/>
              <w:spacing w:before="0" w:after="0"/>
              <w:ind w:left="225" w:right="0" w:hanging="225"/>
              <w:rPr/>
            </w:pPr>
            <w:r>
              <w:rPr/>
              <w:t> </w:t>
            </w:r>
          </w:p>
        </w:tc>
        <w:tc>
          <w:tcPr>
            <w:tcW w:w="426" w:type="dxa"/>
            <w:tcBorders/>
            <w:shd w:fill="auto" w:val="clear"/>
            <w:vAlign w:val="center"/>
          </w:tcPr>
          <w:p>
            <w:pPr>
              <w:pStyle w:val="TableContents"/>
              <w:spacing w:before="0" w:after="283"/>
              <w:rPr/>
            </w:pPr>
            <w:r>
              <w:rPr/>
              <w:t> </w:t>
            </w:r>
          </w:p>
        </w:tc>
        <w:tc>
          <w:tcPr>
            <w:tcW w:w="11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5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net liability related to the fair value of our open derivative positions consists of cumulative unrealized gains/losses recognized in earnings and cumulative unrealized gains/losses deferred to Accumulated Other Comprehensive Income (AOCI) as follows, by category (in millions, losses designated in parentheses): </w:t>
      </w:r>
    </w:p>
    <w:tbl>
      <w:tblPr>
        <w:tblW w:w="5000" w:type="pct"/>
        <w:jc w:val="center"/>
        <w:tblInd w:w="0" w:type="dxa"/>
        <w:tblCellMar>
          <w:top w:w="0" w:type="dxa"/>
          <w:left w:w="0" w:type="dxa"/>
          <w:bottom w:w="0" w:type="dxa"/>
          <w:right w:w="0" w:type="dxa"/>
        </w:tblCellMar>
      </w:tblPr>
      <w:tblGrid>
        <w:gridCol w:w="2007"/>
        <w:gridCol w:w="260"/>
        <w:gridCol w:w="283"/>
        <w:gridCol w:w="632"/>
        <w:gridCol w:w="233"/>
        <w:gridCol w:w="260"/>
        <w:gridCol w:w="288"/>
        <w:gridCol w:w="652"/>
        <w:gridCol w:w="236"/>
        <w:gridCol w:w="260"/>
        <w:gridCol w:w="254"/>
        <w:gridCol w:w="523"/>
        <w:gridCol w:w="211"/>
        <w:gridCol w:w="260"/>
        <w:gridCol w:w="283"/>
        <w:gridCol w:w="631"/>
        <w:gridCol w:w="233"/>
        <w:gridCol w:w="260"/>
        <w:gridCol w:w="288"/>
        <w:gridCol w:w="652"/>
        <w:gridCol w:w="236"/>
        <w:gridCol w:w="260"/>
        <w:gridCol w:w="254"/>
        <w:gridCol w:w="523"/>
        <w:gridCol w:w="226"/>
      </w:tblGrid>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832"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260" w:type="dxa"/>
            <w:tcBorders/>
            <w:shd w:fill="auto" w:val="clear"/>
            <w:vAlign w:val="bottom"/>
          </w:tcPr>
          <w:p>
            <w:pPr>
              <w:pStyle w:val="TableContents"/>
              <w:spacing w:before="0" w:after="283"/>
              <w:rPr/>
            </w:pPr>
            <w:r>
              <w:rPr/>
              <w:t> </w:t>
            </w:r>
          </w:p>
        </w:tc>
        <w:tc>
          <w:tcPr>
            <w:tcW w:w="384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8" w:type="dxa"/>
            <w:gridSpan w:val="3"/>
            <w:tcBorders/>
            <w:shd w:fill="auto" w:val="clear"/>
            <w:vAlign w:val="bottom"/>
          </w:tcPr>
          <w:p>
            <w:pPr>
              <w:pStyle w:val="TableContents"/>
              <w:spacing w:before="0" w:after="283"/>
              <w:jc w:val="center"/>
              <w:rPr>
                <w:b/>
              </w:rPr>
            </w:pPr>
            <w:r>
              <w:rPr>
                <w:b/>
              </w:rPr>
              <w:t>Net asset</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b/>
              </w:rPr>
            </w:pPr>
            <w:r>
              <w:rPr>
                <w:b/>
              </w:rPr>
              <w:t>Net asset</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rPr/>
            </w:pPr>
            <w:r>
              <w:rPr/>
              <w:t> </w:t>
            </w:r>
          </w:p>
        </w:tc>
        <w:tc>
          <w:tcPr>
            <w:tcW w:w="1003" w:type="dxa"/>
            <w:gridSpan w:val="3"/>
            <w:tcBorders/>
            <w:shd w:fill="auto" w:val="clear"/>
            <w:vAlign w:val="bottom"/>
          </w:tcPr>
          <w:p>
            <w:pPr>
              <w:pStyle w:val="TableContents"/>
              <w:spacing w:before="0" w:after="283"/>
              <w:jc w:val="center"/>
              <w:rPr/>
            </w:pPr>
            <w:r>
              <w:rPr/>
              <w:t> </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8" w:type="dxa"/>
            <w:gridSpan w:val="3"/>
            <w:tcBorders/>
            <w:shd w:fill="auto" w:val="clear"/>
            <w:vAlign w:val="bottom"/>
          </w:tcPr>
          <w:p>
            <w:pPr>
              <w:pStyle w:val="TableContents"/>
              <w:spacing w:before="0" w:after="283"/>
              <w:jc w:val="center"/>
              <w:rPr>
                <w:b/>
              </w:rPr>
            </w:pPr>
            <w:r>
              <w:rPr>
                <w:b/>
              </w:rPr>
              <w:t>(liability)</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b/>
              </w:rPr>
            </w:pPr>
            <w:r>
              <w:rPr>
                <w:b/>
              </w:rPr>
              <w:t>Earnings</w:t>
            </w:r>
          </w:p>
        </w:tc>
        <w:tc>
          <w:tcPr>
            <w:tcW w:w="260" w:type="dxa"/>
            <w:tcBorders/>
            <w:shd w:fill="auto" w:val="clear"/>
            <w:vAlign w:val="bottom"/>
          </w:tcPr>
          <w:p>
            <w:pPr>
              <w:pStyle w:val="TableContents"/>
              <w:spacing w:before="0" w:after="283"/>
              <w:rPr/>
            </w:pPr>
            <w:r>
              <w:rPr/>
              <w:t> </w:t>
            </w:r>
          </w:p>
        </w:tc>
        <w:tc>
          <w:tcPr>
            <w:tcW w:w="988" w:type="dxa"/>
            <w:gridSpan w:val="3"/>
            <w:tcBorders/>
            <w:shd w:fill="auto" w:val="clear"/>
            <w:vAlign w:val="bottom"/>
          </w:tcPr>
          <w:p>
            <w:pPr>
              <w:pStyle w:val="TableContents"/>
              <w:spacing w:before="0" w:after="283"/>
              <w:jc w:val="center"/>
              <w:rPr>
                <w:b/>
              </w:rPr>
            </w:pPr>
            <w:r>
              <w:rPr>
                <w:b/>
              </w:rPr>
              <w:t>AOCI</w:t>
            </w:r>
          </w:p>
        </w:tc>
        <w:tc>
          <w:tcPr>
            <w:tcW w:w="260"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b/>
              </w:rPr>
            </w:pPr>
            <w:r>
              <w:rPr>
                <w:b/>
              </w:rPr>
              <w:t>(liability)</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b/>
              </w:rPr>
            </w:pPr>
            <w:r>
              <w:rPr>
                <w:b/>
              </w:rPr>
              <w:t>Earnings</w:t>
            </w:r>
          </w:p>
        </w:tc>
        <w:tc>
          <w:tcPr>
            <w:tcW w:w="260" w:type="dxa"/>
            <w:tcBorders/>
            <w:shd w:fill="auto" w:val="clear"/>
            <w:vAlign w:val="bottom"/>
          </w:tcPr>
          <w:p>
            <w:pPr>
              <w:pStyle w:val="TableContents"/>
              <w:spacing w:before="0" w:after="283"/>
              <w:rPr/>
            </w:pPr>
            <w:r>
              <w:rPr/>
              <w:t> </w:t>
            </w:r>
          </w:p>
        </w:tc>
        <w:tc>
          <w:tcPr>
            <w:tcW w:w="1003" w:type="dxa"/>
            <w:gridSpan w:val="3"/>
            <w:tcBorders/>
            <w:shd w:fill="auto" w:val="clear"/>
            <w:vAlign w:val="bottom"/>
          </w:tcPr>
          <w:p>
            <w:pPr>
              <w:pStyle w:val="TableContents"/>
              <w:spacing w:before="0" w:after="283"/>
              <w:jc w:val="center"/>
              <w:rPr>
                <w:b/>
              </w:rPr>
            </w:pPr>
            <w:r>
              <w:rPr>
                <w:b/>
              </w:rPr>
              <w:t>AOCI</w:t>
            </w:r>
          </w:p>
        </w:tc>
      </w:tr>
      <w:tr>
        <w:trPr/>
        <w:tc>
          <w:tcPr>
            <w:tcW w:w="2007" w:type="dxa"/>
            <w:tcBorders/>
            <w:shd w:fill="CCEEFF" w:val="clear"/>
            <w:vAlign w:val="bottom"/>
          </w:tcPr>
          <w:p>
            <w:pPr>
              <w:pStyle w:val="TableContents"/>
              <w:spacing w:before="0" w:after="0"/>
              <w:ind w:left="225" w:right="0" w:hanging="225"/>
              <w:rPr/>
            </w:pPr>
            <w:r>
              <w:rPr/>
              <w:t>Commodity price-risk hedging</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2" w:type="dxa"/>
            <w:tcBorders/>
            <w:shd w:fill="CCEEFF" w:val="clear"/>
            <w:vAlign w:val="bottom"/>
          </w:tcPr>
          <w:p>
            <w:pPr>
              <w:pStyle w:val="TableContents"/>
              <w:spacing w:before="0" w:after="283"/>
              <w:jc w:val="right"/>
              <w:rPr/>
            </w:pPr>
            <w:r>
              <w:rPr/>
              <w:t>(49.1</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(24.5</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(24.6</w:t>
            </w:r>
          </w:p>
        </w:tc>
        <w:tc>
          <w:tcPr>
            <w:tcW w:w="211"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1" w:type="dxa"/>
            <w:tcBorders/>
            <w:shd w:fill="CCEEFF" w:val="clear"/>
            <w:vAlign w:val="bottom"/>
          </w:tcPr>
          <w:p>
            <w:pPr>
              <w:pStyle w:val="TableContents"/>
              <w:spacing w:before="0" w:after="283"/>
              <w:jc w:val="right"/>
              <w:rPr/>
            </w:pPr>
            <w:r>
              <w:rPr/>
              <w:t>(32.5</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(18.9</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(13.6</w:t>
            </w:r>
          </w:p>
        </w:tc>
        <w:tc>
          <w:tcPr>
            <w:tcW w:w="226" w:type="dxa"/>
            <w:tcBorders/>
            <w:shd w:fill="CCEEFF" w:val="clear"/>
            <w:vAlign w:val="bottom"/>
          </w:tcPr>
          <w:p>
            <w:pPr>
              <w:pStyle w:val="TableContents"/>
              <w:spacing w:before="0" w:after="283"/>
              <w:rPr/>
            </w:pPr>
            <w:r>
              <w:rPr/>
              <w:t>)</w:t>
            </w:r>
          </w:p>
        </w:tc>
      </w:tr>
      <w:tr>
        <w:trPr/>
        <w:tc>
          <w:tcPr>
            <w:tcW w:w="2007" w:type="dxa"/>
            <w:tcBorders/>
            <w:shd w:fill="auto" w:val="clear"/>
            <w:vAlign w:val="bottom"/>
          </w:tcPr>
          <w:p>
            <w:pPr>
              <w:pStyle w:val="TableContents"/>
              <w:spacing w:before="0" w:after="0"/>
              <w:ind w:left="225" w:right="0" w:hanging="225"/>
              <w:rPr/>
            </w:pPr>
            <w:r>
              <w:rPr/>
              <w:t>Controlled trading program</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r>
      <w:tr>
        <w:trPr/>
        <w:tc>
          <w:tcPr>
            <w:tcW w:w="2007" w:type="dxa"/>
            <w:tcBorders/>
            <w:shd w:fill="CCEEFF" w:val="clear"/>
            <w:vAlign w:val="bottom"/>
          </w:tcPr>
          <w:p>
            <w:pPr>
              <w:pStyle w:val="TableContents"/>
              <w:spacing w:before="0" w:after="0"/>
              <w:ind w:left="225" w:right="0" w:hanging="225"/>
              <w:rPr/>
            </w:pPr>
            <w:r>
              <w:rPr/>
              <w:t>Interest rate risk hedging(1)</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 </w:t>
            </w:r>
          </w:p>
        </w:tc>
        <w:tc>
          <w:tcPr>
            <w:tcW w:w="632" w:type="dxa"/>
            <w:tcBorders/>
            <w:shd w:fill="CCEEFF" w:val="clear"/>
            <w:vAlign w:val="bottom"/>
          </w:tcPr>
          <w:p>
            <w:pPr>
              <w:pStyle w:val="TableContents"/>
              <w:spacing w:before="0" w:after="283"/>
              <w:jc w:val="right"/>
              <w:rPr/>
            </w:pPr>
            <w:r>
              <w:rPr/>
              <w:t>(0.3</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 </w:t>
            </w:r>
          </w:p>
        </w:tc>
        <w:tc>
          <w:tcPr>
            <w:tcW w:w="652" w:type="dxa"/>
            <w:tcBorders/>
            <w:shd w:fill="CCEEFF" w:val="clear"/>
            <w:vAlign w:val="bottom"/>
          </w:tcPr>
          <w:p>
            <w:pPr>
              <w:pStyle w:val="TableContents"/>
              <w:spacing w:before="0" w:after="283"/>
              <w:jc w:val="right"/>
              <w:rPr/>
            </w:pPr>
            <w:r>
              <w:rPr/>
              <w:t>(0.3</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21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w:t>
            </w:r>
          </w:p>
        </w:tc>
        <w:tc>
          <w:tcPr>
            <w:tcW w:w="236"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r>
      <w:tr>
        <w:trPr/>
        <w:tc>
          <w:tcPr>
            <w:tcW w:w="2007" w:type="dxa"/>
            <w:tcBorders/>
            <w:shd w:fill="auto" w:val="clear"/>
            <w:vAlign w:val="bottom"/>
          </w:tcPr>
          <w:p>
            <w:pPr>
              <w:pStyle w:val="TableContents"/>
              <w:spacing w:before="0" w:after="0"/>
              <w:ind w:left="225" w:right="0" w:hanging="225"/>
              <w:rPr/>
            </w:pPr>
            <w:r>
              <w:rPr/>
              <w:t>Currency exchange rate risk hedging</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1.8</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1.8</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631" w:type="dxa"/>
            <w:tcBorders/>
            <w:shd w:fill="auto" w:val="clear"/>
            <w:vAlign w:val="bottom"/>
          </w:tcPr>
          <w:p>
            <w:pPr>
              <w:pStyle w:val="TableContents"/>
              <w:spacing w:before="0" w:after="283"/>
              <w:jc w:val="right"/>
              <w:rPr/>
            </w:pPr>
            <w:r>
              <w:rPr/>
              <w:t>(2.0</w:t>
            </w:r>
          </w:p>
        </w:tc>
        <w:tc>
          <w:tcPr>
            <w:tcW w:w="233"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right"/>
              <w:rPr/>
            </w:pPr>
            <w:r>
              <w:rPr/>
              <w:t> </w:t>
            </w:r>
          </w:p>
        </w:tc>
        <w:tc>
          <w:tcPr>
            <w:tcW w:w="652" w:type="dxa"/>
            <w:tcBorders/>
            <w:shd w:fill="auto" w:val="clear"/>
            <w:vAlign w:val="bottom"/>
          </w:tcPr>
          <w:p>
            <w:pPr>
              <w:pStyle w:val="TableContents"/>
              <w:spacing w:before="0" w:after="283"/>
              <w:jc w:val="right"/>
              <w:rPr/>
            </w:pPr>
            <w:r>
              <w:rPr/>
              <w:t>(2.0</w:t>
            </w:r>
          </w:p>
        </w:tc>
        <w:tc>
          <w:tcPr>
            <w:tcW w:w="236"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r>
      <w:tr>
        <w:trPr/>
        <w:tc>
          <w:tcPr>
            <w:tcW w:w="2007"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832"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rPr/>
            </w:pPr>
            <w:r>
              <w:rPr/>
              <w:t> </w:t>
            </w:r>
          </w:p>
        </w:tc>
        <w:tc>
          <w:tcPr>
            <w:tcW w:w="3846"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07" w:type="dxa"/>
            <w:tcBorders/>
            <w:shd w:fill="CCEEFF" w:val="clear"/>
            <w:vAlign w:val="bottom"/>
          </w:tcPr>
          <w:p>
            <w:pPr>
              <w:pStyle w:val="TableContents"/>
              <w:spacing w:before="0" w:after="0"/>
              <w:ind w:left="225" w:right="0" w:hanging="225"/>
              <w:rPr/>
            </w:pPr>
            <w:r>
              <w:rPr/>
              <w:t> </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2" w:type="dxa"/>
            <w:tcBorders/>
            <w:shd w:fill="CCEEFF" w:val="clear"/>
            <w:vAlign w:val="bottom"/>
          </w:tcPr>
          <w:p>
            <w:pPr>
              <w:pStyle w:val="TableContents"/>
              <w:spacing w:before="0" w:after="283"/>
              <w:jc w:val="right"/>
              <w:rPr/>
            </w:pPr>
            <w:r>
              <w:rPr/>
              <w:t>(47.6</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(23.0</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(24.6</w:t>
            </w:r>
          </w:p>
        </w:tc>
        <w:tc>
          <w:tcPr>
            <w:tcW w:w="211"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1" w:type="dxa"/>
            <w:tcBorders/>
            <w:shd w:fill="CCEEFF" w:val="clear"/>
            <w:vAlign w:val="bottom"/>
          </w:tcPr>
          <w:p>
            <w:pPr>
              <w:pStyle w:val="TableContents"/>
              <w:spacing w:before="0" w:after="283"/>
              <w:jc w:val="right"/>
              <w:rPr/>
            </w:pPr>
            <w:r>
              <w:rPr/>
              <w:t>(34.5</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(20.9</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(13.6</w:t>
            </w:r>
          </w:p>
        </w:tc>
        <w:tc>
          <w:tcPr>
            <w:tcW w:w="226" w:type="dxa"/>
            <w:tcBorders/>
            <w:shd w:fill="CCEEFF" w:val="clear"/>
            <w:vAlign w:val="bottom"/>
          </w:tcPr>
          <w:p>
            <w:pPr>
              <w:pStyle w:val="TableContents"/>
              <w:spacing w:before="0" w:after="283"/>
              <w:rPr/>
            </w:pPr>
            <w:r>
              <w:rPr/>
              <w:t>)</w:t>
            </w:r>
          </w:p>
        </w:tc>
      </w:tr>
      <w:tr>
        <w:trPr/>
        <w:tc>
          <w:tcPr>
            <w:tcW w:w="2007"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832"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rPr/>
            </w:pPr>
            <w:r>
              <w:rPr/>
              <w:t> </w:t>
            </w:r>
          </w:p>
        </w:tc>
        <w:tc>
          <w:tcPr>
            <w:tcW w:w="3846"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90"/>
        <w:gridCol w:w="2149"/>
        <w:gridCol w:w="1566"/>
      </w:tblGrid>
      <w:tr>
        <w:trPr/>
        <w:tc>
          <w:tcPr>
            <w:tcW w:w="6490"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90" w:type="dxa"/>
            <w:tcBorders/>
            <w:shd w:fill="auto" w:val="clear"/>
          </w:tcPr>
          <w:p>
            <w:pPr>
              <w:pStyle w:val="TableContents"/>
              <w:spacing w:before="0" w:after="283"/>
              <w:jc w:val="left"/>
              <w:rPr/>
            </w:pPr>
            <w:r>
              <w:rPr/>
              <w:t>(1)</w:t>
            </w:r>
          </w:p>
        </w:tc>
        <w:tc>
          <w:tcPr>
            <w:tcW w:w="2149"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pPr>
            <w:r>
              <w:rPr/>
              <w:t>Amounts are presented on a net basis and include both the net asset/(liability) related to our interest rate swaps and the fair value adjustment related to the underlying debt.</w:t>
            </w:r>
          </w:p>
        </w:tc>
      </w:tr>
    </w:tbl>
    <w:p>
      <w:pPr>
        <w:pStyle w:val="TextBody"/>
        <w:spacing w:before="120" w:after="283"/>
        <w:jc w:val="left"/>
        <w:rPr/>
      </w:pPr>
      <w:r>
        <w:rPr/>
        <w:t>     </w:t>
      </w:r>
      <w:r>
        <w:rPr>
          <w:rFonts w:ascii="Times New Roman;Times;serif" w:hAnsi="Times New Roman;Times;serif"/>
          <w:sz w:val="17"/>
        </w:rPr>
        <w:t xml:space="preserve">In addition to the $24.6 million of unrealized losses deferred to AOCI for open derivative positions, AOCI also includes a deferred loss of approximately $5.9 million that relates to terminated interest rate swaps that were cash settled in connection with the refinancing of debt agreements over the past five years. The deferred loss related to these instruments is being amortized to interest expense over the original terms of the terminated instruments. </w:t>
      </w:r>
    </w:p>
    <w:p>
      <w:pPr>
        <w:pStyle w:val="TextBody"/>
        <w:spacing w:before="120" w:after="283"/>
        <w:jc w:val="left"/>
        <w:rPr/>
      </w:pPr>
      <w:r>
        <w:rPr/>
        <w:t>     </w:t>
      </w:r>
      <w:r>
        <w:rPr>
          <w:rFonts w:ascii="Times New Roman;Times;serif" w:hAnsi="Times New Roman;Times;serif"/>
          <w:sz w:val="17"/>
        </w:rPr>
        <w:t xml:space="preserve">The total amount of deferred net losses recorded in AOCI is expected to be reclassified to future earnings, contemporaneously with the related physical purchase or delivery of the underlying commodity or payments of interest. Of the total net loss deferred in AOCI at June 30, 2007, a net loss of $25.3 million will be reclassified into earnings in the next twelve months. The remaining net loss will be reclassified at various intervals (ending in 2016 for amounts related to our terminated interest rate swaps and 2008 for amounts related to our commodity price-risk hedging). Because a portion of these amounts is based on market prices at the current period end, actual amounts to be reclassified will differ and could vary materially as a result of changes in market conditions. During the three and six months ended June 30, 2007, no amounts were reclassified to earnings from AOCI in connection with forecasted transactions that were no longer considered probable of occurring.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10Related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Crude Oil Purchases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Until August 12, 2005, Vulcan Energy owned 100% of Calumet Florida L.L.C. (Calumet). Until May 24, 2007, Calumet was owned by Vulcan Resources Florida, Inc., the majority of which is owned by Paul G. Allen. On May 24, 2007, Calumet was sold and ceased to be related to Vulcan. In the period from April 1, 2007, until the date that Calumet was sold, we purchased crude oil from Calumet for approximately $5.9 million and in the period from January 1, 2007 until the date that Calumet was sold, we purchased crude oil from Calumet for approximately $17.2 million. In the second quarter and the first six months of 2006, we purchased crude oil from Calumet for approximately $11.3 million and $22.6 million, respectively.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Gas Hedges</w:t>
      </w:r>
    </w:p>
    <w:p>
      <w:pPr>
        <w:pStyle w:val="TextBody"/>
        <w:spacing w:before="120" w:after="283"/>
        <w:jc w:val="left"/>
        <w:rPr/>
      </w:pPr>
      <w:r>
        <w:rPr/>
        <w:t>     </w:t>
      </w:r>
      <w:r>
        <w:rPr>
          <w:rFonts w:ascii="Times New Roman;Times;serif" w:hAnsi="Times New Roman;Times;serif"/>
          <w:sz w:val="17"/>
        </w:rPr>
        <w:t xml:space="preserve">PAA/Vulcan is developing a natural gas storage facility through its wholly owned subsidiary, Pine Prairie Energy Center, LLC (Pine Prairie). Proper functioning of the Pine Prairie storage caverns will require a minimum operating inventory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contained in the caverns at all times (referred to as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2008, 2009 and 2010. We recorded deferred revenue for receipt of a one-time fee of approximately $1 million for our services to own and manage the hedge positions and to deliver the natural gas.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11Income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U.S. and Canadian subsidiaries are not taxable entities in the U.S. and are not subject to U.S. federal or state income taxes because the tax effect of operations is passed through to our unitholders. However, certain of our Canadian subsidiaries are taxable entities in Canada and are subject to Canadian federal and provincial income taxes. Our provision for income taxes for the three and six months ended June 30, 2007 reflects these Canadian federal and provincial taxes in addition to tax obligations under the Texas Margin Tax described below. </w:t>
      </w:r>
    </w:p>
    <w:p>
      <w:pPr>
        <w:pStyle w:val="TextBody"/>
        <w:spacing w:before="120" w:after="283"/>
        <w:jc w:val="left"/>
        <w:rPr/>
      </w:pPr>
      <w:r>
        <w:rPr/>
        <w:t>     </w:t>
      </w:r>
      <w:r>
        <w:rPr>
          <w:rFonts w:ascii="Times New Roman;Times;serif" w:hAnsi="Times New Roman;Times;serif"/>
          <w:sz w:val="17"/>
        </w:rPr>
        <w:t xml:space="preserve">In June 2007, Canadian legislation was passed that imposes Canadian tax on </w:t>
      </w:r>
      <w:r>
        <w:rPr>
          <w:rFonts w:ascii="Times New Roman;Times;serif" w:hAnsi="Times New Roman;Times;serif"/>
          <w:i/>
          <w:sz w:val="17"/>
        </w:rPr>
        <w:t xml:space="preserve">Specified Flow-Through Investments </w:t>
      </w:r>
      <w:r>
        <w:rPr>
          <w:rFonts w:ascii="Times New Roman;Times;serif" w:hAnsi="Times New Roman;Times;serif"/>
          <w:sz w:val="17"/>
        </w:rPr>
        <w:t xml:space="preserve">(SIFT). The legislation includes a safe harbor provision which grandfathers existing entities and delays the effective date of such legislation until 2011 subject to companies not exceeding the normal growth guidelines as defined in the legislation. Although limited guidance is currently available, we believe that it is more likely than not that our Canadian partnerships will be considered a SIFT under the legislation and thus would be subject to the tax. We are currently within the normal growth guidelines as defined in the legislation, which delays the effective date for us until 2011. In conjunction with the passage of this legislation, we have recognized a net deferred income tax provision of approximately $10.8 million during the three months ended June 30, 2007. This amount represents the estimated tax effect of temporary differences that exist at June 30, 2007 and are expected to reverse after the date that this legislation is effective for us based on the 31.5% tax rate that is expected to be in effect when these temporary differences reverse. Substantially all of this amount is related to differences between book basis and tax basis depreciation on applicable property and equipment. If and when facts and circumstances change, we will reassess our position and record adjustments as necessary. </w:t>
      </w:r>
    </w:p>
    <w:p>
      <w:pPr>
        <w:pStyle w:val="TextBody"/>
        <w:spacing w:before="120" w:after="283"/>
        <w:jc w:val="left"/>
        <w:rPr/>
      </w:pPr>
      <w:r>
        <w:rPr/>
        <w:t>     </w:t>
      </w:r>
      <w:r>
        <w:rPr>
          <w:rFonts w:ascii="Times New Roman;Times;serif" w:hAnsi="Times New Roman;Times;serif"/>
          <w:sz w:val="17"/>
        </w:rPr>
        <w:t xml:space="preserve">In May 2006, the State of Texas enacted a new business tax (the Texas Margin Tax) that replaced its franchise tax. In general, any entity that conducts business in Texas is subject to the Texas Margin Tax. The tax is assessed on Texas sourced taxable margin which is defined as the lesser of (i) 70% of total revenue or (ii) total revenue less (a) cost of goods sold or (b) compensation and benefits. </w:t>
      </w:r>
    </w:p>
    <w:p>
      <w:pPr>
        <w:pStyle w:val="TextBody"/>
        <w:spacing w:before="120" w:after="283"/>
        <w:jc w:val="left"/>
        <w:rPr/>
      </w:pPr>
      <w:r>
        <w:rPr/>
        <w:t>     </w:t>
      </w:r>
      <w:r>
        <w:rPr>
          <w:rFonts w:ascii="Times New Roman;Times;serif" w:hAnsi="Times New Roman;Times;serif"/>
          <w:sz w:val="17"/>
        </w:rPr>
        <w:t xml:space="preserve">Although the bill states that the margin tax is not an income tax, it has the characteristics of an income tax since it is determined by applying a tax rate to a base that considers both revenue and expenses. Therefore we have accounted for Texas Margin Tax as income tax expense. Texas Margin Tax is effective for returns originally due on or after January 1, 2008. For calendar year end companies such as us, the margin tax is applied to 2007 activity. </w:t>
      </w:r>
    </w:p>
    <w:p>
      <w:pPr>
        <w:pStyle w:val="TextBody"/>
        <w:spacing w:before="120" w:after="283"/>
        <w:jc w:val="left"/>
        <w:rPr/>
      </w:pPr>
      <w:r>
        <w:rPr/>
        <w:t>     </w:t>
      </w:r>
      <w:r>
        <w:rPr>
          <w:rFonts w:ascii="Times New Roman;Times;serif" w:hAnsi="Times New Roman;Times;serif"/>
          <w:sz w:val="17"/>
        </w:rPr>
        <w:t xml:space="preserve">We adopted the provisions of FASB Interpretation No. 48 Accounting for Uncertainty in Income Taxes (FIN 48), an interpretation of SFAS No. 109, on January 1, 2007. The adoption of FIN 48 had no material impact on our financial statements. We recognize interest and penalties related to uncertain tax positions in income tax expense. At June 30, 2007, we have no material assets, liabilities or accrued interest associated with uncertain tax positions. </w:t>
      </w:r>
    </w:p>
    <w:p>
      <w:pPr>
        <w:pStyle w:val="TextBody"/>
        <w:spacing w:before="120" w:after="283"/>
        <w:jc w:val="left"/>
        <w:rPr/>
      </w:pPr>
      <w:r>
        <w:rPr/>
        <w:t>     </w:t>
      </w:r>
      <w:r>
        <w:rPr>
          <w:rFonts w:ascii="Times New Roman;Times;serif" w:hAnsi="Times New Roman;Times;serif"/>
          <w:sz w:val="17"/>
        </w:rPr>
        <w:t xml:space="preserve">We file income tax returns in Canadian federal and various provincial jurisdictions. Generally, we are no longer subject to Canadian federal and provincial income tax examinations for years before 2004.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12Commitments and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Litigation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Pipeline Releases. </w:t>
      </w:r>
      <w:r>
        <w:rPr>
          <w:rFonts w:ascii="Times New Roman;Times;serif" w:hAnsi="Times New Roman;Times;serif"/>
          <w:sz w:val="17"/>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$3.0 million to $3.5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the DOJ; however, we have no indication from EPA or the DOJ of what penalties might be sought. As a result, we are unable to estimate the range of a reasonably possible loss contingency in excess of our accrual. </w:t>
      </w:r>
    </w:p>
    <w:p>
      <w:pPr>
        <w:pStyle w:val="TextBody"/>
        <w:spacing w:before="120" w:after="283"/>
        <w:jc w:val="left"/>
        <w:rPr/>
      </w:pPr>
      <w:r>
        <w:rPr/>
        <w:t>     </w:t>
      </w:r>
      <w:r>
        <w:rPr>
          <w:rFonts w:ascii="Times New Roman;Times;serif" w:hAnsi="Times New Roman;Times;serif"/>
          <w:sz w:val="17"/>
        </w:rPr>
        <w:t xml:space="preserve">On November 15, 2006, we completed the acquisition of Pacific. The following is a summary of the more significant matters that relate to Pacific, its assets or operations. </w:t>
      </w:r>
    </w:p>
    <w:p>
      <w:pPr>
        <w:pStyle w:val="TextBody"/>
        <w:spacing w:before="120" w:after="283"/>
        <w:jc w:val="left"/>
        <w:rPr/>
      </w:pPr>
      <w:r>
        <w:rPr/>
        <w:t>     </w:t>
      </w:r>
      <w:r>
        <w:rPr>
          <w:rFonts w:ascii="Times New Roman;Times;serif" w:hAnsi="Times New Roman;Times;serif"/>
          <w:i/>
          <w:sz w:val="17"/>
        </w:rPr>
        <w:t xml:space="preserve">The People of the State of California v. Pacific Pipeline System, LLC (PPS). </w:t>
      </w:r>
      <w:r>
        <w:rPr>
          <w:rFonts w:ascii="Times New Roman;Times;serif" w:hAnsi="Times New Roman;Times;serif"/>
          <w:sz w:val="17"/>
        </w:rPr>
        <w:t xml:space="preserve">In March 2005, a release of approximately 3,400 barrels of crude oil occurred on Line 63, subsequently acquired by us in the Pacific merger. The release occurred when Line 63 was severed as a result of a landslide caused by heavy rainfall in the Pyramid Lake area of Los Angeles County. Total projected emergency response, remediation and restoration costs are approximately $26 million, substantially all of which had been incurred as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June 30, 2007. We expect to incur the remaining costs before the end of 2007. We anticipate that the majority of such costs will be covered under a pre-existing PPS pollution liability insurance policy. </w:t>
      </w:r>
    </w:p>
    <w:p>
      <w:pPr>
        <w:pStyle w:val="TextBody"/>
        <w:spacing w:before="120" w:after="283"/>
        <w:jc w:val="left"/>
        <w:rPr/>
      </w:pPr>
      <w:r>
        <w:rPr/>
        <w:t>     </w:t>
      </w:r>
      <w:r>
        <w:rPr>
          <w:rFonts w:ascii="Times New Roman;Times;serif" w:hAnsi="Times New Roman;Times;serif"/>
          <w:sz w:val="17"/>
        </w:rPr>
        <w:t xml:space="preserve">In March 2006, PPS, a subsidiary acquired in the Pacific merger, was served with a four-count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if any, that can be assessed is estimated to be approximately $1.1 million in the aggregate. This amount is subject to a downward adjustment with respect to actual volumes of recovered crude oil, and the State of California has the discretion to further reduce the fine, if any, after considering other mitigating factors. Because of the uncertainty associated with these factors, the final amount of the fine that will be assessed for the strict liability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the natural resource damages amount. We believe that certain of the alleged violations are without merit and intend to defend against them, and that mitigating factors should apply. </w:t>
      </w:r>
    </w:p>
    <w:p>
      <w:pPr>
        <w:pStyle w:val="TextBody"/>
        <w:spacing w:before="120" w:after="283"/>
        <w:jc w:val="left"/>
        <w:rPr/>
      </w:pPr>
      <w:r>
        <w:rPr/>
        <w:t>     </w:t>
      </w:r>
      <w:r>
        <w:rPr>
          <w:rFonts w:ascii="Times New Roman;Times;serif" w:hAnsi="Times New Roman;Times;serif"/>
          <w:sz w:val="17"/>
        </w:rPr>
        <w:t xml:space="preserve">The EPA has referred this matter to the DOJ for the initiation of proceedings to assess civil penalties against PPS. We understand that the maximum permissible penalty, if any, that the EPA could assess under relevant statutes would be approximately $3.7 million. We believe that several mitigating circumstances and factors exist that could substantially reduce any penalty that might be imposed by the EPA, and intend to pursue discussions with the EPA regarding such mitigating circumstances and factors. Because of the uncertainty associated with these factors, the final amount of the penalty that will be assessed by the EPA cannot be ascertained. Discussions with the DOJ to resolve this matter have commenced. </w:t>
      </w:r>
    </w:p>
    <w:p>
      <w:pPr>
        <w:pStyle w:val="TextBody"/>
        <w:spacing w:before="120" w:after="283"/>
        <w:jc w:val="left"/>
        <w:rPr/>
      </w:pPr>
      <w:r>
        <w:rPr/>
        <w:t>     </w:t>
      </w:r>
      <w:r>
        <w:rPr>
          <w:rFonts w:ascii="Times New Roman;Times;serif" w:hAnsi="Times New Roman;Times;serif"/>
          <w:i/>
          <w:sz w:val="17"/>
        </w:rPr>
        <w:t>Kosseff v. Pacific Energy, et al</w:t>
      </w:r>
      <w:r>
        <w:rPr>
          <w:rFonts w:ascii="Times New Roman;Times;serif" w:hAnsi="Times New Roman;Times;serif"/>
          <w:sz w:val="17"/>
        </w:rPr>
        <w:t xml:space="preserve">, case no. BC 3544016. On June 15, 2006, a lawsuit was filed in the Superior Court of California, County of Los Angeles, in which the plaintiff alleged that he was a unitholder of Pacific and in which he sought to represent a class comprising all of Pacifics unitholders. The complaint named as defendants Pacific and certain of the officers and directors of Pacifics general partner, and asserted claims of self-dealing and breach of fiduciary duty in connection with the pending merger with us and related transactions. The plaintiff sought injunctive relief against completing the merger or, if the merger was completed, rescission of the merger, other equitable relief, and recovery of the plaintiffs costs and attorneys fees. On September 14, 2006, Pacific and the other defendants entered into a memorandum of settlement with the plaintiff to settle the lawsuit. As part of the settlement, Pacific and the other defendants denied all allegations of wrongdoing and expressed willingness to settle the lawsuit solely because the settlement would eliminate the burden and expense of further litigation. The settlement was approved by the court on June 25, 2007. The settlement did not include award of monetary damages, however, in connection with the settlement, we (as successor to Pacific) paid approximately $0.5 million to the plaintiffs counsel for their fees and expenses and incurred the cost of mailing materials to the Pacific unitholders. </w:t>
      </w:r>
    </w:p>
    <w:p>
      <w:pPr>
        <w:pStyle w:val="TextBody"/>
        <w:spacing w:before="120" w:after="283"/>
        <w:jc w:val="left"/>
        <w:rPr/>
      </w:pPr>
      <w:r>
        <w:rPr/>
        <w:t>     </w:t>
      </w:r>
      <w:r>
        <w:rPr>
          <w:rFonts w:ascii="Times New Roman;Times;serif" w:hAnsi="Times New Roman;Times;serif"/>
          <w:i/>
          <w:sz w:val="17"/>
        </w:rPr>
        <w:t xml:space="preserve">Pacific Atlantic Terminals. </w:t>
      </w:r>
      <w:r>
        <w:rPr>
          <w:rFonts w:ascii="Times New Roman;Times;serif" w:hAnsi="Times New Roman;Times;serif"/>
          <w:sz w:val="17"/>
        </w:rPr>
        <w:t xml:space="preserve">In connection with the Pacific merger, we acquired Pacific Atlantic Terminals LLC (PAT), which is now one of our subsidiaries. PAT owns crude oil and refined products terminals in northern California and in the Philadelphia metropolitan area. In the process of integrating PATs assets into our operations, we identified certain aspects of the operations at the California terminals that appeared to be out of compliance with specifications under the relevant air quality permit. We conducted a prompt review of the circumstances and self-reported the apparent historical occurrences of non-compliance to the Bay Area Air Quality Management District. We are cooperating with the Districts review of these matters. Although we are currently unable to determine the outcome of the foregoing, at this time, we do not believe it will have a material impact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Other Pacific-Legacy Matters. </w:t>
      </w:r>
      <w:r>
        <w:rPr>
          <w:rFonts w:ascii="Times New Roman;Times;serif" w:hAnsi="Times New Roman;Times;serif"/>
          <w:sz w:val="17"/>
        </w:rPr>
        <w:t xml:space="preserve">Pacific had completed a number of acquisitions that had not been fully integrated prior to the merger with Plains. Accordingly, we have and may become aware of other matters involving the assets and operations acquired in the Pacific merger as they relate to compliance with environmental and safety regulations, which matters may result in the imposition of fines and penalties. For example, we have been informed by the EPA that terminals owned by Rocky Mountain Pipeline Systems LLC, one of the subsidiaries acquired in the Pacific merger, are purportedly out of compliance with certain regulatory documentation requirements. </w:t>
      </w:r>
    </w:p>
    <w:p>
      <w:pPr>
        <w:pStyle w:val="TextBody"/>
        <w:spacing w:before="120" w:after="283"/>
        <w:jc w:val="left"/>
        <w:rPr/>
      </w:pPr>
      <w:r>
        <w:rPr/>
        <w:t>     </w:t>
      </w:r>
      <w:r>
        <w:rPr>
          <w:rFonts w:ascii="Times New Roman;Times;serif" w:hAnsi="Times New Roman;Times;serif"/>
          <w:i/>
          <w:sz w:val="17"/>
        </w:rPr>
        <w:t xml:space="preserve">General. </w:t>
      </w:r>
      <w:r>
        <w:rPr>
          <w:rFonts w:ascii="Times New Roman;Times;serif" w:hAnsi="Times New Roman;Times;serif"/>
          <w:sz w:val="17"/>
        </w:rPr>
        <w:t xml:space="preserve">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i/>
          <w:sz w:val="17"/>
        </w:rPr>
        <w:t xml:space="preserve">Environmental. </w:t>
      </w:r>
      <w:r>
        <w:rPr>
          <w:rFonts w:ascii="Times New Roman;Times;serif" w:hAnsi="Times New Roman;Times;serif"/>
          <w:sz w:val="17"/>
        </w:rPr>
        <w:t xml:space="preserve">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near-term post-acquisition period,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 Pipeline Releases above. </w:t>
      </w:r>
    </w:p>
    <w:p>
      <w:pPr>
        <w:pStyle w:val="TextBody"/>
        <w:spacing w:before="120" w:after="283"/>
        <w:jc w:val="left"/>
        <w:rPr/>
      </w:pPr>
      <w:r>
        <w:rPr/>
        <w:t>     </w:t>
      </w:r>
      <w:r>
        <w:rPr>
          <w:rFonts w:ascii="Times New Roman;Times;serif" w:hAnsi="Times New Roman;Times;serif"/>
          <w:sz w:val="17"/>
        </w:rPr>
        <w:t xml:space="preserve">At June 30, 2007, our reserve for environmental liabilities totaled approximately $36.3 million, of which $16.1 million is classified as short-term and $20.2 million is classified as long-term. At June 30, 2007, we have recorded receivables totaling approximately $8.3 million for amounts that are probable of recovery under insurance and from third parties under indemnification agreements. Although we believe our reserve is adequate, costs incurred in excess of this reserve may be higher and may potentially have a material adverse effect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Other. </w:t>
      </w:r>
      <w:r>
        <w:rPr>
          <w:rFonts w:ascii="Times New Roman;Times;serif" w:hAnsi="Times New Roman;Times;serif"/>
          <w:sz w:val="17"/>
        </w:rPr>
        <w:t xml:space="preserve">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 For example, in connection with our renewal of insurance in mid-2006, we increased our retention level for sudden and accidental pollution from $1 million to $5 million. </w:t>
      </w:r>
    </w:p>
    <w:p>
      <w:pPr>
        <w:pStyle w:val="TextBody"/>
        <w:spacing w:before="120" w:after="283"/>
        <w:jc w:val="left"/>
        <w:rPr/>
      </w:pPr>
      <w:r>
        <w:rPr/>
        <w:t>     </w:t>
      </w:r>
      <w:r>
        <w:rPr>
          <w:rFonts w:ascii="Times New Roman;Times;serif" w:hAnsi="Times New Roman;Times;serif"/>
          <w:sz w:val="17"/>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 results of operations or cash flows.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13Operating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the fourth quarter of 2006, we revised the manner in which we internally evaluate our segment performance and decide how to allocate resources to our segments. Prior period disclosures have been revised to reflect our change in segments. Our operations are conducted through three operating segments: (i) Transportation, (ii) Facilities and (iii) Marketing. </w:t>
      </w:r>
    </w:p>
    <w:p>
      <w:pPr>
        <w:pStyle w:val="TextBody"/>
        <w:spacing w:before="120" w:after="283"/>
        <w:jc w:val="left"/>
        <w:rPr/>
      </w:pPr>
      <w:r>
        <w:rPr/>
        <w:t>     </w:t>
      </w:r>
      <w:r>
        <w:rPr>
          <w:rFonts w:ascii="Times New Roman;Times;serif" w:hAnsi="Times New Roman;Times;serif"/>
          <w:sz w:val="17"/>
        </w:rPr>
        <w:t xml:space="preserve">Our chief operating decision maker evaluates segment performance based on segment profit, segment volumes, segment profit per barrel and maintenance capital. We define segment profit as revenues and equity in earnings of unconsolidated entities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We compensate for this limitation by recognizing that depreciation and amortization are largely offset by repair and maintenance costs, which lessen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construction or acquisition, are considered expansion capital expenditures, not maintenance capital. Repair and maintenance expenditures associated with existing assets that do not extend the useful life or expand the operating capacity are charged to expense as incurred. </w:t>
      </w:r>
    </w:p>
    <w:p>
      <w:pPr>
        <w:pStyle w:val="TextBody"/>
        <w:spacing w:before="120" w:after="283"/>
        <w:jc w:val="left"/>
        <w:rPr/>
      </w:pPr>
      <w:r>
        <w:rPr/>
        <w:t>     </w:t>
      </w:r>
      <w:r>
        <w:rPr>
          <w:rFonts w:ascii="Times New Roman;Times;serif" w:hAnsi="Times New Roman;Times;serif"/>
          <w:sz w:val="17"/>
        </w:rPr>
        <w:t xml:space="preserve">The following tables reflect certain financial data for each segment for the periods indicated (in millions): </w:t>
      </w:r>
    </w:p>
    <w:tbl>
      <w:tblPr>
        <w:tblW w:w="5000" w:type="pct"/>
        <w:jc w:val="center"/>
        <w:tblInd w:w="0" w:type="dxa"/>
        <w:tblCellMar>
          <w:top w:w="0" w:type="dxa"/>
          <w:left w:w="0" w:type="dxa"/>
          <w:bottom w:w="0" w:type="dxa"/>
          <w:right w:w="0" w:type="dxa"/>
        </w:tblCellMar>
      </w:tblPr>
      <w:tblGrid>
        <w:gridCol w:w="3605"/>
        <w:gridCol w:w="298"/>
        <w:gridCol w:w="317"/>
        <w:gridCol w:w="1319"/>
        <w:gridCol w:w="100"/>
        <w:gridCol w:w="298"/>
        <w:gridCol w:w="234"/>
        <w:gridCol w:w="830"/>
        <w:gridCol w:w="100"/>
        <w:gridCol w:w="298"/>
        <w:gridCol w:w="197"/>
        <w:gridCol w:w="1032"/>
        <w:gridCol w:w="130"/>
        <w:gridCol w:w="297"/>
        <w:gridCol w:w="168"/>
        <w:gridCol w:w="875"/>
        <w:gridCol w:w="107"/>
      </w:tblGrid>
      <w:tr>
        <w:trPr/>
        <w:tc>
          <w:tcPr>
            <w:tcW w:w="360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60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0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7" w:type="dxa"/>
            <w:tcBorders/>
            <w:shd w:fill="auto" w:val="clear"/>
            <w:vAlign w:val="bottom"/>
          </w:tcPr>
          <w:p>
            <w:pPr>
              <w:pStyle w:val="TableContents"/>
              <w:spacing w:before="0" w:after="283"/>
              <w:rPr/>
            </w:pPr>
            <w:r>
              <w:rPr/>
              <w:t> </w:t>
            </w:r>
          </w:p>
        </w:tc>
      </w:tr>
      <w:tr>
        <w:trPr/>
        <w:tc>
          <w:tcPr>
            <w:tcW w:w="3605" w:type="dxa"/>
            <w:tcBorders/>
            <w:shd w:fill="CCEEFF" w:val="clear"/>
            <w:vAlign w:val="bottom"/>
          </w:tcPr>
          <w:p>
            <w:pPr>
              <w:pStyle w:val="TableContents"/>
              <w:spacing w:before="0" w:after="0"/>
              <w:ind w:left="225" w:right="0" w:hanging="225"/>
              <w:rPr>
                <w:b/>
              </w:rPr>
            </w:pPr>
            <w:r>
              <w:rPr>
                <w:b/>
              </w:rPr>
              <w:t>Three Months Ended June, 2007</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3605" w:type="dxa"/>
            <w:tcBorders/>
            <w:shd w:fill="auto" w:val="clear"/>
            <w:vAlign w:val="bottom"/>
          </w:tcPr>
          <w:p>
            <w:pPr>
              <w:pStyle w:val="TableContents"/>
              <w:spacing w:before="0" w:after="0"/>
              <w:ind w:left="225" w:right="0" w:hanging="225"/>
              <w:rPr/>
            </w:pPr>
            <w:r>
              <w:rPr/>
              <w:t>Revenues:</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3605" w:type="dxa"/>
            <w:tcBorders/>
            <w:shd w:fill="CCEEFF" w:val="clear"/>
            <w:vAlign w:val="bottom"/>
          </w:tcPr>
          <w:p>
            <w:pPr>
              <w:pStyle w:val="TableContents"/>
              <w:spacing w:before="0" w:after="0"/>
              <w:ind w:left="450" w:right="0" w:hanging="225"/>
              <w:rPr/>
            </w:pPr>
            <w:r>
              <w:rPr/>
              <w:t>External Customers (1)</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108.5</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30.9</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3,778.4</w:t>
            </w:r>
          </w:p>
        </w:tc>
        <w:tc>
          <w:tcPr>
            <w:tcW w:w="13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3,917.8</w:t>
            </w:r>
          </w:p>
        </w:tc>
        <w:tc>
          <w:tcPr>
            <w:tcW w:w="107" w:type="dxa"/>
            <w:tcBorders/>
            <w:shd w:fill="CCEEFF" w:val="clear"/>
            <w:vAlign w:val="bottom"/>
          </w:tcPr>
          <w:p>
            <w:pPr>
              <w:pStyle w:val="TableContents"/>
              <w:spacing w:before="0" w:after="283"/>
              <w:rPr/>
            </w:pPr>
            <w:r>
              <w:rPr/>
              <w:t> </w:t>
            </w:r>
          </w:p>
        </w:tc>
      </w:tr>
      <w:tr>
        <w:trPr/>
        <w:tc>
          <w:tcPr>
            <w:tcW w:w="3605" w:type="dxa"/>
            <w:tcBorders/>
            <w:shd w:fill="auto" w:val="clear"/>
            <w:vAlign w:val="bottom"/>
          </w:tcPr>
          <w:p>
            <w:pPr>
              <w:pStyle w:val="TableContents"/>
              <w:spacing w:before="0" w:after="0"/>
              <w:ind w:left="450" w:right="0" w:hanging="225"/>
              <w:rPr/>
            </w:pPr>
            <w:r>
              <w:rPr/>
              <w:t>Intersegment (2)</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85.7</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23.3</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9.1</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118.1</w:t>
            </w:r>
          </w:p>
        </w:tc>
        <w:tc>
          <w:tcPr>
            <w:tcW w:w="107" w:type="dxa"/>
            <w:tcBorders/>
            <w:shd w:fill="auto"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605" w:type="dxa"/>
            <w:tcBorders/>
            <w:shd w:fill="CCEEFF" w:val="clear"/>
            <w:vAlign w:val="bottom"/>
          </w:tcPr>
          <w:p>
            <w:pPr>
              <w:pStyle w:val="TableContents"/>
              <w:spacing w:before="0" w:after="0"/>
              <w:ind w:left="675" w:right="0" w:hanging="225"/>
              <w:rPr/>
            </w:pPr>
            <w:r>
              <w:rPr/>
              <w:t>Total revenues of reportable segments</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194.2</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54.2</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3,787.5</w:t>
            </w:r>
          </w:p>
        </w:tc>
        <w:tc>
          <w:tcPr>
            <w:tcW w:w="13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4,035.9</w:t>
            </w:r>
          </w:p>
        </w:tc>
        <w:tc>
          <w:tcPr>
            <w:tcW w:w="107" w:type="dxa"/>
            <w:tcBorders/>
            <w:shd w:fill="CCEEFF"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605" w:type="dxa"/>
            <w:tcBorders/>
            <w:shd w:fill="auto" w:val="clear"/>
            <w:vAlign w:val="bottom"/>
          </w:tcPr>
          <w:p>
            <w:pPr>
              <w:pStyle w:val="TableContents"/>
              <w:spacing w:before="0" w:after="0"/>
              <w:ind w:left="225" w:right="0" w:hanging="225"/>
              <w:rPr/>
            </w:pPr>
            <w:r>
              <w:rPr/>
              <w:t>Equity earnings in unconsolidated entities</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1.2</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3.8</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5.0</w:t>
            </w:r>
          </w:p>
        </w:tc>
        <w:tc>
          <w:tcPr>
            <w:tcW w:w="107" w:type="dxa"/>
            <w:tcBorders/>
            <w:shd w:fill="auto"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605" w:type="dxa"/>
            <w:tcBorders/>
            <w:shd w:fill="CCEEFF" w:val="clear"/>
            <w:vAlign w:val="bottom"/>
          </w:tcPr>
          <w:p>
            <w:pPr>
              <w:pStyle w:val="TableContents"/>
              <w:spacing w:before="0" w:after="0"/>
              <w:ind w:left="225" w:right="0" w:hanging="225"/>
              <w:rPr/>
            </w:pPr>
            <w:r>
              <w:rPr/>
              <w:t>Segment profit (1)(3)(4)</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79.7</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28.9</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101.2</w:t>
            </w:r>
          </w:p>
        </w:tc>
        <w:tc>
          <w:tcPr>
            <w:tcW w:w="13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209.8</w:t>
            </w:r>
          </w:p>
        </w:tc>
        <w:tc>
          <w:tcPr>
            <w:tcW w:w="107" w:type="dxa"/>
            <w:tcBorders/>
            <w:shd w:fill="CCEEFF"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605" w:type="dxa"/>
            <w:tcBorders/>
            <w:shd w:fill="auto" w:val="clear"/>
            <w:vAlign w:val="bottom"/>
          </w:tcPr>
          <w:p>
            <w:pPr>
              <w:pStyle w:val="TableContents"/>
              <w:spacing w:before="0" w:after="0"/>
              <w:ind w:left="225" w:right="0" w:hanging="225"/>
              <w:rPr/>
            </w:pPr>
            <w:r>
              <w:rPr/>
              <w:t>SFAS 133 impact (1)</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15.2</w:t>
            </w:r>
          </w:p>
        </w:tc>
        <w:tc>
          <w:tcPr>
            <w:tcW w:w="13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15.2</w:t>
            </w:r>
          </w:p>
        </w:tc>
        <w:tc>
          <w:tcPr>
            <w:tcW w:w="107" w:type="dxa"/>
            <w:tcBorders/>
            <w:shd w:fill="auto"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3605" w:type="dxa"/>
            <w:tcBorders/>
            <w:shd w:fill="CCEEFF" w:val="clear"/>
            <w:vAlign w:val="bottom"/>
          </w:tcPr>
          <w:p>
            <w:pPr>
              <w:pStyle w:val="TableContents"/>
              <w:spacing w:before="0" w:after="0"/>
              <w:ind w:left="225" w:right="0" w:hanging="225"/>
              <w:rPr/>
            </w:pPr>
            <w:r>
              <w:rPr/>
              <w:t>Maintenance capital</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9.2</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2.4</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(0.7</w:t>
            </w:r>
          </w:p>
        </w:tc>
        <w:tc>
          <w:tcPr>
            <w:tcW w:w="130"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10.9</w:t>
            </w:r>
          </w:p>
        </w:tc>
        <w:tc>
          <w:tcPr>
            <w:tcW w:w="107" w:type="dxa"/>
            <w:tcBorders/>
            <w:shd w:fill="CCEEFF" w:val="clear"/>
            <w:vAlign w:val="bottom"/>
          </w:tcPr>
          <w:p>
            <w:pPr>
              <w:pStyle w:val="TableContents"/>
              <w:spacing w:before="0" w:after="283"/>
              <w:rPr/>
            </w:pPr>
            <w:r>
              <w:rPr/>
              <w:t> </w:t>
            </w:r>
          </w:p>
        </w:tc>
      </w:tr>
      <w:tr>
        <w:trPr/>
        <w:tc>
          <w:tcPr>
            <w:tcW w:w="3605"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0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86"/>
        <w:gridCol w:w="296"/>
        <w:gridCol w:w="317"/>
        <w:gridCol w:w="1320"/>
        <w:gridCol w:w="100"/>
        <w:gridCol w:w="296"/>
        <w:gridCol w:w="234"/>
        <w:gridCol w:w="829"/>
        <w:gridCol w:w="100"/>
        <w:gridCol w:w="296"/>
        <w:gridCol w:w="197"/>
        <w:gridCol w:w="1030"/>
        <w:gridCol w:w="129"/>
        <w:gridCol w:w="296"/>
        <w:gridCol w:w="168"/>
        <w:gridCol w:w="874"/>
        <w:gridCol w:w="137"/>
      </w:tblGrid>
      <w:tr>
        <w:trPr/>
        <w:tc>
          <w:tcPr>
            <w:tcW w:w="35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7" w:type="dxa"/>
            <w:tcBorders/>
            <w:shd w:fill="auto" w:val="clear"/>
            <w:vAlign w:val="bottom"/>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225" w:right="0" w:hanging="225"/>
              <w:rPr>
                <w:b/>
              </w:rPr>
            </w:pPr>
            <w:r>
              <w:rPr>
                <w:b/>
              </w:rPr>
              <w:t>Three Months Ended June, 2006</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Revenues:</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450" w:right="0" w:hanging="225"/>
              <w:rPr/>
            </w:pPr>
            <w:r>
              <w:rPr/>
              <w:t>External Customers (1)</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85.6</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9.2</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4,797.2</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4,892.0</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0"/>
              <w:ind w:left="450" w:right="0" w:hanging="225"/>
              <w:rPr/>
            </w:pPr>
            <w:r>
              <w:rPr/>
              <w:t>Intersegment (2)</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45.3</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12.2</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0.2</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57.7</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675" w:right="0" w:hanging="225"/>
              <w:rPr/>
            </w:pPr>
            <w:r>
              <w:rPr/>
              <w:t>Total revenues of reportable segments</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130.9</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21.4</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4,797.4</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4,949.7</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Equity earnings in unconsolidated entities</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0.5</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1.1</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1.6</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225" w:right="0" w:hanging="225"/>
              <w:rPr/>
            </w:pPr>
            <w:r>
              <w:rPr/>
              <w:t>Segment profit (1)(3)(4)</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53.4</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8.1</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58.0</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119.5</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SFAS 133 impact (1)</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(2.4</w:t>
            </w:r>
          </w:p>
        </w:tc>
        <w:tc>
          <w:tcPr>
            <w:tcW w:w="129" w:type="dxa"/>
            <w:tcBorders/>
            <w:shd w:fill="auto" w:val="clear"/>
            <w:vAlign w:val="bottom"/>
          </w:tcPr>
          <w:p>
            <w:pPr>
              <w:pStyle w:val="TableContents"/>
              <w:spacing w:before="0" w:after="283"/>
              <w:rPr/>
            </w:pPr>
            <w:r>
              <w:rPr/>
              <w:t>)</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(2.4</w:t>
            </w:r>
          </w:p>
        </w:tc>
        <w:tc>
          <w:tcPr>
            <w:tcW w:w="137" w:type="dxa"/>
            <w:tcBorders/>
            <w:shd w:fill="auto" w:val="clear"/>
            <w:vAlign w:val="bottom"/>
          </w:tcPr>
          <w:p>
            <w:pPr>
              <w:pStyle w:val="TableContents"/>
              <w:spacing w:before="0" w:after="283"/>
              <w:rPr/>
            </w:pPr>
            <w:r>
              <w:rPr/>
              <w:t>)</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225" w:right="0" w:hanging="225"/>
              <w:rPr/>
            </w:pPr>
            <w:r>
              <w:rPr/>
              <w:t>Maintenance capital</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3.4</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0.7</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0.3</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4.4</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86"/>
        <w:gridCol w:w="296"/>
        <w:gridCol w:w="317"/>
        <w:gridCol w:w="1320"/>
        <w:gridCol w:w="100"/>
        <w:gridCol w:w="296"/>
        <w:gridCol w:w="234"/>
        <w:gridCol w:w="829"/>
        <w:gridCol w:w="100"/>
        <w:gridCol w:w="296"/>
        <w:gridCol w:w="197"/>
        <w:gridCol w:w="1030"/>
        <w:gridCol w:w="129"/>
        <w:gridCol w:w="296"/>
        <w:gridCol w:w="168"/>
        <w:gridCol w:w="874"/>
        <w:gridCol w:w="137"/>
      </w:tblGrid>
      <w:tr>
        <w:trPr/>
        <w:tc>
          <w:tcPr>
            <w:tcW w:w="35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7" w:type="dxa"/>
            <w:tcBorders/>
            <w:shd w:fill="auto" w:val="clear"/>
            <w:vAlign w:val="bottom"/>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225" w:right="0" w:hanging="225"/>
              <w:rPr>
                <w:b/>
              </w:rPr>
            </w:pPr>
            <w:r>
              <w:rPr>
                <w:b/>
              </w:rPr>
              <w:t>Six Months Ended June 30, 2007</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Revenues:</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450" w:right="0" w:hanging="225"/>
              <w:rPr/>
            </w:pPr>
            <w:r>
              <w:rPr/>
              <w:t>External Customers (1)</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210.5</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56.5</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7,880.3</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8,147.3</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bottom"/>
          </w:tcPr>
          <w:p>
            <w:pPr>
              <w:pStyle w:val="TableContents"/>
              <w:spacing w:before="0" w:after="0"/>
              <w:ind w:left="450" w:right="0" w:hanging="225"/>
              <w:rPr/>
            </w:pPr>
            <w:r>
              <w:rPr/>
              <w:t>Intersegment (2)</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161.9</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42.8</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16.8</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221.5</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675" w:right="0" w:hanging="225"/>
              <w:rPr/>
            </w:pPr>
            <w:r>
              <w:rPr/>
              <w:t>Total revenues of reportable segments</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372.4</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99.3</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7,897.1</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8,368.8</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Equity earnings in unconsolidated entities</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2.1</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6.5</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8.6</w:t>
            </w:r>
          </w:p>
        </w:tc>
        <w:tc>
          <w:tcPr>
            <w:tcW w:w="137" w:type="dxa"/>
            <w:tcBorders/>
            <w:shd w:fill="auto"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CCEEFF" w:val="clear"/>
            <w:vAlign w:val="bottom"/>
          </w:tcPr>
          <w:p>
            <w:pPr>
              <w:pStyle w:val="TableContents"/>
              <w:spacing w:before="0" w:after="0"/>
              <w:ind w:left="225" w:right="0" w:hanging="225"/>
              <w:rPr/>
            </w:pPr>
            <w:r>
              <w:rPr/>
              <w:t>Segment profit (1)(3)(4)</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152.8</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50.8</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167.2</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370.8</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auto" w:val="clear"/>
            <w:vAlign w:val="bottom"/>
          </w:tcPr>
          <w:p>
            <w:pPr>
              <w:pStyle w:val="TableContents"/>
              <w:spacing w:before="0" w:after="0"/>
              <w:ind w:left="225" w:right="0" w:hanging="225"/>
              <w:rPr/>
            </w:pPr>
            <w:r>
              <w:rPr/>
              <w:t>SFAS 133 impact (1)</w:t>
            </w:r>
          </w:p>
        </w:tc>
        <w:tc>
          <w:tcPr>
            <w:tcW w:w="29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(1.8</w:t>
            </w:r>
          </w:p>
        </w:tc>
        <w:tc>
          <w:tcPr>
            <w:tcW w:w="129" w:type="dxa"/>
            <w:tcBorders/>
            <w:shd w:fill="auto" w:val="clear"/>
            <w:vAlign w:val="bottom"/>
          </w:tcPr>
          <w:p>
            <w:pPr>
              <w:pStyle w:val="TableContents"/>
              <w:spacing w:before="0" w:after="283"/>
              <w:rPr/>
            </w:pPr>
            <w:r>
              <w:rPr/>
              <w:t>)</w:t>
            </w:r>
          </w:p>
        </w:tc>
        <w:tc>
          <w:tcPr>
            <w:tcW w:w="29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(1.8</w:t>
            </w:r>
          </w:p>
        </w:tc>
        <w:tc>
          <w:tcPr>
            <w:tcW w:w="137" w:type="dxa"/>
            <w:tcBorders/>
            <w:shd w:fill="auto" w:val="clear"/>
            <w:vAlign w:val="bottom"/>
          </w:tcPr>
          <w:p>
            <w:pPr>
              <w:pStyle w:val="TableContents"/>
              <w:spacing w:before="0" w:after="283"/>
              <w:rPr/>
            </w:pPr>
            <w:r>
              <w:rPr/>
              <w:t>)</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c>
          <w:tcPr>
            <w:tcW w:w="829"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03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74" w:type="dxa"/>
            <w:tcBorders/>
            <w:shd w:fill="auto" w:val="clear"/>
            <w:vAlign w:val="center"/>
          </w:tcPr>
          <w:p>
            <w:pPr>
              <w:pStyle w:val="TableContents"/>
              <w:spacing w:before="0" w:after="283"/>
              <w:rPr/>
            </w:pPr>
            <w:r>
              <w:rPr/>
              <w:t> </w:t>
            </w:r>
          </w:p>
        </w:tc>
        <w:tc>
          <w:tcPr>
            <w:tcW w:w="137" w:type="dxa"/>
            <w:tcBorders/>
            <w:shd w:fill="auto" w:val="clear"/>
          </w:tcPr>
          <w:p>
            <w:pPr>
              <w:pStyle w:val="TableContents"/>
              <w:spacing w:before="0" w:after="283"/>
              <w:rPr>
                <w:sz w:val="4"/>
                <w:szCs w:val="4"/>
              </w:rPr>
            </w:pPr>
            <w:r>
              <w:rPr>
                <w:sz w:val="4"/>
                <w:szCs w:val="4"/>
              </w:rPr>
            </w:r>
          </w:p>
        </w:tc>
      </w:tr>
      <w:tr>
        <w:trPr/>
        <w:tc>
          <w:tcPr>
            <w:tcW w:w="3586" w:type="dxa"/>
            <w:tcBorders/>
            <w:shd w:fill="CCEEFF" w:val="clear"/>
            <w:vAlign w:val="bottom"/>
          </w:tcPr>
          <w:p>
            <w:pPr>
              <w:pStyle w:val="TableContents"/>
              <w:spacing w:before="0" w:after="0"/>
              <w:ind w:left="225" w:right="0" w:hanging="225"/>
              <w:rPr/>
            </w:pPr>
            <w:r>
              <w:rPr/>
              <w:t>Maintenance capital</w:t>
            </w:r>
          </w:p>
        </w:tc>
        <w:tc>
          <w:tcPr>
            <w:tcW w:w="296"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12.4</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9" w:type="dxa"/>
            <w:tcBorders/>
            <w:shd w:fill="CCEEFF" w:val="clear"/>
            <w:vAlign w:val="bottom"/>
          </w:tcPr>
          <w:p>
            <w:pPr>
              <w:pStyle w:val="TableContents"/>
              <w:spacing w:before="0" w:after="283"/>
              <w:jc w:val="right"/>
              <w:rPr/>
            </w:pPr>
            <w:r>
              <w:rPr/>
              <w:t>6.2</w:t>
            </w:r>
          </w:p>
        </w:tc>
        <w:tc>
          <w:tcPr>
            <w:tcW w:w="10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3.1</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21.7</w:t>
            </w:r>
          </w:p>
        </w:tc>
        <w:tc>
          <w:tcPr>
            <w:tcW w:w="137" w:type="dxa"/>
            <w:tcBorders/>
            <w:shd w:fill="CCEEFF" w:val="clear"/>
            <w:vAlign w:val="bottom"/>
          </w:tcPr>
          <w:p>
            <w:pPr>
              <w:pStyle w:val="TableContents"/>
              <w:spacing w:before="0" w:after="283"/>
              <w:rPr/>
            </w:pPr>
            <w:r>
              <w:rPr/>
              <w:t> </w:t>
            </w:r>
          </w:p>
        </w:tc>
      </w:tr>
      <w:tr>
        <w:trPr/>
        <w:tc>
          <w:tcPr>
            <w:tcW w:w="3586" w:type="dxa"/>
            <w:tcBorders/>
            <w:shd w:fill="auto" w:val="clear"/>
            <w:vAlign w:val="center"/>
          </w:tcPr>
          <w:p>
            <w:pPr>
              <w:pStyle w:val="TableContents"/>
              <w:spacing w:before="0" w:after="0"/>
              <w:ind w:left="225" w:right="0" w:hanging="225"/>
              <w:rPr/>
            </w:pPr>
            <w:r>
              <w:rPr/>
              <w:t> </w:t>
            </w:r>
          </w:p>
        </w:tc>
        <w:tc>
          <w:tcPr>
            <w:tcW w:w="296"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2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37"/>
        <w:gridCol w:w="291"/>
        <w:gridCol w:w="316"/>
        <w:gridCol w:w="1313"/>
        <w:gridCol w:w="98"/>
        <w:gridCol w:w="291"/>
        <w:gridCol w:w="233"/>
        <w:gridCol w:w="823"/>
        <w:gridCol w:w="98"/>
        <w:gridCol w:w="291"/>
        <w:gridCol w:w="178"/>
        <w:gridCol w:w="1043"/>
        <w:gridCol w:w="127"/>
        <w:gridCol w:w="291"/>
        <w:gridCol w:w="166"/>
        <w:gridCol w:w="970"/>
        <w:gridCol w:w="139"/>
      </w:tblGrid>
      <w:tr>
        <w:trPr/>
        <w:tc>
          <w:tcPr>
            <w:tcW w:w="353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3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0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1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9" w:type="dxa"/>
            <w:tcBorders/>
            <w:shd w:fill="auto" w:val="clear"/>
            <w:vAlign w:val="bottom"/>
          </w:tcPr>
          <w:p>
            <w:pPr>
              <w:pStyle w:val="TableContents"/>
              <w:spacing w:before="0" w:after="283"/>
              <w:rPr/>
            </w:pPr>
            <w:r>
              <w:rPr/>
              <w:t> </w:t>
            </w:r>
          </w:p>
        </w:tc>
      </w:tr>
      <w:tr>
        <w:trPr/>
        <w:tc>
          <w:tcPr>
            <w:tcW w:w="3537" w:type="dxa"/>
            <w:tcBorders/>
            <w:shd w:fill="CCEEFF" w:val="clear"/>
            <w:vAlign w:val="bottom"/>
          </w:tcPr>
          <w:p>
            <w:pPr>
              <w:pStyle w:val="TableContents"/>
              <w:spacing w:before="0" w:after="0"/>
              <w:ind w:left="225" w:right="0" w:hanging="225"/>
              <w:rPr>
                <w:b/>
              </w:rPr>
            </w:pPr>
            <w:r>
              <w:rPr>
                <w:b/>
              </w:rPr>
              <w:t>Six Months Ended June 30, 2006</w:t>
            </w:r>
          </w:p>
        </w:tc>
        <w:tc>
          <w:tcPr>
            <w:tcW w:w="291"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537" w:type="dxa"/>
            <w:tcBorders/>
            <w:shd w:fill="auto" w:val="clear"/>
            <w:vAlign w:val="bottom"/>
          </w:tcPr>
          <w:p>
            <w:pPr>
              <w:pStyle w:val="TableContents"/>
              <w:spacing w:before="0" w:after="0"/>
              <w:ind w:left="225" w:right="0" w:hanging="225"/>
              <w:rPr/>
            </w:pPr>
            <w:r>
              <w:rPr/>
              <w:t>Revenues:</w:t>
            </w:r>
          </w:p>
        </w:tc>
        <w:tc>
          <w:tcPr>
            <w:tcW w:w="29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537" w:type="dxa"/>
            <w:tcBorders/>
            <w:shd w:fill="CCEEFF" w:val="clear"/>
            <w:vAlign w:val="bottom"/>
          </w:tcPr>
          <w:p>
            <w:pPr>
              <w:pStyle w:val="TableContents"/>
              <w:spacing w:before="0" w:after="0"/>
              <w:ind w:left="450" w:right="0" w:hanging="225"/>
              <w:rPr/>
            </w:pPr>
            <w:r>
              <w:rPr/>
              <w:t>External Customers (includes buy/sell revenues of $0, $0, and $4,761.9, respectively) (1) (5)</w:t>
            </w:r>
          </w:p>
        </w:tc>
        <w:tc>
          <w:tcPr>
            <w:tcW w:w="291"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157.3</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12.5</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13,357.3</w:t>
            </w:r>
          </w:p>
        </w:tc>
        <w:tc>
          <w:tcPr>
            <w:tcW w:w="127"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13,527.1</w:t>
            </w:r>
          </w:p>
        </w:tc>
        <w:tc>
          <w:tcPr>
            <w:tcW w:w="139" w:type="dxa"/>
            <w:tcBorders/>
            <w:shd w:fill="CCEEFF" w:val="clear"/>
            <w:vAlign w:val="bottom"/>
          </w:tcPr>
          <w:p>
            <w:pPr>
              <w:pStyle w:val="TableContents"/>
              <w:spacing w:before="0" w:after="283"/>
              <w:rPr/>
            </w:pPr>
            <w:r>
              <w:rPr/>
              <w:t> </w:t>
            </w:r>
          </w:p>
        </w:tc>
      </w:tr>
      <w:tr>
        <w:trPr/>
        <w:tc>
          <w:tcPr>
            <w:tcW w:w="3537" w:type="dxa"/>
            <w:tcBorders/>
            <w:shd w:fill="auto" w:val="clear"/>
            <w:vAlign w:val="bottom"/>
          </w:tcPr>
          <w:p>
            <w:pPr>
              <w:pStyle w:val="TableContents"/>
              <w:spacing w:before="0" w:after="0"/>
              <w:ind w:left="450" w:right="0" w:hanging="225"/>
              <w:rPr/>
            </w:pPr>
            <w:r>
              <w:rPr/>
              <w:t>Intersegment (2) (5)</w:t>
            </w:r>
          </w:p>
        </w:tc>
        <w:tc>
          <w:tcPr>
            <w:tcW w:w="29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91.5</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20.8</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0.4</w:t>
            </w:r>
          </w:p>
        </w:tc>
        <w:tc>
          <w:tcPr>
            <w:tcW w:w="1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112.7</w:t>
            </w:r>
          </w:p>
        </w:tc>
        <w:tc>
          <w:tcPr>
            <w:tcW w:w="139" w:type="dxa"/>
            <w:tcBorders/>
            <w:shd w:fill="auto" w:val="clear"/>
            <w:vAlign w:val="bottom"/>
          </w:tcPr>
          <w:p>
            <w:pPr>
              <w:pStyle w:val="TableContents"/>
              <w:spacing w:before="0" w:after="283"/>
              <w:rPr/>
            </w:pPr>
            <w:r>
              <w:rPr/>
              <w:t> </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37" w:type="dxa"/>
            <w:tcBorders/>
            <w:shd w:fill="CCEEFF" w:val="clear"/>
            <w:vAlign w:val="bottom"/>
          </w:tcPr>
          <w:p>
            <w:pPr>
              <w:pStyle w:val="TableContents"/>
              <w:spacing w:before="0" w:after="0"/>
              <w:ind w:left="675" w:right="0" w:hanging="225"/>
              <w:rPr/>
            </w:pPr>
            <w:r>
              <w:rPr/>
              <w:t>Total revenues of reportable segments</w:t>
            </w:r>
          </w:p>
        </w:tc>
        <w:tc>
          <w:tcPr>
            <w:tcW w:w="291"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248.8</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33.3</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13,357.7</w:t>
            </w:r>
          </w:p>
        </w:tc>
        <w:tc>
          <w:tcPr>
            <w:tcW w:w="127"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13,639.8</w:t>
            </w:r>
          </w:p>
        </w:tc>
        <w:tc>
          <w:tcPr>
            <w:tcW w:w="139" w:type="dxa"/>
            <w:tcBorders/>
            <w:shd w:fill="CCEEFF" w:val="clear"/>
            <w:vAlign w:val="bottom"/>
          </w:tcPr>
          <w:p>
            <w:pPr>
              <w:pStyle w:val="TableContents"/>
              <w:spacing w:before="0" w:after="283"/>
              <w:rPr/>
            </w:pPr>
            <w:r>
              <w:rPr/>
              <w:t> </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37" w:type="dxa"/>
            <w:tcBorders/>
            <w:shd w:fill="auto" w:val="clear"/>
            <w:vAlign w:val="bottom"/>
          </w:tcPr>
          <w:p>
            <w:pPr>
              <w:pStyle w:val="TableContents"/>
              <w:spacing w:before="0" w:after="0"/>
              <w:ind w:left="225" w:right="0" w:hanging="225"/>
              <w:rPr/>
            </w:pPr>
            <w:r>
              <w:rPr/>
              <w:t>Equity earnings in unconsolidated entities</w:t>
            </w:r>
          </w:p>
        </w:tc>
        <w:tc>
          <w:tcPr>
            <w:tcW w:w="29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0.8</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0.9</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1.7</w:t>
            </w:r>
          </w:p>
        </w:tc>
        <w:tc>
          <w:tcPr>
            <w:tcW w:w="139" w:type="dxa"/>
            <w:tcBorders/>
            <w:shd w:fill="auto" w:val="clear"/>
            <w:vAlign w:val="bottom"/>
          </w:tcPr>
          <w:p>
            <w:pPr>
              <w:pStyle w:val="TableContents"/>
              <w:spacing w:before="0" w:after="283"/>
              <w:rPr/>
            </w:pPr>
            <w:r>
              <w:rPr/>
              <w:t> </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37" w:type="dxa"/>
            <w:tcBorders/>
            <w:shd w:fill="CCEEFF" w:val="clear"/>
            <w:vAlign w:val="bottom"/>
          </w:tcPr>
          <w:p>
            <w:pPr>
              <w:pStyle w:val="TableContents"/>
              <w:spacing w:before="0" w:after="0"/>
              <w:ind w:left="225" w:right="0" w:hanging="225"/>
              <w:rPr/>
            </w:pPr>
            <w:r>
              <w:rPr/>
              <w:t>Segment profit (1)(3)(4)</w:t>
            </w:r>
          </w:p>
        </w:tc>
        <w:tc>
          <w:tcPr>
            <w:tcW w:w="291"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91.5</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10.6</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111.1</w:t>
            </w:r>
          </w:p>
        </w:tc>
        <w:tc>
          <w:tcPr>
            <w:tcW w:w="127"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213.2</w:t>
            </w:r>
          </w:p>
        </w:tc>
        <w:tc>
          <w:tcPr>
            <w:tcW w:w="139" w:type="dxa"/>
            <w:tcBorders/>
            <w:shd w:fill="CCEEFF" w:val="clear"/>
            <w:vAlign w:val="bottom"/>
          </w:tcPr>
          <w:p>
            <w:pPr>
              <w:pStyle w:val="TableContents"/>
              <w:spacing w:before="0" w:after="283"/>
              <w:rPr/>
            </w:pPr>
            <w:r>
              <w:rPr/>
              <w:t> </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37" w:type="dxa"/>
            <w:tcBorders/>
            <w:shd w:fill="auto" w:val="clear"/>
            <w:vAlign w:val="bottom"/>
          </w:tcPr>
          <w:p>
            <w:pPr>
              <w:pStyle w:val="TableContents"/>
              <w:spacing w:before="0" w:after="0"/>
              <w:ind w:left="225" w:right="0" w:hanging="225"/>
              <w:rPr/>
            </w:pPr>
            <w:r>
              <w:rPr/>
              <w:t>SFAS 133 impact (1)</w:t>
            </w:r>
          </w:p>
        </w:tc>
        <w:tc>
          <w:tcPr>
            <w:tcW w:w="291"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(3.1</w:t>
            </w:r>
          </w:p>
        </w:tc>
        <w:tc>
          <w:tcPr>
            <w:tcW w:w="127" w:type="dxa"/>
            <w:tcBorders/>
            <w:shd w:fill="auto" w:val="clear"/>
            <w:vAlign w:val="bottom"/>
          </w:tcPr>
          <w:p>
            <w:pPr>
              <w:pStyle w:val="TableContents"/>
              <w:spacing w:before="0" w:after="283"/>
              <w:rPr/>
            </w:pPr>
            <w:r>
              <w:rPr/>
              <w:t>)</w:t>
            </w:r>
          </w:p>
        </w:tc>
        <w:tc>
          <w:tcPr>
            <w:tcW w:w="291"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(3.1</w:t>
            </w:r>
          </w:p>
        </w:tc>
        <w:tc>
          <w:tcPr>
            <w:tcW w:w="139" w:type="dxa"/>
            <w:tcBorders/>
            <w:shd w:fill="auto" w:val="clear"/>
            <w:vAlign w:val="bottom"/>
          </w:tcPr>
          <w:p>
            <w:pPr>
              <w:pStyle w:val="TableContents"/>
              <w:spacing w:before="0" w:after="283"/>
              <w:rPr/>
            </w:pPr>
            <w:r>
              <w:rPr/>
              <w:t>)</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537" w:type="dxa"/>
            <w:tcBorders/>
            <w:shd w:fill="CCEEFF" w:val="clear"/>
            <w:vAlign w:val="bottom"/>
          </w:tcPr>
          <w:p>
            <w:pPr>
              <w:pStyle w:val="TableContents"/>
              <w:spacing w:before="0" w:after="0"/>
              <w:ind w:left="225" w:right="0" w:hanging="225"/>
              <w:rPr/>
            </w:pPr>
            <w:r>
              <w:rPr/>
              <w:t>Maintenance capital</w:t>
            </w:r>
          </w:p>
        </w:tc>
        <w:tc>
          <w:tcPr>
            <w:tcW w:w="291"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6.4</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1.5</w:t>
            </w:r>
          </w:p>
        </w:tc>
        <w:tc>
          <w:tcPr>
            <w:tcW w:w="9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1.2</w:t>
            </w:r>
          </w:p>
        </w:tc>
        <w:tc>
          <w:tcPr>
            <w:tcW w:w="127"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9.1</w:t>
            </w:r>
          </w:p>
        </w:tc>
        <w:tc>
          <w:tcPr>
            <w:tcW w:w="139" w:type="dxa"/>
            <w:tcBorders/>
            <w:shd w:fill="CCEEFF" w:val="clear"/>
            <w:vAlign w:val="bottom"/>
          </w:tcPr>
          <w:p>
            <w:pPr>
              <w:pStyle w:val="TableContents"/>
              <w:spacing w:before="0" w:after="283"/>
              <w:rPr/>
            </w:pPr>
            <w:r>
              <w:rPr/>
              <w:t> </w:t>
            </w:r>
          </w:p>
        </w:tc>
      </w:tr>
      <w:tr>
        <w:trPr/>
        <w:tc>
          <w:tcPr>
            <w:tcW w:w="3537"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04"/>
        <w:gridCol w:w="2220"/>
        <w:gridCol w:w="1281"/>
      </w:tblGrid>
      <w:tr>
        <w:trPr/>
        <w:tc>
          <w:tcPr>
            <w:tcW w:w="6704"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(1)</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Amounts related to SFAS 133 are included in revenues in the marketing segment and impact marketing segment profit.</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(2)</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Intersegment sales are intended to reflect arms length transactions.</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(3)</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Marketing segment profit includes interest expense on contango purchases of $12.8 million and $13.3 million for the three months ended June 30, 2007 and 2006, respectively, and $24.5 million and $21.9 million for the six months ended June 30, 2007 and 2006, respectively.</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(4)</w:t>
            </w:r>
          </w:p>
        </w:tc>
        <w:tc>
          <w:tcPr>
            <w:tcW w:w="2220" w:type="dxa"/>
            <w:tcBorders/>
            <w:shd w:fill="auto" w:val="clear"/>
          </w:tcPr>
          <w:p>
            <w:pPr>
              <w:pStyle w:val="TableContents"/>
              <w:spacing w:before="0" w:after="283"/>
              <w:rPr/>
            </w:pPr>
            <w:r>
              <w:rPr/>
              <w:t> </w:t>
            </w:r>
          </w:p>
        </w:tc>
        <w:tc>
          <w:tcPr>
            <w:tcW w:w="1281" w:type="dxa"/>
            <w:tcBorders/>
            <w:shd w:fill="auto" w:val="clear"/>
          </w:tcPr>
          <w:p>
            <w:pPr>
              <w:pStyle w:val="TableContents"/>
              <w:spacing w:before="0" w:after="283"/>
              <w:rPr/>
            </w:pPr>
            <w:r>
              <w:rPr/>
              <w:t>The following table reconciles segment profit to consolidated income before cumulative effect of change in accounting principle (in millions):</w:t>
            </w:r>
          </w:p>
        </w:tc>
      </w:tr>
    </w:tbl>
    <w:tbl>
      <w:tblPr>
        <w:tblW w:w="5000" w:type="pct"/>
        <w:jc w:val="center"/>
        <w:tblInd w:w="0" w:type="dxa"/>
        <w:tblCellMar>
          <w:top w:w="0" w:type="dxa"/>
          <w:left w:w="0" w:type="dxa"/>
          <w:bottom w:w="0" w:type="dxa"/>
          <w:right w:w="0" w:type="dxa"/>
        </w:tblCellMar>
      </w:tblPr>
      <w:tblGrid>
        <w:gridCol w:w="4103"/>
        <w:gridCol w:w="369"/>
        <w:gridCol w:w="195"/>
        <w:gridCol w:w="851"/>
        <w:gridCol w:w="154"/>
        <w:gridCol w:w="385"/>
        <w:gridCol w:w="195"/>
        <w:gridCol w:w="854"/>
        <w:gridCol w:w="129"/>
        <w:gridCol w:w="369"/>
        <w:gridCol w:w="180"/>
        <w:gridCol w:w="788"/>
        <w:gridCol w:w="143"/>
        <w:gridCol w:w="378"/>
        <w:gridCol w:w="180"/>
        <w:gridCol w:w="793"/>
        <w:gridCol w:w="139"/>
      </w:tblGrid>
      <w:tr>
        <w:trPr/>
        <w:tc>
          <w:tcPr>
            <w:tcW w:w="410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634" w:type="dxa"/>
            <w:gridSpan w:val="6"/>
            <w:tcBorders/>
            <w:shd w:fill="auto" w:val="clear"/>
            <w:vAlign w:val="bottom"/>
          </w:tcPr>
          <w:p>
            <w:pPr>
              <w:pStyle w:val="TableContents"/>
              <w:spacing w:before="0" w:after="283"/>
              <w:jc w:val="center"/>
              <w:rPr>
                <w:b/>
              </w:rPr>
            </w:pPr>
            <w:r>
              <w:rPr>
                <w:b/>
              </w:rPr>
              <w:t>For the three months</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462" w:type="dxa"/>
            <w:gridSpan w:val="6"/>
            <w:tcBorders/>
            <w:shd w:fill="auto" w:val="clear"/>
            <w:vAlign w:val="bottom"/>
          </w:tcPr>
          <w:p>
            <w:pPr>
              <w:pStyle w:val="TableContents"/>
              <w:spacing w:before="0" w:after="283"/>
              <w:jc w:val="center"/>
              <w:rPr>
                <w:b/>
              </w:rPr>
            </w:pPr>
            <w:r>
              <w:rPr>
                <w:b/>
              </w:rPr>
              <w:t>For the six months</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63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46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9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3"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0"/>
              <w:ind w:left="225" w:right="0" w:hanging="225"/>
              <w:rPr/>
            </w:pPr>
            <w:r>
              <w:rPr/>
              <w:t>Segment profit</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209.8</w:t>
            </w:r>
          </w:p>
        </w:tc>
        <w:tc>
          <w:tcPr>
            <w:tcW w:w="15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119.5</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88" w:type="dxa"/>
            <w:tcBorders/>
            <w:shd w:fill="auto" w:val="clear"/>
            <w:vAlign w:val="bottom"/>
          </w:tcPr>
          <w:p>
            <w:pPr>
              <w:pStyle w:val="TableContents"/>
              <w:spacing w:before="0" w:after="283"/>
              <w:jc w:val="right"/>
              <w:rPr/>
            </w:pPr>
            <w:r>
              <w:rPr/>
              <w:t>370.8</w:t>
            </w:r>
          </w:p>
        </w:tc>
        <w:tc>
          <w:tcPr>
            <w:tcW w:w="143"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93" w:type="dxa"/>
            <w:tcBorders/>
            <w:shd w:fill="auto" w:val="clear"/>
            <w:vAlign w:val="bottom"/>
          </w:tcPr>
          <w:p>
            <w:pPr>
              <w:pStyle w:val="TableContents"/>
              <w:spacing w:before="0" w:after="283"/>
              <w:jc w:val="right"/>
              <w:rPr/>
            </w:pPr>
            <w:r>
              <w:rPr/>
              <w:t>213.2</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0"/>
              <w:ind w:left="225" w:right="0" w:hanging="225"/>
              <w:rPr/>
            </w:pPr>
            <w:r>
              <w:rPr/>
              <w:t>Depreciation and amortization</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(52.1</w:t>
            </w:r>
          </w:p>
        </w:tc>
        <w:tc>
          <w:tcPr>
            <w:tcW w:w="154" w:type="dxa"/>
            <w:tcBorders/>
            <w:shd w:fill="auto" w:val="clear"/>
            <w:vAlign w:val="bottom"/>
          </w:tcPr>
          <w:p>
            <w:pPr>
              <w:pStyle w:val="TableContents"/>
              <w:spacing w:before="0" w:after="283"/>
              <w:rPr/>
            </w:pPr>
            <w:r>
              <w:rPr/>
              <w:t>)</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(21.3</w:t>
            </w:r>
          </w:p>
        </w:tc>
        <w:tc>
          <w:tcPr>
            <w:tcW w:w="129"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(92.0</w:t>
            </w:r>
          </w:p>
        </w:tc>
        <w:tc>
          <w:tcPr>
            <w:tcW w:w="143"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pPr>
            <w:r>
              <w:rPr/>
              <w:t>(42.9</w:t>
            </w:r>
          </w:p>
        </w:tc>
        <w:tc>
          <w:tcPr>
            <w:tcW w:w="139" w:type="dxa"/>
            <w:tcBorders/>
            <w:shd w:fill="auto" w:val="clear"/>
            <w:vAlign w:val="bottom"/>
          </w:tcPr>
          <w:p>
            <w:pPr>
              <w:pStyle w:val="TableContents"/>
              <w:spacing w:before="0" w:after="283"/>
              <w:rPr/>
            </w:pPr>
            <w:r>
              <w:rPr/>
              <w:t>)</w:t>
            </w:r>
          </w:p>
        </w:tc>
      </w:tr>
      <w:tr>
        <w:trPr/>
        <w:tc>
          <w:tcPr>
            <w:tcW w:w="4103" w:type="dxa"/>
            <w:tcBorders/>
            <w:shd w:fill="auto" w:val="clear"/>
            <w:vAlign w:val="bottom"/>
          </w:tcPr>
          <w:p>
            <w:pPr>
              <w:pStyle w:val="TableContents"/>
              <w:spacing w:before="0" w:after="0"/>
              <w:ind w:left="225" w:right="0" w:hanging="225"/>
              <w:rPr/>
            </w:pPr>
            <w:r>
              <w:rPr/>
              <w:t>Interest expense</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(41.2</w:t>
            </w:r>
          </w:p>
        </w:tc>
        <w:tc>
          <w:tcPr>
            <w:tcW w:w="154" w:type="dxa"/>
            <w:tcBorders/>
            <w:shd w:fill="auto" w:val="clear"/>
            <w:vAlign w:val="bottom"/>
          </w:tcPr>
          <w:p>
            <w:pPr>
              <w:pStyle w:val="TableContents"/>
              <w:spacing w:before="0" w:after="283"/>
              <w:rPr/>
            </w:pPr>
            <w:r>
              <w:rPr/>
              <w:t>)</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(18.0</w:t>
            </w:r>
          </w:p>
        </w:tc>
        <w:tc>
          <w:tcPr>
            <w:tcW w:w="129"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(82.3</w:t>
            </w:r>
          </w:p>
        </w:tc>
        <w:tc>
          <w:tcPr>
            <w:tcW w:w="143"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pPr>
            <w:r>
              <w:rPr/>
              <w:t>(33.3</w:t>
            </w:r>
          </w:p>
        </w:tc>
        <w:tc>
          <w:tcPr>
            <w:tcW w:w="139" w:type="dxa"/>
            <w:tcBorders/>
            <w:shd w:fill="auto" w:val="clear"/>
            <w:vAlign w:val="bottom"/>
          </w:tcPr>
          <w:p>
            <w:pPr>
              <w:pStyle w:val="TableContents"/>
              <w:spacing w:before="0" w:after="283"/>
              <w:rPr/>
            </w:pPr>
            <w:r>
              <w:rPr/>
              <w:t>)</w:t>
            </w:r>
          </w:p>
        </w:tc>
      </w:tr>
      <w:tr>
        <w:trPr/>
        <w:tc>
          <w:tcPr>
            <w:tcW w:w="4103" w:type="dxa"/>
            <w:tcBorders/>
            <w:shd w:fill="auto" w:val="clear"/>
            <w:vAlign w:val="bottom"/>
          </w:tcPr>
          <w:p>
            <w:pPr>
              <w:pStyle w:val="TableContents"/>
              <w:spacing w:before="0" w:after="0"/>
              <w:ind w:left="225" w:right="0" w:hanging="225"/>
              <w:rPr/>
            </w:pPr>
            <w:r>
              <w:rPr/>
              <w:t>Interest income and other income (expense), net</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0.4</w:t>
            </w:r>
          </w:p>
        </w:tc>
        <w:tc>
          <w:tcPr>
            <w:tcW w:w="15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0.1</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pPr>
            <w:r>
              <w:rPr/>
              <w:t>5.2</w:t>
            </w:r>
          </w:p>
        </w:tc>
        <w:tc>
          <w:tcPr>
            <w:tcW w:w="143"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0.4</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bottom"/>
          </w:tcPr>
          <w:p>
            <w:pPr>
              <w:pStyle w:val="TableContents"/>
              <w:spacing w:before="0" w:after="0"/>
              <w:ind w:left="225" w:right="0" w:hanging="225"/>
              <w:rPr/>
            </w:pPr>
            <w:r>
              <w:rPr/>
              <w:t>Income tax expense</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(12.1</w:t>
            </w:r>
          </w:p>
        </w:tc>
        <w:tc>
          <w:tcPr>
            <w:tcW w:w="154" w:type="dxa"/>
            <w:tcBorders/>
            <w:shd w:fill="auto" w:val="clear"/>
            <w:vAlign w:val="bottom"/>
          </w:tcPr>
          <w:p>
            <w:pPr>
              <w:pStyle w:val="TableContents"/>
              <w:spacing w:before="0" w:after="283"/>
              <w:rPr/>
            </w:pPr>
            <w:r>
              <w:rPr/>
              <w:t>)</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(12.2</w:t>
            </w:r>
          </w:p>
        </w:tc>
        <w:tc>
          <w:tcPr>
            <w:tcW w:w="143"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0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03"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6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104.8</w:t>
            </w:r>
          </w:p>
        </w:tc>
        <w:tc>
          <w:tcPr>
            <w:tcW w:w="154"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80.3</w:t>
            </w:r>
          </w:p>
        </w:tc>
        <w:tc>
          <w:tcPr>
            <w:tcW w:w="12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88" w:type="dxa"/>
            <w:tcBorders/>
            <w:shd w:fill="auto" w:val="clear"/>
            <w:vAlign w:val="bottom"/>
          </w:tcPr>
          <w:p>
            <w:pPr>
              <w:pStyle w:val="TableContents"/>
              <w:spacing w:before="0" w:after="283"/>
              <w:jc w:val="right"/>
              <w:rPr/>
            </w:pPr>
            <w:r>
              <w:rPr/>
              <w:t>189.5</w:t>
            </w:r>
          </w:p>
        </w:tc>
        <w:tc>
          <w:tcPr>
            <w:tcW w:w="143"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93" w:type="dxa"/>
            <w:tcBorders/>
            <w:shd w:fill="auto" w:val="clear"/>
            <w:vAlign w:val="bottom"/>
          </w:tcPr>
          <w:p>
            <w:pPr>
              <w:pStyle w:val="TableContents"/>
              <w:spacing w:before="0" w:after="283"/>
              <w:jc w:val="right"/>
              <w:rPr/>
            </w:pPr>
            <w:r>
              <w:rPr/>
              <w:t>137.4</w:t>
            </w:r>
          </w:p>
        </w:tc>
        <w:tc>
          <w:tcPr>
            <w:tcW w:w="139" w:type="dxa"/>
            <w:tcBorders/>
            <w:shd w:fill="auto" w:val="clear"/>
            <w:vAlign w:val="bottom"/>
          </w:tcPr>
          <w:p>
            <w:pPr>
              <w:pStyle w:val="TableContents"/>
              <w:spacing w:before="0" w:after="283"/>
              <w:rPr/>
            </w:pPr>
            <w:r>
              <w:rPr/>
              <w:t> </w:t>
            </w:r>
          </w:p>
        </w:tc>
      </w:tr>
      <w:tr>
        <w:trPr/>
        <w:tc>
          <w:tcPr>
            <w:tcW w:w="410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0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24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(5)</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The adoption of EITF 04-13 in 2006 resulted in inventory purchases and sales under buy/sell transactions, which historically would have been recorded gross as purchases and sales, to be treated as inventory exchanges in our consolidated statements of operations.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14Recent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2007, the FASB issued SFAS No. 159, The Fair Value Option for Financial Assets and Financial Liabilities  including an amendment of FAS 115 (SFAS 159). SFAS 159 allows entities to choose, at specified election dates, to measure eligible financial assets and liabilities at fair value in situations in which they are not otherwise required to be measured at fair value. If a company elects the fair value option for an eligible item, changes in that items fair value in subsequent reporting periods must be recognized in current earnings. The provisions of SFAS 159 will be effective for fiscal years beginning after November 15, 2007. We are evaluating the impact of adoption of SFAS 159 but do not currently expect the adoption to have a material impact on our financial position, results of operations or cash flows. </w:t>
      </w:r>
    </w:p>
    <w:p>
      <w:pPr>
        <w:pStyle w:val="TextBody"/>
        <w:spacing w:before="120" w:after="283"/>
        <w:jc w:val="left"/>
        <w:rPr/>
      </w:pPr>
      <w:r>
        <w:rPr/>
        <w:t>     </w:t>
      </w:r>
      <w:r>
        <w:rPr>
          <w:rFonts w:ascii="Times New Roman;Times;serif" w:hAnsi="Times New Roman;Times;serif"/>
          <w:sz w:val="17"/>
        </w:rPr>
        <w:t xml:space="preserve">In December 2006, the FASB issued FASB Staff Position EITF 00-19-2, Accounting for Registration Payment Arrangements (the FSP). The FSP specifies that the contingent obligation to make future payments under a registration payment arrangement should be separately recognized and measured in accordance with FASB Statement No. 5 Accounting for Contingencies. The FSP was effective immediately for registration payment arrangements and the financial instruments subject to those arrangements entered into or modified subsequent to December 21, 2006. For registration payment arrangements and for the financial instruments subject to those arrangements that were entered into prior to December 21, 2006, the FSP is effective for fiscal years beginning after December 15, 2006. At June 30, 2007, we did not have any material contingent obligations under registration payment arrangements. </w:t>
      </w:r>
    </w:p>
    <w:p>
      <w:pPr>
        <w:pStyle w:val="TextBody"/>
        <w:spacing w:before="120" w:after="283"/>
        <w:jc w:val="left"/>
        <w:rPr/>
      </w:pPr>
      <w:r>
        <w:rPr/>
        <w:t>     </w:t>
      </w:r>
      <w:r>
        <w:rPr>
          <w:rFonts w:ascii="Times New Roman;Times;serif" w:hAnsi="Times New Roman;Times;serif"/>
          <w:sz w:val="17"/>
        </w:rPr>
        <w:t xml:space="preserve">In September 2006, the FASB issued SFAS No. 157, Fair Value Measurements (SFAS 157). SFAS 157 defines fair value, establishes a framework for measuring fair value and requires enhanced disclosures regarding fair value measurements. SFAS 157 does not add any new fair value measurements, but it does change current practice and is intended to increase consistency and comparability in such measurement. The provisions of SFAS 157 will be effective for financial statements issued for fiscal years beginning after November 15, 2007 and interim periods within those fiscal years. The impact, if any, from the adoption of SFAS 157 in 2008 will depend on our assets and liabilities that are required to be measured at fair value at that time. </w:t>
      </w:r>
    </w:p>
    <w:p>
      <w:pPr>
        <w:pStyle w:val="TextBody"/>
        <w:spacing w:before="120" w:after="283"/>
        <w:jc w:val="left"/>
        <w:rPr/>
      </w:pPr>
      <w:r>
        <w:rPr/>
        <w:t>     </w:t>
      </w:r>
      <w:r>
        <w:rPr>
          <w:rFonts w:ascii="Times New Roman;Times;serif" w:hAnsi="Times New Roman;Times;serif"/>
          <w:sz w:val="17"/>
        </w:rPr>
        <w:t xml:space="preserve">In September 2006, the FASB issued FASB Staff Position AUG AIR-1, Accounting for Planned Major Maintenance Activities (FSP AUG AIR-1). FSP AUG AIR-1 prohibits the use of the accrue-in-advance method of accounting for planned major maintenance activities. FSP AUG AIR-1 is effective for the first fiscal year beginning after December 15, 2006. We expense major maintenance activities as incurred. The adoption of FSP AUG AIR-1 did not have any impact on our financial position, results of operations or cash flows.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June 2006, the EITF issued Issue No. 06-3, How Taxes Collected from Customers and Remitted to Governmental Authorities Should Be Presented in the Income Statement (That Is, Gross versus Net Presentation) (EITF 06-3). EITF 06-3 is effective for all periods beginning after December 15, 2006 and its scope includes any tax that is assessed by a governmental authority that is both imposed on and concurrent with a specific revenue-producing transaction between a seller and a customer. The EITF stated that it is an entitys accounting policy decision whether to present the taxes on a gross basis (within revenues and costs) or on a net basis (excluded from revenues) but that the accounting policy should be disclosed. If presented on a gross basis, an entity is required to report the amount of such taxes for each period for which an income statement is presented, if those amounts are significant. Our accounting policy is to present such taxes on a net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15  Supplemental Condensed Consolidating Financial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 the parent company is referred to as Plains All American. See Note 12 of Part IV of our 2006 Annual Report on Form 10-K for detail of which subsidiaries are classified as Guarantor Subsidiaries and which subsidiaries are classified as Non-Guarantor Subsidiaries. </w:t>
      </w:r>
    </w:p>
    <w:p>
      <w:pPr>
        <w:pStyle w:val="TextBody"/>
        <w:spacing w:before="120" w:after="283"/>
        <w:jc w:val="left"/>
        <w:rPr/>
      </w:pPr>
      <w:r>
        <w:rPr/>
        <w:t>     </w:t>
      </w:r>
      <w:r>
        <w:rPr>
          <w:rFonts w:ascii="Times New Roman;Times;serif" w:hAnsi="Times New Roman;Times;serif"/>
          <w:sz w:val="17"/>
        </w:rPr>
        <w:t xml:space="preserve">The following supplemental condensed consolidating financial information reflects Plains All Americans separate accounts, the combined accounts of the Guarantor Subsidiaries, the combined accounts of the Non-Guarantor Subsidiaries, the combined consolidating adjustments and eliminations and Plains All Americans consolidated accounts for the dates and periods indicated. For purposes of the following condensed consolidating information, Plains All Americans investments in its subsidiaries and the Guarantor Subsidiaries investments in their subsidiaries are accounted for under the equity method of accounting. </w:t>
      </w:r>
    </w:p>
    <w:tbl>
      <w:tblPr>
        <w:tblW w:w="5000" w:type="pct"/>
        <w:jc w:val="center"/>
        <w:tblInd w:w="0" w:type="dxa"/>
        <w:tblCellMar>
          <w:top w:w="0" w:type="dxa"/>
          <w:left w:w="0" w:type="dxa"/>
          <w:bottom w:w="0" w:type="dxa"/>
          <w:right w:w="0" w:type="dxa"/>
        </w:tblCellMar>
      </w:tblPr>
      <w:tblGrid>
        <w:gridCol w:w="2112"/>
        <w:gridCol w:w="178"/>
        <w:gridCol w:w="173"/>
        <w:gridCol w:w="910"/>
        <w:gridCol w:w="79"/>
        <w:gridCol w:w="178"/>
        <w:gridCol w:w="204"/>
        <w:gridCol w:w="1084"/>
        <w:gridCol w:w="79"/>
        <w:gridCol w:w="178"/>
        <w:gridCol w:w="259"/>
        <w:gridCol w:w="1371"/>
        <w:gridCol w:w="79"/>
        <w:gridCol w:w="178"/>
        <w:gridCol w:w="197"/>
        <w:gridCol w:w="1132"/>
        <w:gridCol w:w="166"/>
        <w:gridCol w:w="178"/>
        <w:gridCol w:w="220"/>
        <w:gridCol w:w="1162"/>
        <w:gridCol w:w="88"/>
      </w:tblGrid>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7" w:type="dxa"/>
            <w:gridSpan w:val="18"/>
            <w:tcBorders/>
            <w:shd w:fill="auto" w:val="clear"/>
            <w:vAlign w:val="bottom"/>
          </w:tcPr>
          <w:p>
            <w:pPr>
              <w:pStyle w:val="TableContents"/>
              <w:spacing w:before="0" w:after="283"/>
              <w:jc w:val="center"/>
              <w:rPr>
                <w:b/>
              </w:rPr>
            </w:pPr>
            <w:r>
              <w:rPr>
                <w:b/>
              </w:rPr>
              <w:t>Condensed Consolidating Balance Sheet</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7"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June 30, 2007</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Plains</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82" w:type="dxa"/>
            <w:gridSpan w:val="2"/>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All</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Guarantor</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82" w:type="dxa"/>
            <w:gridSpan w:val="2"/>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7" w:type="dxa"/>
            <w:gridSpan w:val="18"/>
            <w:tcBorders/>
            <w:shd w:fill="auto" w:val="clear"/>
            <w:vAlign w:val="bottom"/>
          </w:tcPr>
          <w:p>
            <w:pPr>
              <w:pStyle w:val="TableContents"/>
              <w:spacing w:before="0" w:after="283"/>
              <w:jc w:val="center"/>
              <w:rPr>
                <w:b/>
              </w:rPr>
            </w:pPr>
            <w:r>
              <w:rPr>
                <w:b/>
              </w:rPr>
              <w:t>(in millions)</w:t>
            </w:r>
          </w:p>
        </w:tc>
        <w:tc>
          <w:tcPr>
            <w:tcW w:w="88" w:type="dxa"/>
            <w:tcBorders/>
            <w:shd w:fill="auto" w:val="clear"/>
            <w:vAlign w:val="bottom"/>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ASSETS</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Total current assets</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10" w:type="dxa"/>
            <w:tcBorders/>
            <w:shd w:fill="auto" w:val="clear"/>
            <w:vAlign w:val="bottom"/>
          </w:tcPr>
          <w:p>
            <w:pPr>
              <w:pStyle w:val="TableContents"/>
              <w:spacing w:before="0" w:after="283"/>
              <w:jc w:val="right"/>
              <w:rPr/>
            </w:pPr>
            <w:r>
              <w:rPr/>
              <w:t>2,519.4</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3,202.5</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371" w:type="dxa"/>
            <w:tcBorders/>
            <w:shd w:fill="auto" w:val="clear"/>
            <w:vAlign w:val="bottom"/>
          </w:tcPr>
          <w:p>
            <w:pPr>
              <w:pStyle w:val="TableContents"/>
              <w:spacing w:before="0" w:after="283"/>
              <w:jc w:val="right"/>
              <w:rPr/>
            </w:pPr>
            <w:r>
              <w:rPr/>
              <w:t>76.1</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(2,335.6</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3,462.4</w:t>
            </w:r>
          </w:p>
        </w:tc>
        <w:tc>
          <w:tcPr>
            <w:tcW w:w="88" w:type="dxa"/>
            <w:tcBorders/>
            <w:shd w:fill="auto" w:val="clear"/>
            <w:vAlign w:val="bottom"/>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Property plant and equipment, net</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3,468.8</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618.0</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4,086.8</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Other assets:</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Investment in unconsolidated entities</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910" w:type="dxa"/>
            <w:tcBorders/>
            <w:shd w:fill="CCEEFF" w:val="clear"/>
            <w:vAlign w:val="bottom"/>
          </w:tcPr>
          <w:p>
            <w:pPr>
              <w:pStyle w:val="TableContents"/>
              <w:spacing w:before="0" w:after="283"/>
              <w:jc w:val="right"/>
              <w:rPr/>
            </w:pPr>
            <w:r>
              <w:rPr/>
              <w:t>3,544.3</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822.8</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(4,167.0</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200.1</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Other assets</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910" w:type="dxa"/>
            <w:tcBorders/>
            <w:shd w:fill="auto" w:val="clear"/>
            <w:vAlign w:val="bottom"/>
          </w:tcPr>
          <w:p>
            <w:pPr>
              <w:pStyle w:val="TableContents"/>
              <w:spacing w:before="0" w:after="283"/>
              <w:jc w:val="right"/>
              <w:rPr/>
            </w:pPr>
            <w:r>
              <w:rPr/>
              <w:t>21.4</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1,177.9</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315.6</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1,514.9</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450" w:right="0" w:hanging="225"/>
              <w:rPr/>
            </w:pPr>
            <w:r>
              <w:rPr/>
              <w:t>Total assets</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6,085.1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8,672.0</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1,009.7</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(6,502.6</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9,264.2</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 </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LIABILITIES AND PARTNERS CAPITAL</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Total current liabilities</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62.1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5,151.9</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237.3</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(2,335.6</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3,115.7</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Other liabilities:</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Long-term debt</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910" w:type="dxa"/>
            <w:tcBorders/>
            <w:shd w:fill="CCEEFF" w:val="clear"/>
            <w:vAlign w:val="bottom"/>
          </w:tcPr>
          <w:p>
            <w:pPr>
              <w:pStyle w:val="TableContents"/>
              <w:spacing w:before="0" w:after="283"/>
              <w:jc w:val="right"/>
              <w:rPr/>
            </w:pPr>
            <w:r>
              <w:rPr/>
              <w:t>2,621.7</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2.6</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2,624.3</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Other long-term liabilities and deferred credits</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910" w:type="dxa"/>
            <w:tcBorders/>
            <w:shd w:fill="auto" w:val="clear"/>
            <w:vAlign w:val="bottom"/>
          </w:tcPr>
          <w:p>
            <w:pPr>
              <w:pStyle w:val="TableContents"/>
              <w:spacing w:before="0" w:after="283"/>
              <w:jc w:val="right"/>
              <w:rPr/>
            </w:pPr>
            <w:r>
              <w:rPr/>
              <w:t>1.7</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120.7</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2.2</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2" w:type="dxa"/>
            <w:tcBorders/>
            <w:shd w:fill="auto" w:val="clear"/>
            <w:vAlign w:val="bottom"/>
          </w:tcPr>
          <w:p>
            <w:pPr>
              <w:pStyle w:val="TableContents"/>
              <w:spacing w:before="0" w:after="283"/>
              <w:jc w:val="right"/>
              <w:rPr/>
            </w:pPr>
            <w:r>
              <w:rPr/>
              <w:t>124.6</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450" w:right="0" w:hanging="225"/>
              <w:rPr/>
            </w:pPr>
            <w:r>
              <w:rPr/>
              <w:t>Total liabilities</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910" w:type="dxa"/>
            <w:tcBorders/>
            <w:shd w:fill="CCEEFF" w:val="clear"/>
            <w:vAlign w:val="bottom"/>
          </w:tcPr>
          <w:p>
            <w:pPr>
              <w:pStyle w:val="TableContents"/>
              <w:spacing w:before="0" w:after="283"/>
              <w:jc w:val="right"/>
              <w:rPr/>
            </w:pPr>
            <w:r>
              <w:rPr/>
              <w:t>2,685.5</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5,275.2</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239.5</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(2,335.6</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5,864.6</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2112" w:type="dxa"/>
            <w:tcBorders/>
            <w:shd w:fill="auto" w:val="clear"/>
            <w:vAlign w:val="bottom"/>
          </w:tcPr>
          <w:p>
            <w:pPr>
              <w:pStyle w:val="TableContents"/>
              <w:spacing w:before="0" w:after="0"/>
              <w:ind w:left="225" w:right="0" w:hanging="225"/>
              <w:rPr/>
            </w:pPr>
            <w:r>
              <w:rPr/>
              <w:t>Partners Capital</w:t>
            </w:r>
          </w:p>
        </w:tc>
        <w:tc>
          <w:tcPr>
            <w:tcW w:w="178"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910" w:type="dxa"/>
            <w:tcBorders/>
            <w:shd w:fill="auto" w:val="clear"/>
            <w:vAlign w:val="bottom"/>
          </w:tcPr>
          <w:p>
            <w:pPr>
              <w:pStyle w:val="TableContents"/>
              <w:spacing w:before="0" w:after="283"/>
              <w:jc w:val="right"/>
              <w:rPr/>
            </w:pPr>
            <w:r>
              <w:rPr/>
              <w:t>3,399.6</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3,396.8</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770.2</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(4,167.0</w:t>
            </w:r>
          </w:p>
        </w:tc>
        <w:tc>
          <w:tcPr>
            <w:tcW w:w="16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2" w:type="dxa"/>
            <w:tcBorders/>
            <w:shd w:fill="auto" w:val="clear"/>
            <w:vAlign w:val="bottom"/>
          </w:tcPr>
          <w:p>
            <w:pPr>
              <w:pStyle w:val="TableContents"/>
              <w:spacing w:before="0" w:after="283"/>
              <w:jc w:val="right"/>
              <w:rPr/>
            </w:pPr>
            <w:r>
              <w:rPr/>
              <w:t>3,399.6</w:t>
            </w:r>
          </w:p>
        </w:tc>
        <w:tc>
          <w:tcPr>
            <w:tcW w:w="88" w:type="dxa"/>
            <w:tcBorders/>
            <w:shd w:fill="auto"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r>
        <w:trPr/>
        <w:tc>
          <w:tcPr>
            <w:tcW w:w="2112" w:type="dxa"/>
            <w:tcBorders/>
            <w:shd w:fill="CCEEFF" w:val="clear"/>
            <w:vAlign w:val="bottom"/>
          </w:tcPr>
          <w:p>
            <w:pPr>
              <w:pStyle w:val="TableContents"/>
              <w:spacing w:before="0" w:after="0"/>
              <w:ind w:left="225" w:right="0" w:hanging="225"/>
              <w:rPr/>
            </w:pPr>
            <w:r>
              <w:rPr/>
              <w:t>Total liabilities and partners capital</w:t>
            </w:r>
          </w:p>
        </w:tc>
        <w:tc>
          <w:tcPr>
            <w:tcW w:w="178"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6,085.1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8,672.0</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1,009.7</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(6,502.6</w:t>
            </w:r>
          </w:p>
        </w:tc>
        <w:tc>
          <w:tcPr>
            <w:tcW w:w="166"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9,264.2</w:t>
            </w:r>
          </w:p>
        </w:tc>
        <w:tc>
          <w:tcPr>
            <w:tcW w:w="88" w:type="dxa"/>
            <w:tcBorders/>
            <w:shd w:fill="CCEEFF" w:val="clear"/>
            <w:vAlign w:val="bottom"/>
          </w:tcPr>
          <w:p>
            <w:pPr>
              <w:pStyle w:val="TableContents"/>
              <w:spacing w:before="0" w:after="283"/>
              <w:rPr/>
            </w:pPr>
            <w:r>
              <w:rPr/>
              <w:t> </w:t>
            </w:r>
          </w:p>
        </w:tc>
      </w:tr>
      <w:tr>
        <w:trPr/>
        <w:tc>
          <w:tcPr>
            <w:tcW w:w="2112"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124"/>
        <w:gridCol w:w="179"/>
        <w:gridCol w:w="173"/>
        <w:gridCol w:w="910"/>
        <w:gridCol w:w="79"/>
        <w:gridCol w:w="179"/>
        <w:gridCol w:w="204"/>
        <w:gridCol w:w="1084"/>
        <w:gridCol w:w="111"/>
        <w:gridCol w:w="179"/>
        <w:gridCol w:w="259"/>
        <w:gridCol w:w="1371"/>
        <w:gridCol w:w="79"/>
        <w:gridCol w:w="178"/>
        <w:gridCol w:w="197"/>
        <w:gridCol w:w="1132"/>
        <w:gridCol w:w="111"/>
        <w:gridCol w:w="179"/>
        <w:gridCol w:w="220"/>
        <w:gridCol w:w="1163"/>
        <w:gridCol w:w="94"/>
      </w:tblGrid>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shd w:fill="auto" w:val="clear"/>
            <w:vAlign w:val="bottom"/>
          </w:tcPr>
          <w:p>
            <w:pPr>
              <w:pStyle w:val="TableContents"/>
              <w:spacing w:before="0" w:after="283"/>
              <w:jc w:val="center"/>
              <w:rPr>
                <w:b/>
              </w:rPr>
            </w:pPr>
            <w:r>
              <w:rPr>
                <w:b/>
              </w:rPr>
              <w:t>Condensed Consolidating Balance Sheet</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283"/>
              <w:rPr/>
            </w:pPr>
            <w:r>
              <w:rPr/>
              <w:t> </w:t>
            </w:r>
          </w:p>
        </w:tc>
        <w:tc>
          <w:tcPr>
            <w:tcW w:w="8081" w:type="dxa"/>
            <w:gridSpan w:val="20"/>
            <w:tcBorders/>
            <w:shd w:fill="auto" w:val="clear"/>
          </w:tcPr>
          <w:p>
            <w:pPr>
              <w:pStyle w:val="TableContents"/>
              <w:spacing w:before="0" w:after="283"/>
              <w:rPr>
                <w:sz w:val="4"/>
                <w:szCs w:val="4"/>
              </w:rPr>
            </w:pPr>
            <w:r>
              <w:rPr>
                <w:sz w:val="4"/>
                <w:szCs w:val="4"/>
              </w:rPr>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Plains</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Combined</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All</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Guarantor</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shd w:fill="auto" w:val="clear"/>
            <w:vAlign w:val="bottom"/>
          </w:tcPr>
          <w:p>
            <w:pPr>
              <w:pStyle w:val="TableContents"/>
              <w:spacing w:before="0" w:after="283"/>
              <w:jc w:val="center"/>
              <w:rPr>
                <w:b/>
              </w:rPr>
            </w:pPr>
            <w:r>
              <w:rPr>
                <w:b/>
              </w:rPr>
              <w:t>(in millions)</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ASSETS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Total current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10" w:type="dxa"/>
            <w:tcBorders/>
            <w:shd w:fill="auto" w:val="clear"/>
            <w:vAlign w:val="bottom"/>
          </w:tcPr>
          <w:p>
            <w:pPr>
              <w:pStyle w:val="TableContents"/>
              <w:spacing w:before="0" w:after="283"/>
              <w:jc w:val="right"/>
              <w:rPr/>
            </w:pPr>
            <w:r>
              <w:rPr/>
              <w:t>2,573.8</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3,048.7</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371" w:type="dxa"/>
            <w:tcBorders/>
            <w:shd w:fill="auto" w:val="clear"/>
            <w:vAlign w:val="bottom"/>
          </w:tcPr>
          <w:p>
            <w:pPr>
              <w:pStyle w:val="TableContents"/>
              <w:spacing w:before="0" w:after="283"/>
              <w:jc w:val="right"/>
              <w:rPr/>
            </w:pPr>
            <w:r>
              <w:rPr/>
              <w:t>97.6</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(2,562.5</w:t>
            </w:r>
          </w:p>
        </w:tc>
        <w:tc>
          <w:tcPr>
            <w:tcW w:w="111" w:type="dxa"/>
            <w:tcBorders/>
            <w:shd w:fill="auto" w:val="clear"/>
            <w:vAlign w:val="bottom"/>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3,157.6</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Property plant and equipment, net</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3,226.9</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615.1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3,842.0</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Investment in unconsolidated entities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3,037.7</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731.3</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(3,586.0</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183.0</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23.0</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1,197.9</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311.4</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1,532.3</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450" w:right="0" w:hanging="225"/>
              <w:rPr/>
            </w:pPr>
            <w:r>
              <w:rPr/>
              <w:t>Total assets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5,634.5</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8,204.8</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1,024.1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(6,148.5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8,714.9</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LIABILITIES AND PARTNERS CAPITAL</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Total current liabilities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34.2</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5,355.9</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(2,379.5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3,024.7</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liabilities: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Long-term debt</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2,623.2</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(273.3</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276.4</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2,626.3</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long-term liabilities and deferred credits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0.3</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84.5</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2.3</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87.1</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450" w:right="0" w:hanging="225"/>
              <w:rPr/>
            </w:pPr>
            <w:r>
              <w:rPr/>
              <w:t>Total liabilities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2,657.7</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5,167.1</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292.8</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(2,379.5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5,738.1</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Partners Capital</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2,976.8</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3,037.7</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731.3</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(3,769.0</w:t>
            </w:r>
          </w:p>
        </w:tc>
        <w:tc>
          <w:tcPr>
            <w:tcW w:w="111" w:type="dxa"/>
            <w:tcBorders/>
            <w:shd w:fill="auto" w:val="clear"/>
            <w:vAlign w:val="bottom"/>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2,976.8</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Total liabilities and partners capital</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5,634.5</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8,204.8</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1,024.1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(6,148.5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8,714.9</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973"/>
        <w:gridCol w:w="158"/>
        <w:gridCol w:w="215"/>
        <w:gridCol w:w="881"/>
        <w:gridCol w:w="136"/>
        <w:gridCol w:w="175"/>
        <w:gridCol w:w="257"/>
        <w:gridCol w:w="1052"/>
        <w:gridCol w:w="93"/>
        <w:gridCol w:w="175"/>
        <w:gridCol w:w="391"/>
        <w:gridCol w:w="1273"/>
        <w:gridCol w:w="93"/>
        <w:gridCol w:w="175"/>
        <w:gridCol w:w="242"/>
        <w:gridCol w:w="1110"/>
        <w:gridCol w:w="136"/>
        <w:gridCol w:w="175"/>
        <w:gridCol w:w="276"/>
        <w:gridCol w:w="1132"/>
        <w:gridCol w:w="87"/>
      </w:tblGrid>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987"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Condensed Consolidating Statement of Operations</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center"/>
          </w:tcPr>
          <w:p>
            <w:pPr>
              <w:pStyle w:val="TableContents"/>
              <w:spacing w:before="0" w:after="283"/>
              <w:rPr/>
            </w:pPr>
            <w:r>
              <w:rPr/>
              <w:t> </w:t>
            </w:r>
          </w:p>
        </w:tc>
        <w:tc>
          <w:tcPr>
            <w:tcW w:w="8232" w:type="dxa"/>
            <w:gridSpan w:val="20"/>
            <w:tcBorders/>
            <w:shd w:fill="auto" w:val="clear"/>
          </w:tcPr>
          <w:p>
            <w:pPr>
              <w:pStyle w:val="TableContents"/>
              <w:spacing w:before="0" w:after="283"/>
              <w:rPr>
                <w:sz w:val="4"/>
                <w:szCs w:val="4"/>
              </w:rPr>
            </w:pPr>
            <w:r>
              <w:rPr>
                <w:sz w:val="4"/>
                <w:szCs w:val="4"/>
              </w:rPr>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987"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June 30, 2007</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spacing w:before="0" w:after="283"/>
              <w:jc w:val="center"/>
              <w:rPr>
                <w:b/>
              </w:rPr>
            </w:pPr>
            <w:r>
              <w:rPr>
                <w:b/>
              </w:rPr>
              <w:t>Plains</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09" w:type="dxa"/>
            <w:gridSpan w:val="2"/>
            <w:tcBorders/>
            <w:shd w:fill="auto" w:val="clear"/>
            <w:vAlign w:val="bottom"/>
          </w:tcPr>
          <w:p>
            <w:pPr>
              <w:pStyle w:val="TableContents"/>
              <w:spacing w:before="0" w:after="283"/>
              <w:jc w:val="center"/>
              <w:rPr>
                <w:b/>
              </w:rPr>
            </w:pPr>
            <w:r>
              <w:rPr>
                <w:b/>
              </w:rPr>
              <w:t>Combined</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64" w:type="dxa"/>
            <w:gridSpan w:val="2"/>
            <w:tcBorders/>
            <w:shd w:fill="auto" w:val="clear"/>
            <w:vAlign w:val="bottom"/>
          </w:tcPr>
          <w:p>
            <w:pPr>
              <w:pStyle w:val="TableContents"/>
              <w:spacing w:before="0" w:after="283"/>
              <w:jc w:val="center"/>
              <w:rPr>
                <w:b/>
              </w:rPr>
            </w:pPr>
            <w:r>
              <w:rPr>
                <w:b/>
              </w:rPr>
              <w:t>Combined</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52" w:type="dxa"/>
            <w:gridSpan w:val="2"/>
            <w:tcBorders/>
            <w:shd w:fill="auto" w:val="clear"/>
            <w:vAlign w:val="bottom"/>
          </w:tcPr>
          <w:p>
            <w:pPr>
              <w:pStyle w:val="TableContents"/>
              <w:spacing w:before="0" w:after="283"/>
              <w:jc w:val="center"/>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8"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096" w:type="dxa"/>
            <w:gridSpan w:val="2"/>
            <w:tcBorders/>
            <w:shd w:fill="auto" w:val="clear"/>
            <w:vAlign w:val="bottom"/>
          </w:tcPr>
          <w:p>
            <w:pPr>
              <w:pStyle w:val="TableContents"/>
              <w:spacing w:before="0" w:after="283"/>
              <w:jc w:val="center"/>
              <w:rPr>
                <w:b/>
              </w:rPr>
            </w:pPr>
            <w:r>
              <w:rPr>
                <w:b/>
              </w:rPr>
              <w:t>All</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09" w:type="dxa"/>
            <w:gridSpan w:val="2"/>
            <w:tcBorders/>
            <w:shd w:fill="auto" w:val="clear"/>
            <w:vAlign w:val="bottom"/>
          </w:tcPr>
          <w:p>
            <w:pPr>
              <w:pStyle w:val="TableContents"/>
              <w:spacing w:before="0" w:after="283"/>
              <w:jc w:val="center"/>
              <w:rPr>
                <w:b/>
              </w:rPr>
            </w:pPr>
            <w:r>
              <w:rPr>
                <w:b/>
              </w:rPr>
              <w:t>Guarantor</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64" w:type="dxa"/>
            <w:gridSpan w:val="2"/>
            <w:tcBorders/>
            <w:shd w:fill="auto" w:val="clear"/>
            <w:vAlign w:val="bottom"/>
          </w:tcPr>
          <w:p>
            <w:pPr>
              <w:pStyle w:val="TableContents"/>
              <w:spacing w:before="0" w:after="283"/>
              <w:jc w:val="center"/>
              <w:rPr>
                <w:b/>
              </w:rPr>
            </w:pPr>
            <w:r>
              <w:rPr>
                <w:b/>
              </w:rPr>
              <w:t>Non-Guarantor</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52" w:type="dxa"/>
            <w:gridSpan w:val="2"/>
            <w:tcBorders/>
            <w:shd w:fill="auto" w:val="clear"/>
            <w:vAlign w:val="bottom"/>
          </w:tcPr>
          <w:p>
            <w:pPr>
              <w:pStyle w:val="TableContents"/>
              <w:spacing w:before="0" w:after="283"/>
              <w:jc w:val="center"/>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8"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0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6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3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987" w:type="dxa"/>
            <w:gridSpan w:val="18"/>
            <w:tcBorders/>
            <w:shd w:fill="auto" w:val="clear"/>
            <w:vAlign w:val="bottom"/>
          </w:tcPr>
          <w:p>
            <w:pPr>
              <w:pStyle w:val="TableContents"/>
              <w:spacing w:before="0" w:after="283"/>
              <w:jc w:val="center"/>
              <w:rPr>
                <w:b/>
              </w:rPr>
            </w:pPr>
            <w:r>
              <w:rPr>
                <w:b/>
              </w:rPr>
              <w:t>(in millions)</w:t>
            </w:r>
          </w:p>
        </w:tc>
        <w:tc>
          <w:tcPr>
            <w:tcW w:w="87" w:type="dxa"/>
            <w:tcBorders/>
            <w:shd w:fill="auto" w:val="clear"/>
            <w:vAlign w:val="bottom"/>
          </w:tcPr>
          <w:p>
            <w:pPr>
              <w:pStyle w:val="TableContents"/>
              <w:spacing w:before="0" w:after="283"/>
              <w:rPr/>
            </w:pPr>
            <w:r>
              <w:rPr/>
              <w:t> </w:t>
            </w:r>
          </w:p>
        </w:tc>
      </w:tr>
      <w:tr>
        <w:trPr/>
        <w:tc>
          <w:tcPr>
            <w:tcW w:w="1973" w:type="dxa"/>
            <w:tcBorders/>
            <w:shd w:fill="CCEEFF" w:val="clear"/>
            <w:vAlign w:val="bottom"/>
          </w:tcPr>
          <w:p>
            <w:pPr>
              <w:pStyle w:val="TableContents"/>
              <w:spacing w:before="0" w:after="0"/>
              <w:ind w:left="225" w:right="0" w:hanging="225"/>
              <w:rPr/>
            </w:pPr>
            <w:r>
              <w:rPr/>
              <w:t>Net operating revenues (1)</w:t>
            </w:r>
          </w:p>
        </w:tc>
        <w:tc>
          <w:tcPr>
            <w:tcW w:w="1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52" w:type="dxa"/>
            <w:tcBorders/>
            <w:shd w:fill="CCEEFF" w:val="clear"/>
            <w:vAlign w:val="bottom"/>
          </w:tcPr>
          <w:p>
            <w:pPr>
              <w:pStyle w:val="TableContents"/>
              <w:spacing w:before="0" w:after="283"/>
              <w:jc w:val="right"/>
              <w:rPr/>
            </w:pPr>
            <w:r>
              <w:rPr/>
              <w:t>356.7</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jc w:val="left"/>
              <w:rPr/>
            </w:pPr>
            <w:r>
              <w:rPr/>
              <w:t>$</w:t>
            </w:r>
          </w:p>
        </w:tc>
        <w:tc>
          <w:tcPr>
            <w:tcW w:w="1273" w:type="dxa"/>
            <w:tcBorders/>
            <w:shd w:fill="CCEEFF" w:val="clear"/>
            <w:vAlign w:val="bottom"/>
          </w:tcPr>
          <w:p>
            <w:pPr>
              <w:pStyle w:val="TableContents"/>
              <w:spacing w:before="0" w:after="283"/>
              <w:jc w:val="right"/>
              <w:rPr/>
            </w:pPr>
            <w:r>
              <w:rPr/>
              <w:t>31.5</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11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388.2</w:t>
            </w:r>
          </w:p>
        </w:tc>
        <w:tc>
          <w:tcPr>
            <w:tcW w:w="87" w:type="dxa"/>
            <w:tcBorders/>
            <w:shd w:fill="CCEEFF"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Field operating costs</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125.7</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jc w:val="right"/>
              <w:rPr/>
            </w:pPr>
            <w:r>
              <w:rPr/>
              <w:t>10.0</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135.7</w:t>
            </w:r>
          </w:p>
        </w:tc>
        <w:tc>
          <w:tcPr>
            <w:tcW w:w="87" w:type="dxa"/>
            <w:tcBorders/>
            <w:shd w:fill="auto" w:val="clear"/>
            <w:vAlign w:val="bottom"/>
          </w:tcPr>
          <w:p>
            <w:pPr>
              <w:pStyle w:val="TableContents"/>
              <w:spacing w:before="0" w:after="283"/>
              <w:rPr/>
            </w:pPr>
            <w:r>
              <w:rPr/>
              <w:t> </w:t>
            </w:r>
          </w:p>
        </w:tc>
      </w:tr>
      <w:tr>
        <w:trPr/>
        <w:tc>
          <w:tcPr>
            <w:tcW w:w="1973" w:type="dxa"/>
            <w:tcBorders/>
            <w:shd w:fill="CCEEFF" w:val="clear"/>
            <w:vAlign w:val="bottom"/>
          </w:tcPr>
          <w:p>
            <w:pPr>
              <w:pStyle w:val="TableContents"/>
              <w:spacing w:before="0" w:after="0"/>
              <w:ind w:left="225" w:right="0" w:hanging="225"/>
              <w:rPr/>
            </w:pPr>
            <w:r>
              <w:rPr/>
              <w:t>General and administrative expenses</w:t>
            </w:r>
          </w:p>
        </w:tc>
        <w:tc>
          <w:tcPr>
            <w:tcW w:w="1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0.1</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47.5</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0.1</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47.7</w:t>
            </w:r>
          </w:p>
        </w:tc>
        <w:tc>
          <w:tcPr>
            <w:tcW w:w="87" w:type="dxa"/>
            <w:tcBorders/>
            <w:shd w:fill="CCEEFF"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Depreciation and amortization</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0.6</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46.4</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jc w:val="right"/>
              <w:rPr/>
            </w:pPr>
            <w:r>
              <w:rPr/>
              <w:t>5.1</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52.1</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0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6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1973" w:type="dxa"/>
            <w:tcBorders/>
            <w:shd w:fill="CCEEFF" w:val="clear"/>
            <w:vAlign w:val="bottom"/>
          </w:tcPr>
          <w:p>
            <w:pPr>
              <w:pStyle w:val="TableContents"/>
              <w:spacing w:before="0" w:after="0"/>
              <w:ind w:left="225" w:right="0" w:hanging="225"/>
              <w:rPr/>
            </w:pPr>
            <w:r>
              <w:rPr/>
              <w:t>Operating income</w:t>
            </w:r>
          </w:p>
        </w:tc>
        <w:tc>
          <w:tcPr>
            <w:tcW w:w="1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(0.7</w:t>
            </w:r>
          </w:p>
        </w:tc>
        <w:tc>
          <w:tcPr>
            <w:tcW w:w="136"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137.1</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16.3</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152.7</w:t>
            </w:r>
          </w:p>
        </w:tc>
        <w:tc>
          <w:tcPr>
            <w:tcW w:w="87" w:type="dxa"/>
            <w:tcBorders/>
            <w:shd w:fill="CCEEFF" w:val="clear"/>
            <w:vAlign w:val="bottom"/>
          </w:tcPr>
          <w:p>
            <w:pPr>
              <w:pStyle w:val="TableContents"/>
              <w:spacing w:before="0" w:after="283"/>
              <w:rPr/>
            </w:pPr>
            <w:r>
              <w:rPr/>
              <w:t> </w:t>
            </w:r>
          </w:p>
        </w:tc>
      </w:tr>
      <w:tr>
        <w:trPr/>
        <w:tc>
          <w:tcPr>
            <w:tcW w:w="1973"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0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6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 </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Equity earnings in unconsolidated entities</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146.4</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17.5</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110" w:type="dxa"/>
            <w:tcBorders/>
            <w:shd w:fill="auto" w:val="clear"/>
            <w:vAlign w:val="bottom"/>
          </w:tcPr>
          <w:p>
            <w:pPr>
              <w:pStyle w:val="TableContents"/>
              <w:spacing w:before="0" w:after="283"/>
              <w:jc w:val="right"/>
              <w:rPr/>
            </w:pPr>
            <w:r>
              <w:rPr/>
              <w:t>(158.9</w:t>
            </w:r>
          </w:p>
        </w:tc>
        <w:tc>
          <w:tcPr>
            <w:tcW w:w="136"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5.0</w:t>
            </w:r>
          </w:p>
        </w:tc>
        <w:tc>
          <w:tcPr>
            <w:tcW w:w="87" w:type="dxa"/>
            <w:tcBorders/>
            <w:shd w:fill="auto" w:val="clear"/>
            <w:vAlign w:val="bottom"/>
          </w:tcPr>
          <w:p>
            <w:pPr>
              <w:pStyle w:val="TableContents"/>
              <w:spacing w:before="0" w:after="283"/>
              <w:rPr/>
            </w:pPr>
            <w:r>
              <w:rPr/>
              <w:t> </w:t>
            </w:r>
          </w:p>
        </w:tc>
      </w:tr>
      <w:tr>
        <w:trPr/>
        <w:tc>
          <w:tcPr>
            <w:tcW w:w="1973" w:type="dxa"/>
            <w:tcBorders/>
            <w:shd w:fill="CCEEFF" w:val="clear"/>
            <w:vAlign w:val="bottom"/>
          </w:tcPr>
          <w:p>
            <w:pPr>
              <w:pStyle w:val="TableContents"/>
              <w:spacing w:before="0" w:after="0"/>
              <w:ind w:left="225" w:right="0" w:hanging="225"/>
              <w:rPr/>
            </w:pPr>
            <w:r>
              <w:rPr/>
              <w:t>Interest expense</w:t>
            </w:r>
          </w:p>
        </w:tc>
        <w:tc>
          <w:tcPr>
            <w:tcW w:w="1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41.0</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0.2</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41.2</w:t>
            </w:r>
          </w:p>
        </w:tc>
        <w:tc>
          <w:tcPr>
            <w:tcW w:w="87" w:type="dxa"/>
            <w:tcBorders/>
            <w:shd w:fill="CCEEFF" w:val="clear"/>
            <w:vAlign w:val="bottom"/>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Interest and other income (expense)</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0.1</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0.3</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jc w:val="right"/>
              <w:rPr/>
            </w:pPr>
            <w:r>
              <w:rPr/>
              <w:t></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0.4</w:t>
            </w:r>
          </w:p>
        </w:tc>
        <w:tc>
          <w:tcPr>
            <w:tcW w:w="87" w:type="dxa"/>
            <w:tcBorders/>
            <w:shd w:fill="auto" w:val="clear"/>
            <w:vAlign w:val="bottom"/>
          </w:tcPr>
          <w:p>
            <w:pPr>
              <w:pStyle w:val="TableContents"/>
              <w:spacing w:before="0" w:after="283"/>
              <w:rPr/>
            </w:pPr>
            <w:r>
              <w:rPr/>
              <w:t> </w:t>
            </w:r>
          </w:p>
        </w:tc>
      </w:tr>
      <w:tr>
        <w:trPr/>
        <w:tc>
          <w:tcPr>
            <w:tcW w:w="1973" w:type="dxa"/>
            <w:tcBorders/>
            <w:shd w:fill="CCEEFF" w:val="clear"/>
            <w:vAlign w:val="bottom"/>
          </w:tcPr>
          <w:p>
            <w:pPr>
              <w:pStyle w:val="TableContents"/>
              <w:spacing w:before="0" w:after="0"/>
              <w:ind w:left="225" w:right="0" w:hanging="225"/>
              <w:rPr/>
            </w:pPr>
            <w:r>
              <w:rPr/>
              <w:t>Income tax expense</w:t>
            </w:r>
          </w:p>
        </w:tc>
        <w:tc>
          <w:tcPr>
            <w:tcW w:w="15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12.1</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9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0"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12.1</w:t>
            </w:r>
          </w:p>
        </w:tc>
        <w:tc>
          <w:tcPr>
            <w:tcW w:w="87" w:type="dxa"/>
            <w:tcBorders/>
            <w:shd w:fill="CCEEFF" w:val="clear"/>
            <w:vAlign w:val="bottom"/>
          </w:tcPr>
          <w:p>
            <w:pPr>
              <w:pStyle w:val="TableContents"/>
              <w:spacing w:before="0" w:after="283"/>
              <w:rPr/>
            </w:pPr>
            <w:r>
              <w:rPr/>
              <w:t> </w:t>
            </w:r>
          </w:p>
        </w:tc>
      </w:tr>
      <w:tr>
        <w:trPr/>
        <w:tc>
          <w:tcPr>
            <w:tcW w:w="1973"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0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6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4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1973" w:type="dxa"/>
            <w:tcBorders/>
            <w:shd w:fill="auto" w:val="clear"/>
            <w:vAlign w:val="bottom"/>
          </w:tcPr>
          <w:p>
            <w:pPr>
              <w:pStyle w:val="TableContents"/>
              <w:spacing w:before="0" w:after="0"/>
              <w:ind w:left="225" w:right="0" w:hanging="225"/>
              <w:rPr/>
            </w:pPr>
            <w:r>
              <w:rPr/>
              <w:t>Net (loss) income</w:t>
            </w:r>
          </w:p>
        </w:tc>
        <w:tc>
          <w:tcPr>
            <w:tcW w:w="1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104.8</w:t>
            </w:r>
          </w:p>
        </w:tc>
        <w:tc>
          <w:tcPr>
            <w:tcW w:w="136"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052" w:type="dxa"/>
            <w:tcBorders/>
            <w:shd w:fill="auto" w:val="clear"/>
            <w:vAlign w:val="bottom"/>
          </w:tcPr>
          <w:p>
            <w:pPr>
              <w:pStyle w:val="TableContents"/>
              <w:spacing w:before="0" w:after="283"/>
              <w:jc w:val="right"/>
              <w:rPr/>
            </w:pPr>
            <w:r>
              <w:rPr/>
              <w:t>142.6</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jc w:val="left"/>
              <w:rPr/>
            </w:pPr>
            <w:r>
              <w:rPr/>
              <w:t>$</w:t>
            </w:r>
          </w:p>
        </w:tc>
        <w:tc>
          <w:tcPr>
            <w:tcW w:w="1273" w:type="dxa"/>
            <w:tcBorders/>
            <w:shd w:fill="auto" w:val="clear"/>
            <w:vAlign w:val="bottom"/>
          </w:tcPr>
          <w:p>
            <w:pPr>
              <w:pStyle w:val="TableContents"/>
              <w:spacing w:before="0" w:after="283"/>
              <w:jc w:val="right"/>
              <w:rPr/>
            </w:pPr>
            <w:r>
              <w:rPr/>
              <w:t>16.3</w:t>
            </w:r>
          </w:p>
        </w:tc>
        <w:tc>
          <w:tcPr>
            <w:tcW w:w="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w:t>
            </w:r>
          </w:p>
        </w:tc>
        <w:tc>
          <w:tcPr>
            <w:tcW w:w="1110" w:type="dxa"/>
            <w:tcBorders/>
            <w:shd w:fill="auto" w:val="clear"/>
            <w:vAlign w:val="bottom"/>
          </w:tcPr>
          <w:p>
            <w:pPr>
              <w:pStyle w:val="TableContents"/>
              <w:spacing w:before="0" w:after="283"/>
              <w:jc w:val="right"/>
              <w:rPr/>
            </w:pPr>
            <w:r>
              <w:rPr/>
              <w:t>(158.9</w:t>
            </w:r>
          </w:p>
        </w:tc>
        <w:tc>
          <w:tcPr>
            <w:tcW w:w="136"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104.8</w:t>
            </w:r>
          </w:p>
        </w:tc>
        <w:tc>
          <w:tcPr>
            <w:tcW w:w="87" w:type="dxa"/>
            <w:tcBorders/>
            <w:shd w:fill="auto" w:val="clear"/>
            <w:vAlign w:val="bottom"/>
          </w:tcPr>
          <w:p>
            <w:pPr>
              <w:pStyle w:val="TableContents"/>
              <w:spacing w:before="0" w:after="283"/>
              <w:rPr/>
            </w:pPr>
            <w:r>
              <w:rPr/>
              <w:t> </w:t>
            </w:r>
          </w:p>
        </w:tc>
      </w:tr>
      <w:tr>
        <w:trPr/>
        <w:tc>
          <w:tcPr>
            <w:tcW w:w="1973"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0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6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4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73"/>
        <w:gridCol w:w="2291"/>
        <w:gridCol w:w="1041"/>
      </w:tblGrid>
      <w:tr>
        <w:trPr/>
        <w:tc>
          <w:tcPr>
            <w:tcW w:w="6873"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6873" w:type="dxa"/>
            <w:tcBorders/>
            <w:shd w:fill="auto" w:val="clear"/>
          </w:tcPr>
          <w:p>
            <w:pPr>
              <w:pStyle w:val="TableContents"/>
              <w:spacing w:before="0" w:after="283"/>
              <w:jc w:val="left"/>
              <w:rPr/>
            </w:pPr>
            <w:r>
              <w:rPr/>
              <w:t>(1)</w:t>
            </w:r>
          </w:p>
        </w:tc>
        <w:tc>
          <w:tcPr>
            <w:tcW w:w="2291"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rPr/>
            </w:pPr>
            <w:r>
              <w:rPr/>
              <w:t>Net operating revenues are calculated as Total revenues less Crude oil, refined products and LPG purchases and related costs.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962"/>
        <w:gridCol w:w="157"/>
        <w:gridCol w:w="213"/>
        <w:gridCol w:w="879"/>
        <w:gridCol w:w="134"/>
        <w:gridCol w:w="172"/>
        <w:gridCol w:w="254"/>
        <w:gridCol w:w="1052"/>
        <w:gridCol w:w="92"/>
        <w:gridCol w:w="172"/>
        <w:gridCol w:w="390"/>
        <w:gridCol w:w="1271"/>
        <w:gridCol w:w="134"/>
        <w:gridCol w:w="172"/>
        <w:gridCol w:w="241"/>
        <w:gridCol w:w="1108"/>
        <w:gridCol w:w="134"/>
        <w:gridCol w:w="172"/>
        <w:gridCol w:w="273"/>
        <w:gridCol w:w="1132"/>
        <w:gridCol w:w="91"/>
      </w:tblGrid>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995" w:type="dxa"/>
            <w:gridSpan w:val="18"/>
            <w:tcBorders/>
            <w:shd w:fill="auto" w:val="clear"/>
            <w:vAlign w:val="bottom"/>
          </w:tcPr>
          <w:p>
            <w:pPr>
              <w:pStyle w:val="TableContents"/>
              <w:spacing w:before="0" w:after="283"/>
              <w:jc w:val="center"/>
              <w:rPr>
                <w:b/>
              </w:rPr>
            </w:pPr>
            <w:r>
              <w:rPr>
                <w:b/>
              </w:rPr>
              <w:t>Condensed Consolidating Statement of Operations</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283"/>
              <w:rPr/>
            </w:pPr>
            <w:r>
              <w:rPr/>
              <w:t> </w:t>
            </w:r>
          </w:p>
        </w:tc>
        <w:tc>
          <w:tcPr>
            <w:tcW w:w="8243" w:type="dxa"/>
            <w:gridSpan w:val="20"/>
            <w:tcBorders/>
            <w:shd w:fill="auto" w:val="clear"/>
          </w:tcPr>
          <w:p>
            <w:pPr>
              <w:pStyle w:val="TableContents"/>
              <w:spacing w:before="0" w:after="283"/>
              <w:rPr>
                <w:sz w:val="4"/>
                <w:szCs w:val="4"/>
              </w:rPr>
            </w:pPr>
            <w:r>
              <w:rPr>
                <w:sz w:val="4"/>
                <w:szCs w:val="4"/>
              </w:rPr>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995"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June 30, 2007</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92" w:type="dxa"/>
            <w:gridSpan w:val="2"/>
            <w:tcBorders/>
            <w:shd w:fill="auto" w:val="clear"/>
            <w:vAlign w:val="bottom"/>
          </w:tcPr>
          <w:p>
            <w:pPr>
              <w:pStyle w:val="TableContents"/>
              <w:spacing w:before="0" w:after="283"/>
              <w:jc w:val="center"/>
              <w:rPr>
                <w:b/>
              </w:rPr>
            </w:pPr>
            <w:r>
              <w:rPr>
                <w:b/>
              </w:rPr>
              <w:t>Plains</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283"/>
              <w:jc w:val="center"/>
              <w:rPr>
                <w:b/>
              </w:rPr>
            </w:pPr>
            <w:r>
              <w:rPr>
                <w:b/>
              </w:rPr>
              <w:t>Combined</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61" w:type="dxa"/>
            <w:gridSpan w:val="2"/>
            <w:tcBorders/>
            <w:shd w:fill="auto" w:val="clear"/>
            <w:vAlign w:val="bottom"/>
          </w:tcPr>
          <w:p>
            <w:pPr>
              <w:pStyle w:val="TableContents"/>
              <w:spacing w:before="0" w:after="283"/>
              <w:jc w:val="center"/>
              <w:rPr>
                <w:b/>
              </w:rPr>
            </w:pPr>
            <w:r>
              <w:rPr>
                <w:b/>
              </w:rPr>
              <w:t>Combined</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92" w:type="dxa"/>
            <w:gridSpan w:val="2"/>
            <w:tcBorders/>
            <w:shd w:fill="auto" w:val="clear"/>
            <w:vAlign w:val="bottom"/>
          </w:tcPr>
          <w:p>
            <w:pPr>
              <w:pStyle w:val="TableContents"/>
              <w:spacing w:before="0" w:after="283"/>
              <w:jc w:val="center"/>
              <w:rPr>
                <w:b/>
              </w:rPr>
            </w:pPr>
            <w:r>
              <w:rPr>
                <w:b/>
              </w:rPr>
              <w:t>All</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283"/>
              <w:jc w:val="center"/>
              <w:rPr>
                <w:b/>
              </w:rPr>
            </w:pPr>
            <w:r>
              <w:rPr>
                <w:b/>
              </w:rPr>
              <w:t>Guarantor</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61" w:type="dxa"/>
            <w:gridSpan w:val="2"/>
            <w:tcBorders/>
            <w:shd w:fill="auto" w:val="clear"/>
            <w:vAlign w:val="bottom"/>
          </w:tcPr>
          <w:p>
            <w:pPr>
              <w:pStyle w:val="TableContents"/>
              <w:spacing w:before="0" w:after="283"/>
              <w:jc w:val="center"/>
              <w:rPr>
                <w:b/>
              </w:rPr>
            </w:pPr>
            <w:r>
              <w:rPr>
                <w:b/>
              </w:rPr>
              <w:t>Non-Guarantor</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995" w:type="dxa"/>
            <w:gridSpan w:val="18"/>
            <w:tcBorders/>
            <w:shd w:fill="auto" w:val="clear"/>
            <w:vAlign w:val="bottom"/>
          </w:tcPr>
          <w:p>
            <w:pPr>
              <w:pStyle w:val="TableContents"/>
              <w:spacing w:before="0" w:after="283"/>
              <w:jc w:val="center"/>
              <w:rPr>
                <w:b/>
              </w:rPr>
            </w:pPr>
            <w:r>
              <w:rPr>
                <w:b/>
              </w:rPr>
              <w:t>(in millions)</w:t>
            </w:r>
          </w:p>
        </w:tc>
        <w:tc>
          <w:tcPr>
            <w:tcW w:w="91" w:type="dxa"/>
            <w:tcBorders/>
            <w:shd w:fill="auto" w:val="clear"/>
            <w:vAlign w:val="bottom"/>
          </w:tcPr>
          <w:p>
            <w:pPr>
              <w:pStyle w:val="TableContents"/>
              <w:spacing w:before="0" w:after="283"/>
              <w:rPr/>
            </w:pPr>
            <w:r>
              <w:rPr/>
              <w:t> </w:t>
            </w:r>
          </w:p>
        </w:tc>
      </w:tr>
      <w:tr>
        <w:trPr/>
        <w:tc>
          <w:tcPr>
            <w:tcW w:w="1962" w:type="dxa"/>
            <w:tcBorders/>
            <w:shd w:fill="CCEEFF" w:val="clear"/>
            <w:vAlign w:val="bottom"/>
          </w:tcPr>
          <w:p>
            <w:pPr>
              <w:pStyle w:val="TableContents"/>
              <w:spacing w:before="0" w:after="0"/>
              <w:ind w:left="225" w:right="0" w:hanging="225"/>
              <w:rPr/>
            </w:pPr>
            <w:r>
              <w:rPr/>
              <w:t>Net operating revenues (1)</w:t>
            </w:r>
          </w:p>
        </w:tc>
        <w:tc>
          <w:tcPr>
            <w:tcW w:w="15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left"/>
              <w:rPr/>
            </w:pPr>
            <w:r>
              <w:rPr/>
              <w:t>$</w:t>
            </w:r>
          </w:p>
        </w:tc>
        <w:tc>
          <w:tcPr>
            <w:tcW w:w="1052" w:type="dxa"/>
            <w:tcBorders/>
            <w:shd w:fill="CCEEFF" w:val="clear"/>
            <w:vAlign w:val="bottom"/>
          </w:tcPr>
          <w:p>
            <w:pPr>
              <w:pStyle w:val="TableContents"/>
              <w:spacing w:before="0" w:after="283"/>
              <w:jc w:val="right"/>
              <w:rPr/>
            </w:pPr>
            <w:r>
              <w:rPr/>
              <w:t>658.5</w:t>
            </w:r>
          </w:p>
        </w:tc>
        <w:tc>
          <w:tcPr>
            <w:tcW w:w="9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pPr>
            <w:r>
              <w:rPr/>
              <w:t>$</w:t>
            </w:r>
          </w:p>
        </w:tc>
        <w:tc>
          <w:tcPr>
            <w:tcW w:w="1271" w:type="dxa"/>
            <w:tcBorders/>
            <w:shd w:fill="CCEEFF" w:val="clear"/>
            <w:vAlign w:val="bottom"/>
          </w:tcPr>
          <w:p>
            <w:pPr>
              <w:pStyle w:val="TableContents"/>
              <w:spacing w:before="0" w:after="283"/>
              <w:jc w:val="right"/>
              <w:rPr/>
            </w:pPr>
            <w:r>
              <w:rPr/>
              <w:t>59.6</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jc w:val="left"/>
              <w:rPr/>
            </w:pPr>
            <w:r>
              <w:rPr/>
              <w:t>$</w:t>
            </w:r>
          </w:p>
        </w:tc>
        <w:tc>
          <w:tcPr>
            <w:tcW w:w="1108"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718.1</w:t>
            </w:r>
          </w:p>
        </w:tc>
        <w:tc>
          <w:tcPr>
            <w:tcW w:w="91" w:type="dxa"/>
            <w:tcBorders/>
            <w:shd w:fill="CCEEFF"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Field operating costs</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242.8</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18.6</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261.4</w:t>
            </w:r>
          </w:p>
        </w:tc>
        <w:tc>
          <w:tcPr>
            <w:tcW w:w="91" w:type="dxa"/>
            <w:tcBorders/>
            <w:shd w:fill="auto" w:val="clear"/>
            <w:vAlign w:val="bottom"/>
          </w:tcPr>
          <w:p>
            <w:pPr>
              <w:pStyle w:val="TableContents"/>
              <w:spacing w:before="0" w:after="283"/>
              <w:rPr/>
            </w:pPr>
            <w:r>
              <w:rPr/>
              <w:t> </w:t>
            </w:r>
          </w:p>
        </w:tc>
      </w:tr>
      <w:tr>
        <w:trPr/>
        <w:tc>
          <w:tcPr>
            <w:tcW w:w="1962" w:type="dxa"/>
            <w:tcBorders/>
            <w:shd w:fill="CCEEFF" w:val="clear"/>
            <w:vAlign w:val="bottom"/>
          </w:tcPr>
          <w:p>
            <w:pPr>
              <w:pStyle w:val="TableContents"/>
              <w:spacing w:before="0" w:after="0"/>
              <w:ind w:left="225" w:right="0" w:hanging="225"/>
              <w:rPr/>
            </w:pPr>
            <w:r>
              <w:rPr/>
              <w:t>General and administrative expenses</w:t>
            </w:r>
          </w:p>
        </w:tc>
        <w:tc>
          <w:tcPr>
            <w:tcW w:w="15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0.1</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95.5</w:t>
            </w:r>
          </w:p>
        </w:tc>
        <w:tc>
          <w:tcPr>
            <w:tcW w:w="9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(1.1</w:t>
            </w:r>
          </w:p>
        </w:tc>
        <w:tc>
          <w:tcPr>
            <w:tcW w:w="134"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94.5</w:t>
            </w:r>
          </w:p>
        </w:tc>
        <w:tc>
          <w:tcPr>
            <w:tcW w:w="91" w:type="dxa"/>
            <w:tcBorders/>
            <w:shd w:fill="CCEEFF"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Depreciation and amortization</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1.3</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80.6</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10.1</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92.0</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0"/>
              <w:ind w:left="225" w:right="0" w:hanging="225"/>
              <w:rPr/>
            </w:pPr>
            <w:r>
              <w:rPr/>
              <w:t> </w:t>
            </w:r>
          </w:p>
        </w:tc>
        <w:tc>
          <w:tcPr>
            <w:tcW w:w="157"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r>
        <w:trPr/>
        <w:tc>
          <w:tcPr>
            <w:tcW w:w="1962" w:type="dxa"/>
            <w:tcBorders/>
            <w:shd w:fill="CCEEFF" w:val="clear"/>
            <w:vAlign w:val="bottom"/>
          </w:tcPr>
          <w:p>
            <w:pPr>
              <w:pStyle w:val="TableContents"/>
              <w:spacing w:before="0" w:after="0"/>
              <w:ind w:left="225" w:right="0" w:hanging="225"/>
              <w:rPr/>
            </w:pPr>
            <w:r>
              <w:rPr/>
              <w:t>Operating income</w:t>
            </w:r>
          </w:p>
        </w:tc>
        <w:tc>
          <w:tcPr>
            <w:tcW w:w="15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79" w:type="dxa"/>
            <w:tcBorders/>
            <w:shd w:fill="CCEEFF" w:val="clear"/>
            <w:vAlign w:val="bottom"/>
          </w:tcPr>
          <w:p>
            <w:pPr>
              <w:pStyle w:val="TableContents"/>
              <w:spacing w:before="0" w:after="283"/>
              <w:jc w:val="right"/>
              <w:rPr/>
            </w:pPr>
            <w:r>
              <w:rPr/>
              <w:t>(1.4</w:t>
            </w:r>
          </w:p>
        </w:tc>
        <w:tc>
          <w:tcPr>
            <w:tcW w:w="134"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239.6</w:t>
            </w:r>
          </w:p>
        </w:tc>
        <w:tc>
          <w:tcPr>
            <w:tcW w:w="9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32.0</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270.2</w:t>
            </w:r>
          </w:p>
        </w:tc>
        <w:tc>
          <w:tcPr>
            <w:tcW w:w="91" w:type="dxa"/>
            <w:tcBorders/>
            <w:shd w:fill="CCEEFF"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0"/>
              <w:ind w:left="225" w:right="0" w:hanging="225"/>
              <w:rPr/>
            </w:pPr>
            <w:r>
              <w:rPr/>
              <w:t> </w:t>
            </w:r>
          </w:p>
        </w:tc>
        <w:tc>
          <w:tcPr>
            <w:tcW w:w="157"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 </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Equity earnings in unconsolidated entities</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272.6</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34.1</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 </w:t>
            </w:r>
          </w:p>
        </w:tc>
        <w:tc>
          <w:tcPr>
            <w:tcW w:w="1108" w:type="dxa"/>
            <w:tcBorders/>
            <w:shd w:fill="auto" w:val="clear"/>
            <w:vAlign w:val="bottom"/>
          </w:tcPr>
          <w:p>
            <w:pPr>
              <w:pStyle w:val="TableContents"/>
              <w:spacing w:before="0" w:after="283"/>
              <w:jc w:val="right"/>
              <w:rPr/>
            </w:pPr>
            <w:r>
              <w:rPr/>
              <w:t>(298.1</w:t>
            </w:r>
          </w:p>
        </w:tc>
        <w:tc>
          <w:tcPr>
            <w:tcW w:w="134"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8.6</w:t>
            </w:r>
          </w:p>
        </w:tc>
        <w:tc>
          <w:tcPr>
            <w:tcW w:w="91" w:type="dxa"/>
            <w:tcBorders/>
            <w:shd w:fill="auto" w:val="clear"/>
            <w:vAlign w:val="bottom"/>
          </w:tcPr>
          <w:p>
            <w:pPr>
              <w:pStyle w:val="TableContents"/>
              <w:spacing w:before="0" w:after="283"/>
              <w:rPr/>
            </w:pPr>
            <w:r>
              <w:rPr/>
              <w:t> </w:t>
            </w:r>
          </w:p>
        </w:tc>
      </w:tr>
      <w:tr>
        <w:trPr/>
        <w:tc>
          <w:tcPr>
            <w:tcW w:w="1962" w:type="dxa"/>
            <w:tcBorders/>
            <w:shd w:fill="CCEEFF" w:val="clear"/>
            <w:vAlign w:val="bottom"/>
          </w:tcPr>
          <w:p>
            <w:pPr>
              <w:pStyle w:val="TableContents"/>
              <w:spacing w:before="0" w:after="0"/>
              <w:ind w:left="225" w:right="0" w:hanging="225"/>
              <w:rPr/>
            </w:pPr>
            <w:r>
              <w:rPr/>
              <w:t>Interest expense</w:t>
            </w:r>
          </w:p>
        </w:tc>
        <w:tc>
          <w:tcPr>
            <w:tcW w:w="15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82.2</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0.1</w:t>
            </w:r>
          </w:p>
        </w:tc>
        <w:tc>
          <w:tcPr>
            <w:tcW w:w="9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82.3</w:t>
            </w:r>
          </w:p>
        </w:tc>
        <w:tc>
          <w:tcPr>
            <w:tcW w:w="91" w:type="dxa"/>
            <w:tcBorders/>
            <w:shd w:fill="CCEEFF"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Interest and other income (expense)</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0.5</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4.7</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5.2</w:t>
            </w:r>
          </w:p>
        </w:tc>
        <w:tc>
          <w:tcPr>
            <w:tcW w:w="91" w:type="dxa"/>
            <w:tcBorders/>
            <w:shd w:fill="auto" w:val="clear"/>
            <w:vAlign w:val="bottom"/>
          </w:tcPr>
          <w:p>
            <w:pPr>
              <w:pStyle w:val="TableContents"/>
              <w:spacing w:before="0" w:after="283"/>
              <w:rPr/>
            </w:pPr>
            <w:r>
              <w:rPr/>
              <w:t> </w:t>
            </w:r>
          </w:p>
        </w:tc>
      </w:tr>
      <w:tr>
        <w:trPr/>
        <w:tc>
          <w:tcPr>
            <w:tcW w:w="1962" w:type="dxa"/>
            <w:tcBorders/>
            <w:shd w:fill="CCEEFF" w:val="clear"/>
            <w:vAlign w:val="bottom"/>
          </w:tcPr>
          <w:p>
            <w:pPr>
              <w:pStyle w:val="TableContents"/>
              <w:spacing w:before="0" w:after="0"/>
              <w:ind w:left="225" w:right="0" w:hanging="225"/>
              <w:rPr/>
            </w:pPr>
            <w:r>
              <w:rPr/>
              <w:t>Income tax expense</w:t>
            </w:r>
          </w:p>
        </w:tc>
        <w:tc>
          <w:tcPr>
            <w:tcW w:w="15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12.2</w:t>
            </w:r>
          </w:p>
        </w:tc>
        <w:tc>
          <w:tcPr>
            <w:tcW w:w="92"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12.2</w:t>
            </w:r>
          </w:p>
        </w:tc>
        <w:tc>
          <w:tcPr>
            <w:tcW w:w="91" w:type="dxa"/>
            <w:tcBorders/>
            <w:shd w:fill="CCEEFF"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0"/>
              <w:ind w:left="225" w:right="0" w:hanging="225"/>
              <w:rPr/>
            </w:pPr>
            <w:r>
              <w:rPr/>
              <w:t> </w:t>
            </w:r>
          </w:p>
        </w:tc>
        <w:tc>
          <w:tcPr>
            <w:tcW w:w="157" w:type="dxa"/>
            <w:tcBorders/>
            <w:shd w:fill="auto" w:val="clear"/>
            <w:vAlign w:val="center"/>
          </w:tcPr>
          <w:p>
            <w:pPr>
              <w:pStyle w:val="TableContents"/>
              <w:spacing w:before="0" w:after="283"/>
              <w:rPr/>
            </w:pPr>
            <w:r>
              <w:rPr/>
              <w:t> </w:t>
            </w:r>
          </w:p>
        </w:tc>
        <w:tc>
          <w:tcPr>
            <w:tcW w:w="10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Net (loss) income</w:t>
            </w:r>
          </w:p>
        </w:tc>
        <w:tc>
          <w:tcPr>
            <w:tcW w:w="15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189.5</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left"/>
              <w:rPr/>
            </w:pPr>
            <w:r>
              <w:rPr/>
              <w:t>$</w:t>
            </w:r>
          </w:p>
        </w:tc>
        <w:tc>
          <w:tcPr>
            <w:tcW w:w="1052" w:type="dxa"/>
            <w:tcBorders/>
            <w:shd w:fill="auto" w:val="clear"/>
            <w:vAlign w:val="bottom"/>
          </w:tcPr>
          <w:p>
            <w:pPr>
              <w:pStyle w:val="TableContents"/>
              <w:spacing w:before="0" w:after="283"/>
              <w:jc w:val="right"/>
              <w:rPr/>
            </w:pPr>
            <w:r>
              <w:rPr/>
              <w:t>266.1</w:t>
            </w:r>
          </w:p>
        </w:tc>
        <w:tc>
          <w:tcPr>
            <w:tcW w:w="92"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jc w:val="left"/>
              <w:rPr/>
            </w:pPr>
            <w:r>
              <w:rPr/>
              <w:t>$</w:t>
            </w:r>
          </w:p>
        </w:tc>
        <w:tc>
          <w:tcPr>
            <w:tcW w:w="1271" w:type="dxa"/>
            <w:tcBorders/>
            <w:shd w:fill="auto" w:val="clear"/>
            <w:vAlign w:val="bottom"/>
          </w:tcPr>
          <w:p>
            <w:pPr>
              <w:pStyle w:val="TableContents"/>
              <w:spacing w:before="0" w:after="283"/>
              <w:jc w:val="right"/>
              <w:rPr/>
            </w:pPr>
            <w:r>
              <w:rPr/>
              <w:t>32.0</w:t>
            </w:r>
          </w:p>
        </w:tc>
        <w:tc>
          <w:tcPr>
            <w:tcW w:w="13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(298.1</w:t>
            </w:r>
          </w:p>
        </w:tc>
        <w:tc>
          <w:tcPr>
            <w:tcW w:w="134"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189.5</w:t>
            </w:r>
          </w:p>
        </w:tc>
        <w:tc>
          <w:tcPr>
            <w:tcW w:w="91" w:type="dxa"/>
            <w:tcBorders/>
            <w:shd w:fill="auto"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0"/>
              <w:ind w:left="225" w:right="0" w:hanging="225"/>
              <w:rPr/>
            </w:pPr>
            <w:r>
              <w:rPr/>
              <w:t> </w:t>
            </w:r>
          </w:p>
        </w:tc>
        <w:tc>
          <w:tcPr>
            <w:tcW w:w="157" w:type="dxa"/>
            <w:tcBorders/>
            <w:shd w:fill="auto" w:val="clear"/>
            <w:vAlign w:val="center"/>
          </w:tcPr>
          <w:p>
            <w:pPr>
              <w:pStyle w:val="TableContents"/>
              <w:spacing w:before="0" w:after="283"/>
              <w:rPr/>
            </w:pPr>
            <w:r>
              <w:rPr/>
              <w:t> </w:t>
            </w:r>
          </w:p>
        </w:tc>
        <w:tc>
          <w:tcPr>
            <w:tcW w:w="10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3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73"/>
        <w:gridCol w:w="2291"/>
        <w:gridCol w:w="1041"/>
      </w:tblGrid>
      <w:tr>
        <w:trPr/>
        <w:tc>
          <w:tcPr>
            <w:tcW w:w="6873"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6873" w:type="dxa"/>
            <w:tcBorders/>
            <w:shd w:fill="auto" w:val="clear"/>
          </w:tcPr>
          <w:p>
            <w:pPr>
              <w:pStyle w:val="TableContents"/>
              <w:spacing w:before="0" w:after="283"/>
              <w:jc w:val="left"/>
              <w:rPr/>
            </w:pPr>
            <w:r>
              <w:rPr/>
              <w:t>(1)</w:t>
            </w:r>
          </w:p>
        </w:tc>
        <w:tc>
          <w:tcPr>
            <w:tcW w:w="2291"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rPr/>
            </w:pPr>
            <w:r>
              <w:rPr/>
              <w:t>Net operating revenues are calculated as Total revenues less Crude oil, refined products and LPG purchases and related costs.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949"/>
        <w:gridCol w:w="152"/>
        <w:gridCol w:w="193"/>
        <w:gridCol w:w="890"/>
        <w:gridCol w:w="127"/>
        <w:gridCol w:w="164"/>
        <w:gridCol w:w="230"/>
        <w:gridCol w:w="1065"/>
        <w:gridCol w:w="127"/>
        <w:gridCol w:w="164"/>
        <w:gridCol w:w="345"/>
        <w:gridCol w:w="1305"/>
        <w:gridCol w:w="127"/>
        <w:gridCol w:w="164"/>
        <w:gridCol w:w="239"/>
        <w:gridCol w:w="1098"/>
        <w:gridCol w:w="127"/>
        <w:gridCol w:w="164"/>
        <w:gridCol w:w="247"/>
        <w:gridCol w:w="1148"/>
        <w:gridCol w:w="180"/>
      </w:tblGrid>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shd w:fill="auto" w:val="clear"/>
            <w:vAlign w:val="bottom"/>
          </w:tcPr>
          <w:p>
            <w:pPr>
              <w:pStyle w:val="TableContents"/>
              <w:spacing w:before="0" w:after="283"/>
              <w:jc w:val="center"/>
              <w:rPr>
                <w:b/>
              </w:rPr>
            </w:pPr>
            <w:r>
              <w:rPr>
                <w:b/>
              </w:rPr>
              <w:t>Condensed Consolidating Statements of Cash Flows</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June 30, 2007</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Plains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jc w:val="center"/>
              <w:rPr>
                <w:b/>
              </w:rPr>
            </w:pPr>
            <w:r>
              <w:rPr>
                <w:b/>
              </w:rPr>
              <w:t>Combined</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Combined</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All</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jc w:val="center"/>
              <w:rPr>
                <w:b/>
              </w:rPr>
            </w:pPr>
            <w:r>
              <w:rPr>
                <w:b/>
              </w:rPr>
              <w:t>Guarantor</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Non-Guarantor</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shd w:fill="auto" w:val="clear"/>
            <w:vAlign w:val="bottom"/>
          </w:tcPr>
          <w:p>
            <w:pPr>
              <w:pStyle w:val="TableContents"/>
              <w:spacing w:before="0" w:after="283"/>
              <w:jc w:val="center"/>
              <w:rPr>
                <w:b/>
              </w:rPr>
            </w:pPr>
            <w:r>
              <w:rPr>
                <w:b/>
              </w:rPr>
              <w:t>(in millions)</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FLOWS FROM OPERATING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income</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189.5</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266.1</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left"/>
              <w:rPr/>
            </w:pPr>
            <w:r>
              <w:rPr/>
              <w:t>$</w:t>
            </w:r>
          </w:p>
        </w:tc>
        <w:tc>
          <w:tcPr>
            <w:tcW w:w="1305" w:type="dxa"/>
            <w:tcBorders/>
            <w:shd w:fill="auto" w:val="clear"/>
            <w:vAlign w:val="bottom"/>
          </w:tcPr>
          <w:p>
            <w:pPr>
              <w:pStyle w:val="TableContents"/>
              <w:spacing w:before="0" w:after="283"/>
              <w:jc w:val="right"/>
              <w:rPr/>
            </w:pPr>
            <w:r>
              <w:rPr/>
              <w:t>32.0</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098" w:type="dxa"/>
            <w:tcBorders/>
            <w:shd w:fill="auto" w:val="clear"/>
            <w:vAlign w:val="bottom"/>
          </w:tcPr>
          <w:p>
            <w:pPr>
              <w:pStyle w:val="TableContents"/>
              <w:spacing w:before="0" w:after="283"/>
              <w:jc w:val="right"/>
              <w:rPr/>
            </w:pPr>
            <w:r>
              <w:rPr/>
              <w:t>(298.1</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148" w:type="dxa"/>
            <w:tcBorders/>
            <w:shd w:fill="auto" w:val="clear"/>
            <w:vAlign w:val="bottom"/>
          </w:tcPr>
          <w:p>
            <w:pPr>
              <w:pStyle w:val="TableContents"/>
              <w:spacing w:before="0" w:after="283"/>
              <w:jc w:val="right"/>
              <w:rPr/>
            </w:pPr>
            <w:r>
              <w:rPr/>
              <w:t>189.5</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Depreciation, amortization and other</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80.6</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10.1</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92.0</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Inventory valuation adjustment</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0.6</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0.6</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Gain on sale of investment assets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(3.9</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(3.9</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SFAS 133 mark-to-market adjustment</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0.3</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2.1</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Long-Term Incentive Plan charge</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40.4</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40.4</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Deferred income tax expense</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12.2</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12.2</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Noncash amortization of terminated interest rate hedging instruments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0.4</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jc w:val="left"/>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0.4</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Gain on foreign currency revaluation</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(2.0</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(2.0</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Equity earnings in unconsolidated entities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(271.8</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(33.3</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(297.3</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(7.8</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Net change in assets and liabilities, net of acquisitions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(82.8</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62.8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(31.8</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0.8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(51.0</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675" w:right="0" w:hanging="225"/>
              <w:rPr/>
            </w:pPr>
            <w:r>
              <w:rPr/>
              <w:t>Net cash provided by operating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(163.1</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425.3</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10.3</w:t>
            </w:r>
          </w:p>
        </w:tc>
        <w:tc>
          <w:tcPr>
            <w:tcW w:w="127" w:type="dxa"/>
            <w:tcBorders/>
            <w:shd w:fill="auto" w:val="clear"/>
            <w:vAlign w:val="bottom"/>
          </w:tcPr>
          <w:p>
            <w:pPr>
              <w:pStyle w:val="TableContents"/>
              <w:spacing w:before="0" w:after="283"/>
              <w:jc w:val="left"/>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272.5</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CASH FLOWS FROM INVESTING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paid in connection with acquisition</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(17.5</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(17.5</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Additions to property and equipment</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(256.6</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(10.3</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(266.9</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Investment in unconsolidated entities, net</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(9.3</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(9.3</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Cash paid for linefill in assets owned</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(14.7</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(14.7</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Proceeds from sales of assets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12.6</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12.6</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675" w:right="0" w:hanging="225"/>
              <w:rPr/>
            </w:pPr>
            <w:r>
              <w:rPr/>
              <w:t>Net cash used in investing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(9.3</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(276.2</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(10.3</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(295.8</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FLOWS FROM FINANCING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repayments on working capital revolving credit facility</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(175.1</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(175.1</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Net borrowings on short-term letter of credit and hedged inventory facility</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52.3</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52.3</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proceeds from the issuance of common units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382.5</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382.5</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Distributions paid to unitholders and general partner</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(212.0</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(212.0</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Other financing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0.4</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(0.5</w:t>
            </w:r>
          </w:p>
        </w:tc>
        <w:tc>
          <w:tcPr>
            <w:tcW w:w="127" w:type="dxa"/>
            <w:tcBorders/>
            <w:shd w:fill="auto" w:val="clear"/>
            <w:vAlign w:val="bottom"/>
          </w:tcPr>
          <w:p>
            <w:pPr>
              <w:pStyle w:val="TableContents"/>
              <w:spacing w:before="0" w:after="283"/>
              <w:jc w:val="left"/>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(0.1</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675" w:right="0" w:hanging="225"/>
              <w:rPr/>
            </w:pPr>
            <w:r>
              <w:rPr/>
              <w:t>Net cash provided by financing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170.9</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(123.3</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47.6</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Effect of translation adjustment on cash</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9.0</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9.0</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 </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Net increase (decrease) in cash and cash equivalents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(1.5</w:t>
            </w:r>
          </w:p>
        </w:tc>
        <w:tc>
          <w:tcPr>
            <w:tcW w:w="127" w:type="dxa"/>
            <w:tcBorders/>
            <w:shd w:fill="CCEEFF" w:val="clear"/>
            <w:vAlign w:val="bottom"/>
          </w:tcPr>
          <w:p>
            <w:pPr>
              <w:pStyle w:val="TableContents"/>
              <w:spacing w:before="0" w:after="283"/>
              <w:jc w:val="left"/>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34.8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33.3</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Cash and cash equivalents, beginning of period</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9.0</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11.3</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and cash equivalents, end of period</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0.8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43.8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left"/>
              <w:rPr/>
            </w:pPr>
            <w:r>
              <w:rPr/>
              <w:t>$</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1148" w:type="dxa"/>
            <w:tcBorders/>
            <w:shd w:fill="CCEEFF" w:val="clear"/>
            <w:vAlign w:val="bottom"/>
          </w:tcPr>
          <w:p>
            <w:pPr>
              <w:pStyle w:val="TableContents"/>
              <w:spacing w:before="0" w:after="283"/>
              <w:jc w:val="right"/>
              <w:rPr/>
            </w:pPr>
            <w:r>
              <w:rPr/>
              <w:t>44.6</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three months and six months ended June 30, 2006, the Non-Guarantor Subsidiaries were considered minor, as defined by Regulation S-X rule 3-10(h)(6). As a result, supplemental condensed consolidating financial information is not presented for those periods.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Introduction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discussion is intended to provide investors with an understanding of our financial condition and our results of operations and should be read in conjunction with our historical consolidated financial statements and accompanying notes. For more detailed information regarding the basis of presentation for the following financial information, see the Notes to the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Highlights  Second Quarter of 2007</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84"/>
        <w:gridCol w:w="89"/>
        <w:gridCol w:w="187"/>
        <w:gridCol w:w="581"/>
        <w:gridCol w:w="106"/>
        <w:gridCol w:w="121"/>
        <w:gridCol w:w="187"/>
        <w:gridCol w:w="459"/>
        <w:gridCol w:w="106"/>
        <w:gridCol w:w="121"/>
        <w:gridCol w:w="128"/>
        <w:gridCol w:w="418"/>
        <w:gridCol w:w="352"/>
        <w:gridCol w:w="119"/>
        <w:gridCol w:w="182"/>
        <w:gridCol w:w="560"/>
        <w:gridCol w:w="104"/>
        <w:gridCol w:w="119"/>
        <w:gridCol w:w="182"/>
        <w:gridCol w:w="560"/>
        <w:gridCol w:w="104"/>
        <w:gridCol w:w="119"/>
        <w:gridCol w:w="115"/>
        <w:gridCol w:w="489"/>
        <w:gridCol w:w="313"/>
      </w:tblGrid>
      <w:tr>
        <w:trPr/>
        <w:tc>
          <w:tcPr>
            <w:tcW w:w="438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r>
      <w:tr>
        <w:trPr/>
        <w:tc>
          <w:tcPr>
            <w:tcW w:w="438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66" w:type="dxa"/>
            <w:gridSpan w:val="11"/>
            <w:tcBorders/>
            <w:shd w:fill="auto" w:val="clear"/>
            <w:vAlign w:val="bottom"/>
          </w:tcPr>
          <w:p>
            <w:pPr>
              <w:pStyle w:val="TableContents"/>
              <w:spacing w:before="0" w:after="283"/>
              <w:jc w:val="center"/>
              <w:rPr>
                <w:b/>
              </w:rPr>
            </w:pPr>
            <w:r>
              <w:rPr>
                <w:b/>
              </w:rPr>
              <w:t>For the three months</w:t>
            </w:r>
          </w:p>
        </w:tc>
        <w:tc>
          <w:tcPr>
            <w:tcW w:w="119" w:type="dxa"/>
            <w:tcBorders/>
            <w:shd w:fill="auto" w:val="clear"/>
            <w:vAlign w:val="bottom"/>
          </w:tcPr>
          <w:p>
            <w:pPr>
              <w:pStyle w:val="TableContents"/>
              <w:spacing w:before="0" w:after="283"/>
              <w:rPr/>
            </w:pPr>
            <w:r>
              <w:rPr/>
              <w:t> </w:t>
            </w:r>
          </w:p>
        </w:tc>
        <w:tc>
          <w:tcPr>
            <w:tcW w:w="2847" w:type="dxa"/>
            <w:gridSpan w:val="11"/>
            <w:tcBorders/>
            <w:shd w:fill="auto" w:val="clear"/>
            <w:vAlign w:val="bottom"/>
          </w:tcPr>
          <w:p>
            <w:pPr>
              <w:pStyle w:val="TableContents"/>
              <w:spacing w:before="0" w:after="283"/>
              <w:jc w:val="center"/>
              <w:rPr>
                <w:b/>
              </w:rPr>
            </w:pPr>
            <w:r>
              <w:rPr>
                <w:b/>
              </w:rPr>
              <w:t>For the six months</w:t>
            </w:r>
          </w:p>
        </w:tc>
      </w:tr>
      <w:tr>
        <w:trPr/>
        <w:tc>
          <w:tcPr>
            <w:tcW w:w="438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76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c>
          <w:tcPr>
            <w:tcW w:w="119" w:type="dxa"/>
            <w:tcBorders/>
            <w:shd w:fill="auto" w:val="clear"/>
            <w:vAlign w:val="bottom"/>
          </w:tcPr>
          <w:p>
            <w:pPr>
              <w:pStyle w:val="TableContents"/>
              <w:spacing w:before="0" w:after="283"/>
              <w:rPr/>
            </w:pPr>
            <w:r>
              <w:rPr/>
              <w:t> </w:t>
            </w:r>
          </w:p>
        </w:tc>
        <w:tc>
          <w:tcPr>
            <w:tcW w:w="2847"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r>
      <w:tr>
        <w:trPr/>
        <w:tc>
          <w:tcPr>
            <w:tcW w:w="438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98" w:type="dxa"/>
            <w:gridSpan w:val="3"/>
            <w:tcBorders/>
            <w:shd w:fill="auto" w:val="clear"/>
            <w:vAlign w:val="bottom"/>
          </w:tcPr>
          <w:p>
            <w:pPr>
              <w:pStyle w:val="TableContents"/>
              <w:spacing w:before="0" w:after="283"/>
              <w:jc w:val="center"/>
              <w:rPr>
                <w:b/>
              </w:rPr>
            </w:pPr>
            <w:r>
              <w:rPr>
                <w:b/>
              </w:rPr>
              <w:t>Change</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917" w:type="dxa"/>
            <w:gridSpan w:val="3"/>
            <w:tcBorders/>
            <w:shd w:fill="auto" w:val="clear"/>
            <w:vAlign w:val="bottom"/>
          </w:tcPr>
          <w:p>
            <w:pPr>
              <w:pStyle w:val="TableContents"/>
              <w:spacing w:before="0" w:after="283"/>
              <w:jc w:val="center"/>
              <w:rPr>
                <w:b/>
              </w:rPr>
            </w:pPr>
            <w:r>
              <w:rPr>
                <w:b/>
              </w:rPr>
              <w:t>Change</w:t>
            </w:r>
          </w:p>
        </w:tc>
      </w:tr>
      <w:tr>
        <w:trPr/>
        <w:tc>
          <w:tcPr>
            <w:tcW w:w="438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7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1" w:type="dxa"/>
            <w:tcBorders/>
            <w:shd w:fill="auto" w:val="clear"/>
            <w:vAlign w:val="bottom"/>
          </w:tcPr>
          <w:p>
            <w:pPr>
              <w:pStyle w:val="TableContents"/>
              <w:spacing w:before="0" w:after="283"/>
              <w:rPr/>
            </w:pPr>
            <w:r>
              <w:rPr/>
              <w:t> </w:t>
            </w:r>
          </w:p>
        </w:tc>
        <w:tc>
          <w:tcPr>
            <w:tcW w:w="75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1" w:type="dxa"/>
            <w:tcBorders/>
            <w:shd w:fill="auto" w:val="clear"/>
            <w:vAlign w:val="bottom"/>
          </w:tcPr>
          <w:p>
            <w:pPr>
              <w:pStyle w:val="TableContents"/>
              <w:spacing w:before="0" w:after="283"/>
              <w:rPr/>
            </w:pPr>
            <w:r>
              <w:rPr/>
              <w:t> </w:t>
            </w:r>
          </w:p>
        </w:tc>
        <w:tc>
          <w:tcPr>
            <w:tcW w:w="89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119" w:type="dxa"/>
            <w:tcBorders/>
            <w:shd w:fill="auto" w:val="clear"/>
            <w:vAlign w:val="bottom"/>
          </w:tcPr>
          <w:p>
            <w:pPr>
              <w:pStyle w:val="TableContents"/>
              <w:spacing w:before="0" w:after="283"/>
              <w:rPr/>
            </w:pPr>
            <w:r>
              <w:rPr/>
              <w:t> </w:t>
            </w:r>
          </w:p>
        </w:tc>
        <w:tc>
          <w:tcPr>
            <w:tcW w:w="84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9" w:type="dxa"/>
            <w:tcBorders/>
            <w:shd w:fill="auto" w:val="clear"/>
            <w:vAlign w:val="bottom"/>
          </w:tcPr>
          <w:p>
            <w:pPr>
              <w:pStyle w:val="TableContents"/>
              <w:spacing w:before="0" w:after="283"/>
              <w:rPr/>
            </w:pPr>
            <w:r>
              <w:rPr/>
              <w:t> </w:t>
            </w:r>
          </w:p>
        </w:tc>
        <w:tc>
          <w:tcPr>
            <w:tcW w:w="84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9" w:type="dxa"/>
            <w:tcBorders/>
            <w:shd w:fill="auto" w:val="clear"/>
            <w:vAlign w:val="bottom"/>
          </w:tcPr>
          <w:p>
            <w:pPr>
              <w:pStyle w:val="TableContents"/>
              <w:spacing w:before="0" w:after="283"/>
              <w:rPr/>
            </w:pPr>
            <w:r>
              <w:rPr/>
              <w:t> </w:t>
            </w:r>
          </w:p>
        </w:tc>
        <w:tc>
          <w:tcPr>
            <w:tcW w:w="91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r>
      <w:tr>
        <w:trPr/>
        <w:tc>
          <w:tcPr>
            <w:tcW w:w="4384" w:type="dxa"/>
            <w:tcBorders/>
            <w:shd w:fill="CCEEFF" w:val="clear"/>
            <w:vAlign w:val="bottom"/>
          </w:tcPr>
          <w:p>
            <w:pPr>
              <w:pStyle w:val="TableContents"/>
              <w:spacing w:before="0" w:after="0"/>
              <w:ind w:left="225" w:right="0" w:hanging="225"/>
              <w:rPr/>
            </w:pPr>
            <w:r>
              <w:rPr/>
              <w:t>Net income (in millions)</w:t>
            </w:r>
          </w:p>
        </w:tc>
        <w:tc>
          <w:tcPr>
            <w:tcW w:w="8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right"/>
              <w:rPr/>
            </w:pPr>
            <w:r>
              <w:rPr/>
              <w:t>$</w:t>
            </w:r>
          </w:p>
        </w:tc>
        <w:tc>
          <w:tcPr>
            <w:tcW w:w="581" w:type="dxa"/>
            <w:tcBorders/>
            <w:shd w:fill="CCEEFF" w:val="clear"/>
            <w:vAlign w:val="bottom"/>
          </w:tcPr>
          <w:p>
            <w:pPr>
              <w:pStyle w:val="TableContents"/>
              <w:spacing w:before="0" w:after="283"/>
              <w:jc w:val="right"/>
              <w:rPr/>
            </w:pPr>
            <w:r>
              <w:rPr/>
              <w:t>104.8</w:t>
            </w:r>
          </w:p>
        </w:tc>
        <w:tc>
          <w:tcPr>
            <w:tcW w:w="10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right"/>
              <w:rPr/>
            </w:pPr>
            <w:r>
              <w:rPr/>
              <w:t>$</w:t>
            </w:r>
          </w:p>
        </w:tc>
        <w:tc>
          <w:tcPr>
            <w:tcW w:w="459" w:type="dxa"/>
            <w:tcBorders/>
            <w:shd w:fill="CCEEFF" w:val="clear"/>
            <w:vAlign w:val="bottom"/>
          </w:tcPr>
          <w:p>
            <w:pPr>
              <w:pStyle w:val="TableContents"/>
              <w:spacing w:before="0" w:after="283"/>
              <w:jc w:val="right"/>
              <w:rPr/>
            </w:pPr>
            <w:r>
              <w:rPr/>
              <w:t>80.3</w:t>
            </w:r>
          </w:p>
        </w:tc>
        <w:tc>
          <w:tcPr>
            <w:tcW w:w="10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pPr>
            <w:r>
              <w:rPr/>
              <w:t> </w:t>
            </w:r>
          </w:p>
        </w:tc>
        <w:tc>
          <w:tcPr>
            <w:tcW w:w="418" w:type="dxa"/>
            <w:tcBorders/>
            <w:shd w:fill="CCEEFF" w:val="clear"/>
            <w:vAlign w:val="bottom"/>
          </w:tcPr>
          <w:p>
            <w:pPr>
              <w:pStyle w:val="TableContents"/>
              <w:spacing w:before="0" w:after="283"/>
              <w:jc w:val="right"/>
              <w:rPr/>
            </w:pPr>
            <w:r>
              <w:rPr/>
              <w:t>31</w:t>
            </w:r>
          </w:p>
        </w:tc>
        <w:tc>
          <w:tcPr>
            <w:tcW w:w="352" w:type="dxa"/>
            <w:tcBorders/>
            <w:shd w:fill="CCEEFF" w:val="clear"/>
            <w:vAlign w:val="bottom"/>
          </w:tcPr>
          <w:p>
            <w:pPr>
              <w:pStyle w:val="TableContents"/>
              <w:spacing w:before="0" w:after="283"/>
              <w:rPr/>
            </w:pPr>
            <w:r>
              <w:rPr/>
              <w:t>%</w:t>
            </w:r>
          </w:p>
        </w:tc>
        <w:tc>
          <w:tcPr>
            <w:tcW w:w="11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189.5</w:t>
            </w:r>
          </w:p>
        </w:tc>
        <w:tc>
          <w:tcPr>
            <w:tcW w:w="10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143.7</w:t>
            </w:r>
          </w:p>
        </w:tc>
        <w:tc>
          <w:tcPr>
            <w:tcW w:w="10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right"/>
              <w:rPr/>
            </w:pPr>
            <w:r>
              <w:rPr/>
              <w:t> </w:t>
            </w:r>
          </w:p>
        </w:tc>
        <w:tc>
          <w:tcPr>
            <w:tcW w:w="489" w:type="dxa"/>
            <w:tcBorders/>
            <w:shd w:fill="CCEEFF" w:val="clear"/>
            <w:vAlign w:val="bottom"/>
          </w:tcPr>
          <w:p>
            <w:pPr>
              <w:pStyle w:val="TableContents"/>
              <w:spacing w:before="0" w:after="283"/>
              <w:jc w:val="right"/>
              <w:rPr/>
            </w:pPr>
            <w:r>
              <w:rPr/>
              <w:t>32</w:t>
            </w:r>
          </w:p>
        </w:tc>
        <w:tc>
          <w:tcPr>
            <w:tcW w:w="313" w:type="dxa"/>
            <w:tcBorders/>
            <w:shd w:fill="CCEEFF" w:val="clear"/>
            <w:vAlign w:val="bottom"/>
          </w:tcPr>
          <w:p>
            <w:pPr>
              <w:pStyle w:val="TableContents"/>
              <w:spacing w:before="0" w:after="283"/>
              <w:rPr/>
            </w:pPr>
            <w:r>
              <w:rPr/>
              <w:t>%</w:t>
            </w:r>
          </w:p>
        </w:tc>
      </w:tr>
      <w:tr>
        <w:trPr/>
        <w:tc>
          <w:tcPr>
            <w:tcW w:w="4384" w:type="dxa"/>
            <w:tcBorders/>
            <w:shd w:fill="auto" w:val="clear"/>
            <w:vAlign w:val="bottom"/>
          </w:tcPr>
          <w:p>
            <w:pPr>
              <w:pStyle w:val="TableContents"/>
              <w:spacing w:before="0" w:after="0"/>
              <w:ind w:left="225" w:right="0" w:hanging="225"/>
              <w:rPr/>
            </w:pPr>
            <w:r>
              <w:rPr/>
              <w:t>Earnings per basic limited partner unit (1)</w:t>
            </w:r>
          </w:p>
        </w:tc>
        <w:tc>
          <w:tcPr>
            <w:tcW w:w="8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right"/>
              <w:rPr/>
            </w:pPr>
            <w:r>
              <w:rPr/>
              <w:t>$</w:t>
            </w:r>
          </w:p>
        </w:tc>
        <w:tc>
          <w:tcPr>
            <w:tcW w:w="581" w:type="dxa"/>
            <w:tcBorders/>
            <w:shd w:fill="auto" w:val="clear"/>
            <w:vAlign w:val="bottom"/>
          </w:tcPr>
          <w:p>
            <w:pPr>
              <w:pStyle w:val="TableContents"/>
              <w:spacing w:before="0" w:after="283"/>
              <w:jc w:val="right"/>
              <w:rPr/>
            </w:pPr>
            <w:r>
              <w:rPr/>
              <w:t>0.78</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right"/>
              <w:rPr/>
            </w:pPr>
            <w:r>
              <w:rPr/>
              <w:t>$</w:t>
            </w:r>
          </w:p>
        </w:tc>
        <w:tc>
          <w:tcPr>
            <w:tcW w:w="459" w:type="dxa"/>
            <w:tcBorders/>
            <w:shd w:fill="auto" w:val="clear"/>
            <w:vAlign w:val="bottom"/>
          </w:tcPr>
          <w:p>
            <w:pPr>
              <w:pStyle w:val="TableContents"/>
              <w:spacing w:before="0" w:after="283"/>
              <w:jc w:val="right"/>
              <w:rPr/>
            </w:pPr>
            <w:r>
              <w:rPr/>
              <w:t>0.82</w:t>
            </w:r>
          </w:p>
        </w:tc>
        <w:tc>
          <w:tcPr>
            <w:tcW w:w="10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right"/>
              <w:rPr/>
            </w:pPr>
            <w:r>
              <w:rPr/>
              <w:t> </w:t>
            </w:r>
          </w:p>
        </w:tc>
        <w:tc>
          <w:tcPr>
            <w:tcW w:w="418" w:type="dxa"/>
            <w:tcBorders/>
            <w:shd w:fill="auto" w:val="clear"/>
            <w:vAlign w:val="bottom"/>
          </w:tcPr>
          <w:p>
            <w:pPr>
              <w:pStyle w:val="TableContents"/>
              <w:spacing w:before="0" w:after="283"/>
              <w:jc w:val="right"/>
              <w:rPr/>
            </w:pPr>
            <w:r>
              <w:rPr/>
              <w:t>(5)</w:t>
            </w:r>
          </w:p>
        </w:tc>
        <w:tc>
          <w:tcPr>
            <w:tcW w:w="352" w:type="dxa"/>
            <w:tcBorders/>
            <w:shd w:fill="auto" w:val="clear"/>
            <w:vAlign w:val="bottom"/>
          </w:tcPr>
          <w:p>
            <w:pPr>
              <w:pStyle w:val="TableContents"/>
              <w:spacing w:before="0" w:after="283"/>
              <w:rPr/>
            </w:pPr>
            <w:r>
              <w:rPr/>
              <w:t>%</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1.40</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right"/>
              <w:rPr/>
            </w:pPr>
            <w:r>
              <w:rPr/>
              <w:t>$</w:t>
            </w:r>
          </w:p>
        </w:tc>
        <w:tc>
          <w:tcPr>
            <w:tcW w:w="560" w:type="dxa"/>
            <w:tcBorders/>
            <w:shd w:fill="auto" w:val="clear"/>
            <w:vAlign w:val="bottom"/>
          </w:tcPr>
          <w:p>
            <w:pPr>
              <w:pStyle w:val="TableContents"/>
              <w:spacing w:before="0" w:after="283"/>
              <w:jc w:val="right"/>
              <w:rPr/>
            </w:pPr>
            <w:r>
              <w:rPr/>
              <w:t>1.55</w:t>
            </w:r>
          </w:p>
        </w:tc>
        <w:tc>
          <w:tcPr>
            <w:tcW w:w="10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right"/>
              <w:rPr/>
            </w:pPr>
            <w:r>
              <w:rPr/>
              <w:t>(10)</w:t>
            </w:r>
          </w:p>
        </w:tc>
        <w:tc>
          <w:tcPr>
            <w:tcW w:w="313" w:type="dxa"/>
            <w:tcBorders/>
            <w:shd w:fill="auto" w:val="clear"/>
            <w:vAlign w:val="bottom"/>
          </w:tcPr>
          <w:p>
            <w:pPr>
              <w:pStyle w:val="TableContents"/>
              <w:spacing w:before="0" w:after="283"/>
              <w:rPr/>
            </w:pPr>
            <w:r>
              <w:rPr/>
              <w:t>%</w:t>
            </w:r>
          </w:p>
        </w:tc>
      </w:tr>
      <w:tr>
        <w:trPr/>
        <w:tc>
          <w:tcPr>
            <w:tcW w:w="4384" w:type="dxa"/>
            <w:tcBorders/>
            <w:shd w:fill="CCEEFF" w:val="clear"/>
            <w:vAlign w:val="bottom"/>
          </w:tcPr>
          <w:p>
            <w:pPr>
              <w:pStyle w:val="TableContents"/>
              <w:spacing w:before="0" w:after="0"/>
              <w:ind w:left="225" w:right="0" w:hanging="225"/>
              <w:rPr/>
            </w:pPr>
            <w:r>
              <w:rPr/>
              <w:t>Earnings per diluted limited partner unit (1)</w:t>
            </w:r>
          </w:p>
        </w:tc>
        <w:tc>
          <w:tcPr>
            <w:tcW w:w="8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right"/>
              <w:rPr/>
            </w:pPr>
            <w:r>
              <w:rPr/>
              <w:t>$</w:t>
            </w:r>
          </w:p>
        </w:tc>
        <w:tc>
          <w:tcPr>
            <w:tcW w:w="581" w:type="dxa"/>
            <w:tcBorders/>
            <w:shd w:fill="CCEEFF" w:val="clear"/>
            <w:vAlign w:val="bottom"/>
          </w:tcPr>
          <w:p>
            <w:pPr>
              <w:pStyle w:val="TableContents"/>
              <w:spacing w:before="0" w:after="283"/>
              <w:jc w:val="right"/>
              <w:rPr/>
            </w:pPr>
            <w:r>
              <w:rPr/>
              <w:t>0.78</w:t>
            </w:r>
          </w:p>
        </w:tc>
        <w:tc>
          <w:tcPr>
            <w:tcW w:w="10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right"/>
              <w:rPr/>
            </w:pPr>
            <w:r>
              <w:rPr/>
              <w:t>$</w:t>
            </w:r>
          </w:p>
        </w:tc>
        <w:tc>
          <w:tcPr>
            <w:tcW w:w="459" w:type="dxa"/>
            <w:tcBorders/>
            <w:shd w:fill="CCEEFF" w:val="clear"/>
            <w:vAlign w:val="bottom"/>
          </w:tcPr>
          <w:p>
            <w:pPr>
              <w:pStyle w:val="TableContents"/>
              <w:spacing w:before="0" w:after="283"/>
              <w:jc w:val="right"/>
              <w:rPr/>
            </w:pPr>
            <w:r>
              <w:rPr/>
              <w:t>0.81</w:t>
            </w:r>
          </w:p>
        </w:tc>
        <w:tc>
          <w:tcPr>
            <w:tcW w:w="106"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right"/>
              <w:rPr/>
            </w:pPr>
            <w:r>
              <w:rPr/>
              <w:t> </w:t>
            </w:r>
          </w:p>
        </w:tc>
        <w:tc>
          <w:tcPr>
            <w:tcW w:w="418" w:type="dxa"/>
            <w:tcBorders/>
            <w:shd w:fill="CCEEFF" w:val="clear"/>
            <w:vAlign w:val="bottom"/>
          </w:tcPr>
          <w:p>
            <w:pPr>
              <w:pStyle w:val="TableContents"/>
              <w:spacing w:before="0" w:after="283"/>
              <w:jc w:val="right"/>
              <w:rPr/>
            </w:pPr>
            <w:r>
              <w:rPr/>
              <w:t>(4)</w:t>
            </w:r>
          </w:p>
        </w:tc>
        <w:tc>
          <w:tcPr>
            <w:tcW w:w="352" w:type="dxa"/>
            <w:tcBorders/>
            <w:shd w:fill="CCEEFF" w:val="clear"/>
            <w:vAlign w:val="bottom"/>
          </w:tcPr>
          <w:p>
            <w:pPr>
              <w:pStyle w:val="TableContents"/>
              <w:spacing w:before="0" w:after="283"/>
              <w:rPr/>
            </w:pPr>
            <w:r>
              <w:rPr/>
              <w:t>%</w:t>
            </w:r>
          </w:p>
        </w:tc>
        <w:tc>
          <w:tcPr>
            <w:tcW w:w="11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1.39</w:t>
            </w:r>
          </w:p>
        </w:tc>
        <w:tc>
          <w:tcPr>
            <w:tcW w:w="10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right"/>
              <w:rPr/>
            </w:pPr>
            <w:r>
              <w:rPr/>
              <w:t>$</w:t>
            </w:r>
          </w:p>
        </w:tc>
        <w:tc>
          <w:tcPr>
            <w:tcW w:w="560" w:type="dxa"/>
            <w:tcBorders/>
            <w:shd w:fill="CCEEFF" w:val="clear"/>
            <w:vAlign w:val="bottom"/>
          </w:tcPr>
          <w:p>
            <w:pPr>
              <w:pStyle w:val="TableContents"/>
              <w:spacing w:before="0" w:after="283"/>
              <w:jc w:val="right"/>
              <w:rPr/>
            </w:pPr>
            <w:r>
              <w:rPr/>
              <w:t>1.53</w:t>
            </w:r>
          </w:p>
        </w:tc>
        <w:tc>
          <w:tcPr>
            <w:tcW w:w="10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jc w:val="right"/>
              <w:rPr/>
            </w:pPr>
            <w:r>
              <w:rPr/>
              <w:t> </w:t>
            </w:r>
          </w:p>
        </w:tc>
        <w:tc>
          <w:tcPr>
            <w:tcW w:w="489" w:type="dxa"/>
            <w:tcBorders/>
            <w:shd w:fill="CCEEFF" w:val="clear"/>
            <w:vAlign w:val="bottom"/>
          </w:tcPr>
          <w:p>
            <w:pPr>
              <w:pStyle w:val="TableContents"/>
              <w:spacing w:before="0" w:after="283"/>
              <w:jc w:val="right"/>
              <w:rPr/>
            </w:pPr>
            <w:r>
              <w:rPr/>
              <w:t>(9)</w:t>
            </w:r>
          </w:p>
        </w:tc>
        <w:tc>
          <w:tcPr>
            <w:tcW w:w="313"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266"/>
        <w:gridCol w:w="2088"/>
        <w:gridCol w:w="1851"/>
      </w:tblGrid>
      <w:tr>
        <w:trPr/>
        <w:tc>
          <w:tcPr>
            <w:tcW w:w="6266"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6266" w:type="dxa"/>
            <w:tcBorders/>
            <w:shd w:fill="auto" w:val="clear"/>
          </w:tcPr>
          <w:p>
            <w:pPr>
              <w:pStyle w:val="TableContents"/>
              <w:spacing w:before="0" w:after="283"/>
              <w:jc w:val="left"/>
              <w:rPr/>
            </w:pPr>
            <w:r>
              <w:rPr/>
              <w:t>(1)</w:t>
            </w:r>
          </w:p>
        </w:tc>
        <w:tc>
          <w:tcPr>
            <w:tcW w:w="2088" w:type="dxa"/>
            <w:tcBorders/>
            <w:shd w:fill="auto" w:val="clear"/>
          </w:tcPr>
          <w:p>
            <w:pPr>
              <w:pStyle w:val="TableContents"/>
              <w:spacing w:before="0" w:after="283"/>
              <w:rPr/>
            </w:pPr>
            <w:r>
              <w:rPr/>
              <w:t> </w:t>
            </w:r>
          </w:p>
        </w:tc>
        <w:tc>
          <w:tcPr>
            <w:tcW w:w="1851" w:type="dxa"/>
            <w:tcBorders/>
            <w:shd w:fill="auto" w:val="clear"/>
          </w:tcPr>
          <w:p>
            <w:pPr>
              <w:pStyle w:val="TableContents"/>
              <w:spacing w:before="0" w:after="283"/>
              <w:rPr/>
            </w:pPr>
            <w:r>
              <w:rPr/>
              <w:t>See Note 6 to our Condensed Consolidated Financial Statements for a discussion of the impact of Emerging Issues Task Force (EITF) Issue No. 03-06, Participating Securities and the Two-Class Method under Financial Accounting Standards Board (FASB) Statement No. 128.</w:t>
            </w:r>
          </w:p>
        </w:tc>
      </w:tr>
    </w:tbl>
    <w:p>
      <w:pPr>
        <w:pStyle w:val="TextBody"/>
        <w:spacing w:before="120" w:after="283"/>
        <w:jc w:val="left"/>
        <w:rPr/>
      </w:pPr>
      <w:r>
        <w:rPr/>
        <w:t>     </w:t>
      </w:r>
      <w:r>
        <w:rPr>
          <w:rFonts w:ascii="Times New Roman;Times;serif" w:hAnsi="Times New Roman;Times;serif"/>
          <w:sz w:val="17"/>
        </w:rPr>
        <w:t xml:space="preserve">Key items impacting the first half of 2007 include: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Income Statement</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2" w:type="dxa"/>
            <w:tcBorders/>
            <w:shd w:fill="auto" w:val="clear"/>
          </w:tcPr>
          <w:p>
            <w:pPr>
              <w:pStyle w:val="TableContents"/>
              <w:spacing w:before="0" w:after="283"/>
              <w:rPr>
                <w:sz w:val="4"/>
                <w:szCs w:val="4"/>
              </w:rPr>
            </w:pPr>
            <w:r>
              <w:rPr>
                <w:sz w:val="4"/>
                <w:szCs w:val="4"/>
              </w:rPr>
            </w:r>
          </w:p>
        </w:tc>
        <w:tc>
          <w:tcPr>
            <w:tcW w:w="9391" w:type="dxa"/>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Contributions from the November 2006 acquisition of Pacific Energy Partners L.P. (Pacific) as well as eight additional acquisitions throughout 2006 and two acquisitions in 2007.</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Favorable execution of our risk management strategies around our marketing assets in a pronounced contango market with a high level of overall crude oil volatility. See Outlook.</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Long-Term Incentive Plan (LTIP) expense of $40 million (compared to approximately $17 million for the first half of 2006), including an expense of approximately $16 million associated with a 24% increase in the price of our units.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Deferred tax expense of $10.8 million pertaining to recently enacted Canadian tax legislation.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increase in costs and expenses primarily associated with our continued growth from internal growth projects and acquisitions.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 net loss of approximately $9 million upon disposition of certain assets.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approximate $6.9 million increase in equity earnings.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approximate $4 million gain on the sale of a portion of our stock ownership in the NYMEX.</w:t>
            </w:r>
          </w:p>
        </w:tc>
      </w:tr>
    </w:tbl>
    <w:p>
      <w:pPr>
        <w:pStyle w:val="TextBody"/>
        <w:spacing w:before="120" w:after="283"/>
        <w:jc w:val="left"/>
        <w:rPr>
          <w:rFonts w:ascii="Times New Roman;Times;serif" w:hAnsi="Times New Roman;Times;serif"/>
          <w:sz w:val="17"/>
        </w:rPr>
      </w:pPr>
      <w:r>
        <w:rPr>
          <w:rFonts w:ascii="Times New Roman;Times;serif" w:hAnsi="Times New Roman;Times;serif"/>
          <w:b/>
          <w:i/>
          <w:sz w:val="17"/>
        </w:rPr>
        <w:t>Balance Sheet and Capital Structure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completion of two acquisitions for aggregate consideration of approximately $17 million.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sale of 6.3 million limited partner units for net proceeds of approximately $383 million.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Capital expenditures for internal growth projects of $257 million for the first half of 2007, which represent approximately 47% of the 2007 planned expansion capital expenditures.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Acquisitions and 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capital expenditures incurred in the periods indicated (in millions): </w:t>
      </w:r>
    </w:p>
    <w:tbl>
      <w:tblPr>
        <w:tblW w:w="5000" w:type="pct"/>
        <w:jc w:val="center"/>
        <w:tblInd w:w="0" w:type="dxa"/>
        <w:tblCellMar>
          <w:top w:w="0" w:type="dxa"/>
          <w:left w:w="0" w:type="dxa"/>
          <w:bottom w:w="0" w:type="dxa"/>
          <w:right w:w="0" w:type="dxa"/>
        </w:tblCellMar>
      </w:tblPr>
      <w:tblGrid>
        <w:gridCol w:w="7083"/>
        <w:gridCol w:w="462"/>
        <w:gridCol w:w="176"/>
        <w:gridCol w:w="795"/>
        <w:gridCol w:w="124"/>
        <w:gridCol w:w="470"/>
        <w:gridCol w:w="176"/>
        <w:gridCol w:w="797"/>
        <w:gridCol w:w="122"/>
      </w:tblGrid>
      <w:tr>
        <w:trPr/>
        <w:tc>
          <w:tcPr>
            <w:tcW w:w="708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538" w:type="dxa"/>
            <w:gridSpan w:val="6"/>
            <w:tcBorders/>
            <w:shd w:fill="auto" w:val="clear"/>
            <w:vAlign w:val="bottom"/>
          </w:tcPr>
          <w:p>
            <w:pPr>
              <w:pStyle w:val="TableContents"/>
              <w:spacing w:before="0" w:after="283"/>
              <w:jc w:val="center"/>
              <w:rPr>
                <w:b/>
              </w:rPr>
            </w:pPr>
            <w:r>
              <w:rPr>
                <w:b/>
              </w:rPr>
              <w:t>Six Months Ended</w:t>
            </w:r>
          </w:p>
        </w:tc>
        <w:tc>
          <w:tcPr>
            <w:tcW w:w="122"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253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2" w:type="dxa"/>
            <w:tcBorders/>
            <w:shd w:fill="auto"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9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Acquisition capital (1)</w:t>
            </w:r>
          </w:p>
        </w:tc>
        <w:tc>
          <w:tcPr>
            <w:tcW w:w="46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26.3</w:t>
            </w:r>
          </w:p>
        </w:tc>
        <w:tc>
          <w:tcPr>
            <w:tcW w:w="124"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797" w:type="dxa"/>
            <w:tcBorders/>
            <w:shd w:fill="CCEEFF" w:val="clear"/>
            <w:vAlign w:val="bottom"/>
          </w:tcPr>
          <w:p>
            <w:pPr>
              <w:pStyle w:val="TableContents"/>
              <w:spacing w:before="0" w:after="283"/>
              <w:jc w:val="right"/>
              <w:rPr/>
            </w:pPr>
            <w:r>
              <w:rPr/>
              <w:t>443.1</w:t>
            </w:r>
          </w:p>
        </w:tc>
        <w:tc>
          <w:tcPr>
            <w:tcW w:w="122" w:type="dxa"/>
            <w:tcBorders/>
            <w:shd w:fill="CCEEFF"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Investment in PAA/Vulcan Gas Storage, LLC</w:t>
            </w:r>
          </w:p>
        </w:tc>
        <w:tc>
          <w:tcPr>
            <w:tcW w:w="46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9.3</w:t>
            </w:r>
          </w:p>
        </w:tc>
        <w:tc>
          <w:tcPr>
            <w:tcW w:w="12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pPr>
            <w:r>
              <w:rPr/>
              <w:t>10.0</w:t>
            </w:r>
          </w:p>
        </w:tc>
        <w:tc>
          <w:tcPr>
            <w:tcW w:w="122" w:type="dxa"/>
            <w:tcBorders/>
            <w:shd w:fill="auto" w:val="clear"/>
            <w:vAlign w:val="bottom"/>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Internal growth projects</w:t>
            </w:r>
          </w:p>
        </w:tc>
        <w:tc>
          <w:tcPr>
            <w:tcW w:w="46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256.5</w:t>
            </w:r>
          </w:p>
        </w:tc>
        <w:tc>
          <w:tcPr>
            <w:tcW w:w="124"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97" w:type="dxa"/>
            <w:tcBorders/>
            <w:shd w:fill="CCEEFF" w:val="clear"/>
            <w:vAlign w:val="bottom"/>
          </w:tcPr>
          <w:p>
            <w:pPr>
              <w:pStyle w:val="TableContents"/>
              <w:spacing w:before="0" w:after="283"/>
              <w:jc w:val="right"/>
              <w:rPr/>
            </w:pPr>
            <w:r>
              <w:rPr/>
              <w:t>103.5</w:t>
            </w:r>
          </w:p>
        </w:tc>
        <w:tc>
          <w:tcPr>
            <w:tcW w:w="122" w:type="dxa"/>
            <w:tcBorders/>
            <w:shd w:fill="CCEEFF" w:val="clear"/>
            <w:vAlign w:val="bottom"/>
          </w:tcPr>
          <w:p>
            <w:pPr>
              <w:pStyle w:val="TableContents"/>
              <w:spacing w:before="0" w:after="283"/>
              <w:rPr/>
            </w:pPr>
            <w:r>
              <w:rPr/>
              <w:t> </w:t>
            </w:r>
          </w:p>
        </w:tc>
      </w:tr>
      <w:tr>
        <w:trPr/>
        <w:tc>
          <w:tcPr>
            <w:tcW w:w="7083" w:type="dxa"/>
            <w:tcBorders/>
            <w:shd w:fill="auto" w:val="clear"/>
            <w:vAlign w:val="bottom"/>
          </w:tcPr>
          <w:p>
            <w:pPr>
              <w:pStyle w:val="TableContents"/>
              <w:spacing w:before="0" w:after="0"/>
              <w:ind w:left="225" w:right="0" w:hanging="225"/>
              <w:rPr/>
            </w:pPr>
            <w:r>
              <w:rPr/>
              <w:t>Maintenance capital</w:t>
            </w:r>
          </w:p>
        </w:tc>
        <w:tc>
          <w:tcPr>
            <w:tcW w:w="46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21.7</w:t>
            </w:r>
          </w:p>
        </w:tc>
        <w:tc>
          <w:tcPr>
            <w:tcW w:w="12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pPr>
            <w:r>
              <w:rPr/>
              <w:t>9.1</w:t>
            </w:r>
          </w:p>
        </w:tc>
        <w:tc>
          <w:tcPr>
            <w:tcW w:w="122" w:type="dxa"/>
            <w:tcBorders/>
            <w:shd w:fill="auto" w:val="clear"/>
            <w:vAlign w:val="bottom"/>
          </w:tcPr>
          <w:p>
            <w:pPr>
              <w:pStyle w:val="TableContents"/>
              <w:spacing w:before="0" w:after="283"/>
              <w:rPr/>
            </w:pPr>
            <w:r>
              <w:rPr/>
              <w:t> </w:t>
            </w:r>
          </w:p>
        </w:tc>
      </w:tr>
      <w:tr>
        <w:trPr/>
        <w:tc>
          <w:tcPr>
            <w:tcW w:w="7083"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7083" w:type="dxa"/>
            <w:tcBorders/>
            <w:shd w:fill="CCEEFF" w:val="clear"/>
            <w:vAlign w:val="bottom"/>
          </w:tcPr>
          <w:p>
            <w:pPr>
              <w:pStyle w:val="TableContents"/>
              <w:spacing w:before="0" w:after="0"/>
              <w:ind w:left="225" w:right="0" w:hanging="225"/>
              <w:rPr/>
            </w:pPr>
            <w:r>
              <w:rPr/>
              <w:t> </w:t>
            </w:r>
          </w:p>
        </w:tc>
        <w:tc>
          <w:tcPr>
            <w:tcW w:w="462"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313.8</w:t>
            </w:r>
          </w:p>
        </w:tc>
        <w:tc>
          <w:tcPr>
            <w:tcW w:w="124"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w:t>
            </w:r>
          </w:p>
        </w:tc>
        <w:tc>
          <w:tcPr>
            <w:tcW w:w="797" w:type="dxa"/>
            <w:tcBorders/>
            <w:shd w:fill="CCEEFF" w:val="clear"/>
            <w:vAlign w:val="bottom"/>
          </w:tcPr>
          <w:p>
            <w:pPr>
              <w:pStyle w:val="TableContents"/>
              <w:spacing w:before="0" w:after="283"/>
              <w:jc w:val="right"/>
              <w:rPr/>
            </w:pPr>
            <w:r>
              <w:rPr/>
              <w:t>565.7</w:t>
            </w:r>
          </w:p>
        </w:tc>
        <w:tc>
          <w:tcPr>
            <w:tcW w:w="122" w:type="dxa"/>
            <w:tcBorders/>
            <w:shd w:fill="CCEEFF" w:val="clear"/>
            <w:vAlign w:val="bottom"/>
          </w:tcPr>
          <w:p>
            <w:pPr>
              <w:pStyle w:val="TableContents"/>
              <w:spacing w:before="0" w:after="283"/>
              <w:rPr/>
            </w:pPr>
            <w:r>
              <w:rPr/>
              <w:t> </w:t>
            </w:r>
          </w:p>
        </w:tc>
      </w:tr>
      <w:tr>
        <w:trPr/>
        <w:tc>
          <w:tcPr>
            <w:tcW w:w="7083" w:type="dxa"/>
            <w:tcBorders/>
            <w:shd w:fill="auto" w:val="clear"/>
            <w:vAlign w:val="center"/>
          </w:tcPr>
          <w:p>
            <w:pPr>
              <w:pStyle w:val="TableContents"/>
              <w:spacing w:before="0" w:after="0"/>
              <w:ind w:left="225" w:right="0" w:hanging="225"/>
              <w:rPr/>
            </w:pPr>
            <w:r>
              <w:rPr/>
              <w:t> </w:t>
            </w:r>
          </w:p>
        </w:tc>
        <w:tc>
          <w:tcPr>
            <w:tcW w:w="462" w:type="dxa"/>
            <w:tcBorders/>
            <w:shd w:fill="auto" w:val="clear"/>
            <w:vAlign w:val="center"/>
          </w:tcPr>
          <w:p>
            <w:pPr>
              <w:pStyle w:val="TableContents"/>
              <w:spacing w:before="0" w:after="283"/>
              <w:rPr/>
            </w:pPr>
            <w:r>
              <w:rPr/>
              <w:t> </w:t>
            </w:r>
          </w:p>
        </w:tc>
        <w:tc>
          <w:tcPr>
            <w:tcW w:w="9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26"/>
        <w:gridCol w:w="2208"/>
        <w:gridCol w:w="1371"/>
      </w:tblGrid>
      <w:tr>
        <w:trPr/>
        <w:tc>
          <w:tcPr>
            <w:tcW w:w="6626"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(1)</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The amount for the six months ended June 30, 2007 includes working capital purchase price adjustments of approximately $9 million related to 2006 acquisitions.</w:t>
            </w:r>
          </w:p>
        </w:tc>
      </w:tr>
    </w:tbl>
    <w:p>
      <w:pPr>
        <w:pStyle w:val="TextBody"/>
        <w:spacing w:before="120" w:after="283"/>
        <w:jc w:val="left"/>
        <w:rPr>
          <w:rFonts w:ascii="Times New Roman;Times;serif" w:hAnsi="Times New Roman;Times;serif"/>
          <w:sz w:val="17"/>
        </w:rPr>
      </w:pPr>
      <w:r>
        <w:rPr>
          <w:rFonts w:ascii="Times New Roman;Times;serif" w:hAnsi="Times New Roman;Times;serif"/>
          <w:b/>
          <w:i/>
          <w:sz w:val="17"/>
        </w:rPr>
        <w:t>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first half of 2007, we acquired (i) a commercial refined products supply and marketing business (reflected in our marketing segment) for approximately $8 million in cash (including approximately $7 million of goodwill) and (ii) a trucking business (reflected in our transportation segment) for approximately $9 million in cash (including approximately $4 million of goodwill). Also, during the first half of 2007 we signed an agreement to acquire the Bumstead LPG storage facility located near Phoenix, Arizona for approximately $52 million. The acquisition closed in July 2007, and will be reflected in our facilities segment.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forecast approximately $550 million in capital expenditures for expansion projects during calendar year 2007, of which approximately $257 million was incurred in the first six months. These projects include the construction and expansion of pipeline systems and crude oil and LPG storage facilities. Following are some of the more notable projects to be undertaken in 2007 and the estimated expenditures for the year (in millions): </w:t>
      </w:r>
    </w:p>
    <w:tbl>
      <w:tblPr>
        <w:tblW w:w="5000" w:type="pct"/>
        <w:jc w:val="center"/>
        <w:tblInd w:w="0" w:type="dxa"/>
        <w:tblCellMar>
          <w:top w:w="0" w:type="dxa"/>
          <w:left w:w="0" w:type="dxa"/>
          <w:bottom w:w="0" w:type="dxa"/>
          <w:right w:w="0" w:type="dxa"/>
        </w:tblCellMar>
      </w:tblPr>
      <w:tblGrid>
        <w:gridCol w:w="8824"/>
        <w:gridCol w:w="466"/>
        <w:gridCol w:w="142"/>
        <w:gridCol w:w="658"/>
        <w:gridCol w:w="115"/>
      </w:tblGrid>
      <w:tr>
        <w:trPr/>
        <w:tc>
          <w:tcPr>
            <w:tcW w:w="8824"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8824" w:type="dxa"/>
            <w:tcBorders>
              <w:bottom w:val="single" w:sz="2" w:space="0" w:color="000000"/>
            </w:tcBorders>
            <w:shd w:fill="auto" w:val="clear"/>
            <w:tcMar>
              <w:bottom w:w="28" w:type="dxa"/>
            </w:tcMar>
            <w:vAlign w:val="bottom"/>
          </w:tcPr>
          <w:p>
            <w:pPr>
              <w:pStyle w:val="TableContents"/>
              <w:spacing w:before="0" w:after="283"/>
              <w:jc w:val="left"/>
              <w:rPr/>
            </w:pPr>
            <w:r>
              <w:rPr/>
              <w:t>                              </w:t>
            </w:r>
            <w:r>
              <w:rPr>
                <w:b/>
              </w:rPr>
              <w:t>Projects</w:t>
            </w:r>
          </w:p>
        </w:tc>
        <w:tc>
          <w:tcPr>
            <w:tcW w:w="466"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St. James, Louisiana Storage Facility</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58" w:type="dxa"/>
            <w:tcBorders/>
            <w:shd w:fill="CCEEFF" w:val="clear"/>
            <w:vAlign w:val="bottom"/>
          </w:tcPr>
          <w:p>
            <w:pPr>
              <w:pStyle w:val="TableContents"/>
              <w:spacing w:before="0" w:after="283"/>
              <w:jc w:val="right"/>
              <w:rPr/>
            </w:pPr>
            <w:r>
              <w:rPr/>
              <w:t>75.0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Cheyenne Pipeline</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58.0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Salt Lake City Expansion</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52.0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Cushing Tankage  Phase VI</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34.0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Patoka Tankage</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32.0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Martinez Terminal</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25.0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Fort Laramie Tank Expansion</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21.0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High Prairie Rail Terminal</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13.0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Paulsboro Expansion</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12.0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Elk City to Calumet</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12.0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Pier 400</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10.0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bottom"/>
          </w:tcPr>
          <w:p>
            <w:pPr>
              <w:pStyle w:val="TableContents"/>
              <w:spacing w:before="0" w:after="0"/>
              <w:ind w:left="225" w:right="0" w:hanging="225"/>
              <w:rPr/>
            </w:pPr>
            <w:r>
              <w:rPr/>
              <w:t>Kerrobert Tankage</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10.0</w:t>
            </w:r>
          </w:p>
        </w:tc>
        <w:tc>
          <w:tcPr>
            <w:tcW w:w="115" w:type="dxa"/>
            <w:tcBorders/>
            <w:shd w:fill="auto" w:val="clear"/>
            <w:vAlign w:val="bottom"/>
          </w:tcPr>
          <w:p>
            <w:pPr>
              <w:pStyle w:val="TableContents"/>
              <w:spacing w:before="0" w:after="283"/>
              <w:rPr/>
            </w:pPr>
            <w:r>
              <w:rPr/>
              <w:t> </w:t>
            </w:r>
          </w:p>
        </w:tc>
      </w:tr>
      <w:tr>
        <w:trPr/>
        <w:tc>
          <w:tcPr>
            <w:tcW w:w="8824" w:type="dxa"/>
            <w:tcBorders/>
            <w:shd w:fill="CCEEFF" w:val="clear"/>
            <w:vAlign w:val="bottom"/>
          </w:tcPr>
          <w:p>
            <w:pPr>
              <w:pStyle w:val="TableContents"/>
              <w:spacing w:before="0" w:after="0"/>
              <w:ind w:left="225" w:right="0" w:hanging="225"/>
              <w:rPr/>
            </w:pPr>
            <w:r>
              <w:rPr/>
              <w:t>Other Projects</w:t>
            </w:r>
          </w:p>
        </w:tc>
        <w:tc>
          <w:tcPr>
            <w:tcW w:w="46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196.0</w:t>
            </w:r>
          </w:p>
        </w:tc>
        <w:tc>
          <w:tcPr>
            <w:tcW w:w="115" w:type="dxa"/>
            <w:tcBorders/>
            <w:shd w:fill="CCEEFF" w:val="clear"/>
            <w:vAlign w:val="bottom"/>
          </w:tcPr>
          <w:p>
            <w:pPr>
              <w:pStyle w:val="TableContents"/>
              <w:spacing w:before="0" w:after="283"/>
              <w:rPr/>
            </w:pPr>
            <w:r>
              <w:rPr/>
              <w:t> </w:t>
            </w:r>
          </w:p>
        </w:tc>
      </w:tr>
      <w:tr>
        <w:trPr/>
        <w:tc>
          <w:tcPr>
            <w:tcW w:w="8824" w:type="dxa"/>
            <w:tcBorders/>
            <w:shd w:fill="auto" w:val="clear"/>
            <w:vAlign w:val="center"/>
          </w:tcPr>
          <w:p>
            <w:pPr>
              <w:pStyle w:val="TableContents"/>
              <w:spacing w:before="0" w:after="0"/>
              <w:ind w:left="225" w:right="0" w:hanging="225"/>
              <w:rPr/>
            </w:pPr>
            <w:r>
              <w:rPr/>
              <w:t> </w:t>
            </w:r>
          </w:p>
        </w:tc>
        <w:tc>
          <w:tcPr>
            <w:tcW w:w="466" w:type="dxa"/>
            <w:tcBorders/>
            <w:shd w:fill="auto" w:val="clear"/>
            <w:vAlign w:val="center"/>
          </w:tcPr>
          <w:p>
            <w:pPr>
              <w:pStyle w:val="TableContents"/>
              <w:spacing w:before="0" w:after="283"/>
              <w:rPr/>
            </w:pPr>
            <w:r>
              <w:rPr/>
              <w:t> </w:t>
            </w:r>
          </w:p>
        </w:tc>
        <w:tc>
          <w:tcPr>
            <w:tcW w:w="8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8824" w:type="dxa"/>
            <w:tcBorders/>
            <w:shd w:fill="auto" w:val="clear"/>
            <w:vAlign w:val="bottom"/>
          </w:tcPr>
          <w:p>
            <w:pPr>
              <w:pStyle w:val="TableContents"/>
              <w:spacing w:before="0" w:after="0"/>
              <w:ind w:left="450" w:right="0" w:hanging="225"/>
              <w:rPr/>
            </w:pPr>
            <w:r>
              <w:rPr/>
              <w:t>Total</w:t>
            </w:r>
          </w:p>
        </w:tc>
        <w:tc>
          <w:tcPr>
            <w:tcW w:w="46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jc w:val="left"/>
              <w:rPr/>
            </w:pPr>
            <w:r>
              <w:rPr/>
              <w:t>$</w:t>
            </w:r>
          </w:p>
        </w:tc>
        <w:tc>
          <w:tcPr>
            <w:tcW w:w="658" w:type="dxa"/>
            <w:tcBorders/>
            <w:shd w:fill="auto" w:val="clear"/>
            <w:vAlign w:val="bottom"/>
          </w:tcPr>
          <w:p>
            <w:pPr>
              <w:pStyle w:val="TableContents"/>
              <w:spacing w:before="0" w:after="283"/>
              <w:jc w:val="right"/>
              <w:rPr/>
            </w:pPr>
            <w:r>
              <w:rPr/>
              <w:t>550.0</w:t>
            </w:r>
          </w:p>
        </w:tc>
        <w:tc>
          <w:tcPr>
            <w:tcW w:w="115" w:type="dxa"/>
            <w:tcBorders/>
            <w:shd w:fill="auto" w:val="clear"/>
            <w:vAlign w:val="bottom"/>
          </w:tcPr>
          <w:p>
            <w:pPr>
              <w:pStyle w:val="TableContents"/>
              <w:spacing w:before="0" w:after="283"/>
              <w:rPr/>
            </w:pPr>
            <w:r>
              <w:rPr/>
              <w:t> </w:t>
            </w:r>
          </w:p>
        </w:tc>
      </w:tr>
      <w:tr>
        <w:trPr/>
        <w:tc>
          <w:tcPr>
            <w:tcW w:w="8824" w:type="dxa"/>
            <w:tcBorders/>
            <w:shd w:fill="auto" w:val="clear"/>
            <w:vAlign w:val="center"/>
          </w:tcPr>
          <w:p>
            <w:pPr>
              <w:pStyle w:val="TableContents"/>
              <w:spacing w:before="0" w:after="0"/>
              <w:ind w:left="225" w:right="0" w:hanging="225"/>
              <w:rPr/>
            </w:pPr>
            <w:r>
              <w:rPr/>
              <w:t> </w:t>
            </w:r>
          </w:p>
        </w:tc>
        <w:tc>
          <w:tcPr>
            <w:tcW w:w="466" w:type="dxa"/>
            <w:tcBorders/>
            <w:shd w:fill="auto" w:val="clear"/>
            <w:vAlign w:val="center"/>
          </w:tcPr>
          <w:p>
            <w:pPr>
              <w:pStyle w:val="TableContents"/>
              <w:spacing w:before="0" w:after="283"/>
              <w:rPr/>
            </w:pPr>
            <w:r>
              <w:rPr/>
              <w:t> </w:t>
            </w:r>
          </w:p>
        </w:tc>
        <w:tc>
          <w:tcPr>
            <w:tcW w:w="8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We forecast approximately $52 million in capital expenditures for maintenance projects during calendar year 2007, of which approximately $22 million was incurred in the first six months.</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do not expect the majority of these projects to contribute significantly to net income or cash flow from operations in 2007, but expect them to have a more significant impact beginning in 2008.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36"/>
        <w:gridCol w:w="351"/>
        <w:gridCol w:w="194"/>
        <w:gridCol w:w="844"/>
        <w:gridCol w:w="152"/>
        <w:gridCol w:w="367"/>
        <w:gridCol w:w="194"/>
        <w:gridCol w:w="847"/>
        <w:gridCol w:w="127"/>
        <w:gridCol w:w="351"/>
        <w:gridCol w:w="179"/>
        <w:gridCol w:w="781"/>
        <w:gridCol w:w="141"/>
        <w:gridCol w:w="360"/>
        <w:gridCol w:w="178"/>
        <w:gridCol w:w="785"/>
        <w:gridCol w:w="127"/>
        <w:gridCol w:w="60"/>
        <w:gridCol w:w="60"/>
        <w:gridCol w:w="71"/>
      </w:tblGrid>
      <w:tr>
        <w:trPr/>
        <w:tc>
          <w:tcPr>
            <w:tcW w:w="403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8" w:type="dxa"/>
            <w:gridSpan w:val="6"/>
            <w:tcBorders/>
            <w:shd w:fill="auto" w:val="clear"/>
            <w:vAlign w:val="bottom"/>
          </w:tcPr>
          <w:p>
            <w:pPr>
              <w:pStyle w:val="TableContents"/>
              <w:spacing w:before="0" w:after="283"/>
              <w:jc w:val="center"/>
              <w:rPr>
                <w:b/>
              </w:rPr>
            </w:pPr>
            <w:r>
              <w:rPr>
                <w:b/>
              </w:rPr>
              <w:t>For the three months</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424" w:type="dxa"/>
            <w:gridSpan w:val="6"/>
            <w:tcBorders/>
            <w:shd w:fill="auto" w:val="clear"/>
            <w:vAlign w:val="bottom"/>
          </w:tcPr>
          <w:p>
            <w:pPr>
              <w:pStyle w:val="TableContents"/>
              <w:spacing w:before="0" w:after="283"/>
              <w:jc w:val="center"/>
              <w:rPr>
                <w:b/>
              </w:rPr>
            </w:pPr>
            <w:r>
              <w:rPr>
                <w:b/>
              </w:rPr>
              <w:t>For the six months</w:t>
            </w:r>
          </w:p>
        </w:tc>
        <w:tc>
          <w:tcPr>
            <w:tcW w:w="1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42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June 30</w:t>
            </w:r>
          </w:p>
        </w:tc>
        <w:tc>
          <w:tcPr>
            <w:tcW w:w="1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1"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1" w:type="dxa"/>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404" w:type="dxa"/>
            <w:gridSpan w:val="5"/>
            <w:tcBorders>
              <w:bottom w:val="single" w:sz="2" w:space="0" w:color="000000"/>
            </w:tcBorders>
            <w:shd w:fill="auto" w:val="clear"/>
            <w:tcMar>
              <w:bottom w:w="28" w:type="dxa"/>
            </w:tcMar>
            <w:vAlign w:val="bottom"/>
          </w:tcPr>
          <w:p>
            <w:pPr>
              <w:pStyle w:val="TableContents"/>
              <w:spacing w:before="0" w:after="283"/>
              <w:jc w:val="center"/>
              <w:rPr/>
            </w:pPr>
            <w:r>
              <w:rPr/>
              <w:t>(in millions)</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45" w:type="dxa"/>
            <w:gridSpan w:val="5"/>
            <w:tcBorders>
              <w:bottom w:val="single" w:sz="2" w:space="0" w:color="000000"/>
            </w:tcBorders>
            <w:shd w:fill="auto" w:val="clear"/>
            <w:tcMar>
              <w:bottom w:w="28" w:type="dxa"/>
            </w:tcMar>
            <w:vAlign w:val="bottom"/>
          </w:tcPr>
          <w:p>
            <w:pPr>
              <w:pStyle w:val="TableContents"/>
              <w:spacing w:before="0" w:after="283"/>
              <w:jc w:val="center"/>
              <w:rPr/>
            </w:pPr>
            <w:r>
              <w:rPr/>
              <w:t>(in millions)</w:t>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r>
      <w:tr>
        <w:trPr/>
        <w:tc>
          <w:tcPr>
            <w:tcW w:w="4036" w:type="dxa"/>
            <w:tcBorders/>
            <w:shd w:fill="CCEEFF" w:val="clear"/>
            <w:vAlign w:val="bottom"/>
          </w:tcPr>
          <w:p>
            <w:pPr>
              <w:pStyle w:val="TableContents"/>
              <w:spacing w:before="0" w:after="0"/>
              <w:ind w:left="225" w:right="0" w:hanging="225"/>
              <w:rPr/>
            </w:pPr>
            <w:r>
              <w:rPr/>
              <w:t>Transportation segment profit</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79.7</w:t>
            </w:r>
          </w:p>
        </w:tc>
        <w:tc>
          <w:tcPr>
            <w:tcW w:w="15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53.4</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81" w:type="dxa"/>
            <w:tcBorders/>
            <w:shd w:fill="CCEEFF" w:val="clear"/>
            <w:vAlign w:val="bottom"/>
          </w:tcPr>
          <w:p>
            <w:pPr>
              <w:pStyle w:val="TableContents"/>
              <w:spacing w:before="0" w:after="283"/>
              <w:jc w:val="right"/>
              <w:rPr/>
            </w:pPr>
            <w:r>
              <w:rPr/>
              <w:t>152.8</w:t>
            </w:r>
          </w:p>
        </w:tc>
        <w:tc>
          <w:tcPr>
            <w:tcW w:w="14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85" w:type="dxa"/>
            <w:tcBorders/>
            <w:shd w:fill="CCEEFF" w:val="clear"/>
            <w:vAlign w:val="bottom"/>
          </w:tcPr>
          <w:p>
            <w:pPr>
              <w:pStyle w:val="TableContents"/>
              <w:spacing w:before="0" w:after="283"/>
              <w:jc w:val="right"/>
              <w:rPr/>
            </w:pPr>
            <w:r>
              <w:rPr/>
              <w:t>91.5</w:t>
            </w:r>
          </w:p>
        </w:tc>
        <w:tc>
          <w:tcPr>
            <w:tcW w:w="127" w:type="dxa"/>
            <w:tcBorders/>
            <w:shd w:fill="CCEEFF" w:val="clear"/>
            <w:vAlign w:val="bottom"/>
          </w:tcPr>
          <w:p>
            <w:pPr>
              <w:pStyle w:val="TableContents"/>
              <w:spacing w:before="0" w:after="283"/>
              <w:rPr/>
            </w:pPr>
            <w:r>
              <w:rPr/>
              <w:t> </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0"/>
              <w:ind w:left="225" w:right="0" w:hanging="225"/>
              <w:rPr/>
            </w:pPr>
            <w:r>
              <w:rPr/>
              <w:t>Facilities segment profit</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28.9</w:t>
            </w:r>
          </w:p>
        </w:tc>
        <w:tc>
          <w:tcPr>
            <w:tcW w:w="15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8.1</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r>
              <w:rPr/>
              <w:t>50.8</w:t>
            </w:r>
          </w:p>
        </w:tc>
        <w:tc>
          <w:tcPr>
            <w:tcW w:w="141"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10.6</w:t>
            </w:r>
          </w:p>
        </w:tc>
        <w:tc>
          <w:tcPr>
            <w:tcW w:w="127" w:type="dxa"/>
            <w:tcBorders/>
            <w:shd w:fill="auto" w:val="clear"/>
            <w:vAlign w:val="bottom"/>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CCEEFF" w:val="clear"/>
            <w:vAlign w:val="bottom"/>
          </w:tcPr>
          <w:p>
            <w:pPr>
              <w:pStyle w:val="TableContents"/>
              <w:spacing w:before="0" w:after="0"/>
              <w:ind w:left="225" w:right="0" w:hanging="225"/>
              <w:rPr/>
            </w:pPr>
            <w:r>
              <w:rPr/>
              <w:t>Marketing segment profit</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101.2</w:t>
            </w:r>
          </w:p>
        </w:tc>
        <w:tc>
          <w:tcPr>
            <w:tcW w:w="15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58.0</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pPr>
            <w:r>
              <w:rPr/>
              <w:t>167.2</w:t>
            </w:r>
          </w:p>
        </w:tc>
        <w:tc>
          <w:tcPr>
            <w:tcW w:w="14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111.1</w:t>
            </w:r>
          </w:p>
        </w:tc>
        <w:tc>
          <w:tcPr>
            <w:tcW w:w="127" w:type="dxa"/>
            <w:tcBorders/>
            <w:shd w:fill="CCEEFF" w:val="clear"/>
            <w:vAlign w:val="bottom"/>
          </w:tcPr>
          <w:p>
            <w:pPr>
              <w:pStyle w:val="TableContents"/>
              <w:spacing w:before="0" w:after="283"/>
              <w:rPr/>
            </w:pPr>
            <w:r>
              <w:rPr/>
              <w:t> </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0"/>
              <w:ind w:left="450" w:right="0" w:hanging="225"/>
              <w:rPr/>
            </w:pPr>
            <w:r>
              <w:rPr/>
              <w:t>Total segment profit</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209.8</w:t>
            </w:r>
          </w:p>
        </w:tc>
        <w:tc>
          <w:tcPr>
            <w:tcW w:w="15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119.5</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r>
              <w:rPr/>
              <w:t>370.8</w:t>
            </w:r>
          </w:p>
        </w:tc>
        <w:tc>
          <w:tcPr>
            <w:tcW w:w="141"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213.2</w:t>
            </w:r>
          </w:p>
        </w:tc>
        <w:tc>
          <w:tcPr>
            <w:tcW w:w="127" w:type="dxa"/>
            <w:tcBorders/>
            <w:shd w:fill="auto" w:val="clear"/>
            <w:vAlign w:val="bottom"/>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CCEEFF" w:val="clear"/>
            <w:vAlign w:val="bottom"/>
          </w:tcPr>
          <w:p>
            <w:pPr>
              <w:pStyle w:val="TableContents"/>
              <w:spacing w:before="0" w:after="0"/>
              <w:ind w:left="225" w:right="0" w:hanging="225"/>
              <w:rPr/>
            </w:pPr>
            <w:r>
              <w:rPr/>
              <w:t>Depreciation and amortization</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(52.1</w:t>
            </w:r>
          </w:p>
        </w:tc>
        <w:tc>
          <w:tcPr>
            <w:tcW w:w="152" w:type="dxa"/>
            <w:tcBorders/>
            <w:shd w:fill="CCEEFF" w:val="clear"/>
            <w:vAlign w:val="bottom"/>
          </w:tcPr>
          <w:p>
            <w:pPr>
              <w:pStyle w:val="TableContents"/>
              <w:spacing w:before="0" w:after="283"/>
              <w:rPr/>
            </w:pPr>
            <w:r>
              <w:rPr/>
              <w:t>)</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47" w:type="dxa"/>
            <w:tcBorders/>
            <w:shd w:fill="CCEEFF" w:val="clear"/>
            <w:vAlign w:val="bottom"/>
          </w:tcPr>
          <w:p>
            <w:pPr>
              <w:pStyle w:val="TableContents"/>
              <w:spacing w:before="0" w:after="283"/>
              <w:jc w:val="right"/>
              <w:rPr/>
            </w:pPr>
            <w:r>
              <w:rPr/>
              <w:t>(21.3</w:t>
            </w:r>
          </w:p>
        </w:tc>
        <w:tc>
          <w:tcPr>
            <w:tcW w:w="127"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781" w:type="dxa"/>
            <w:tcBorders/>
            <w:shd w:fill="CCEEFF" w:val="clear"/>
            <w:vAlign w:val="bottom"/>
          </w:tcPr>
          <w:p>
            <w:pPr>
              <w:pStyle w:val="TableContents"/>
              <w:spacing w:before="0" w:after="283"/>
              <w:jc w:val="right"/>
              <w:rPr/>
            </w:pPr>
            <w:r>
              <w:rPr/>
              <w:t>(92.0</w:t>
            </w:r>
          </w:p>
        </w:tc>
        <w:tc>
          <w:tcPr>
            <w:tcW w:w="141"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785" w:type="dxa"/>
            <w:tcBorders/>
            <w:shd w:fill="CCEEFF" w:val="clear"/>
            <w:vAlign w:val="bottom"/>
          </w:tcPr>
          <w:p>
            <w:pPr>
              <w:pStyle w:val="TableContents"/>
              <w:spacing w:before="0" w:after="283"/>
              <w:jc w:val="right"/>
              <w:rPr/>
            </w:pPr>
            <w:r>
              <w:rPr/>
              <w:t>(42.9</w:t>
            </w:r>
          </w:p>
        </w:tc>
        <w:tc>
          <w:tcPr>
            <w:tcW w:w="127" w:type="dxa"/>
            <w:tcBorders/>
            <w:shd w:fill="CCEEFF" w:val="clear"/>
            <w:vAlign w:val="bottom"/>
          </w:tcPr>
          <w:p>
            <w:pPr>
              <w:pStyle w:val="TableContents"/>
              <w:spacing w:before="0" w:after="283"/>
              <w:rPr/>
            </w:pPr>
            <w:r>
              <w:rPr/>
              <w:t>)</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0"/>
              <w:ind w:left="225" w:right="0" w:hanging="225"/>
              <w:rPr/>
            </w:pPr>
            <w:r>
              <w:rPr/>
              <w:t>Interest expense</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(41.2</w:t>
            </w:r>
          </w:p>
        </w:tc>
        <w:tc>
          <w:tcPr>
            <w:tcW w:w="152" w:type="dxa"/>
            <w:tcBorders/>
            <w:shd w:fill="auto" w:val="clear"/>
            <w:vAlign w:val="bottom"/>
          </w:tcPr>
          <w:p>
            <w:pPr>
              <w:pStyle w:val="TableContents"/>
              <w:spacing w:before="0" w:after="283"/>
              <w:rPr/>
            </w:pPr>
            <w:r>
              <w:rPr/>
              <w:t>)</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7" w:type="dxa"/>
            <w:tcBorders/>
            <w:shd w:fill="auto" w:val="clear"/>
            <w:vAlign w:val="bottom"/>
          </w:tcPr>
          <w:p>
            <w:pPr>
              <w:pStyle w:val="TableContents"/>
              <w:spacing w:before="0" w:after="283"/>
              <w:jc w:val="right"/>
              <w:rPr/>
            </w:pPr>
            <w:r>
              <w:rPr/>
              <w:t>(18.0</w:t>
            </w:r>
          </w:p>
        </w:tc>
        <w:tc>
          <w:tcPr>
            <w:tcW w:w="127"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781" w:type="dxa"/>
            <w:tcBorders/>
            <w:shd w:fill="auto" w:val="clear"/>
            <w:vAlign w:val="bottom"/>
          </w:tcPr>
          <w:p>
            <w:pPr>
              <w:pStyle w:val="TableContents"/>
              <w:spacing w:before="0" w:after="283"/>
              <w:jc w:val="right"/>
              <w:rPr/>
            </w:pPr>
            <w:r>
              <w:rPr/>
              <w:t>(82.3</w:t>
            </w:r>
          </w:p>
        </w:tc>
        <w:tc>
          <w:tcPr>
            <w:tcW w:w="141"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85" w:type="dxa"/>
            <w:tcBorders/>
            <w:shd w:fill="auto" w:val="clear"/>
            <w:vAlign w:val="bottom"/>
          </w:tcPr>
          <w:p>
            <w:pPr>
              <w:pStyle w:val="TableContents"/>
              <w:spacing w:before="0" w:after="283"/>
              <w:jc w:val="right"/>
              <w:rPr/>
            </w:pPr>
            <w:r>
              <w:rPr/>
              <w:t>(33.3</w:t>
            </w:r>
          </w:p>
        </w:tc>
        <w:tc>
          <w:tcPr>
            <w:tcW w:w="127" w:type="dxa"/>
            <w:tcBorders/>
            <w:shd w:fill="auto" w:val="clear"/>
            <w:vAlign w:val="bottom"/>
          </w:tcPr>
          <w:p>
            <w:pPr>
              <w:pStyle w:val="TableContents"/>
              <w:spacing w:before="0" w:after="283"/>
              <w:rPr/>
            </w:pPr>
            <w:r>
              <w:rPr/>
              <w:t>)</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CCEEFF" w:val="clear"/>
            <w:vAlign w:val="bottom"/>
          </w:tcPr>
          <w:p>
            <w:pPr>
              <w:pStyle w:val="TableContents"/>
              <w:spacing w:before="0" w:after="0"/>
              <w:ind w:left="225" w:right="0" w:hanging="225"/>
              <w:rPr/>
            </w:pPr>
            <w:r>
              <w:rPr/>
              <w:t>Interest income and other income</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0.4</w:t>
            </w:r>
          </w:p>
        </w:tc>
        <w:tc>
          <w:tcPr>
            <w:tcW w:w="15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0.1</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pPr>
            <w:r>
              <w:rPr/>
              <w:t>5.2</w:t>
            </w:r>
          </w:p>
        </w:tc>
        <w:tc>
          <w:tcPr>
            <w:tcW w:w="14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0.4</w:t>
            </w:r>
          </w:p>
        </w:tc>
        <w:tc>
          <w:tcPr>
            <w:tcW w:w="127" w:type="dxa"/>
            <w:tcBorders/>
            <w:shd w:fill="CCEEFF" w:val="clear"/>
            <w:vAlign w:val="bottom"/>
          </w:tcPr>
          <w:p>
            <w:pPr>
              <w:pStyle w:val="TableContents"/>
              <w:spacing w:before="0" w:after="283"/>
              <w:rPr/>
            </w:pPr>
            <w:r>
              <w:rPr/>
              <w:t> </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0"/>
              <w:ind w:left="225" w:right="0" w:hanging="225"/>
              <w:rPr/>
            </w:pPr>
            <w:r>
              <w:rPr/>
              <w:t>Income tax expense</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(12.1</w:t>
            </w:r>
          </w:p>
        </w:tc>
        <w:tc>
          <w:tcPr>
            <w:tcW w:w="152" w:type="dxa"/>
            <w:tcBorders/>
            <w:shd w:fill="auto" w:val="clear"/>
            <w:vAlign w:val="bottom"/>
          </w:tcPr>
          <w:p>
            <w:pPr>
              <w:pStyle w:val="TableContents"/>
              <w:spacing w:before="0" w:after="283"/>
              <w:rPr/>
            </w:pPr>
            <w:r>
              <w:rPr/>
              <w:t>)</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781" w:type="dxa"/>
            <w:tcBorders/>
            <w:shd w:fill="auto" w:val="clear"/>
            <w:vAlign w:val="bottom"/>
          </w:tcPr>
          <w:p>
            <w:pPr>
              <w:pStyle w:val="TableContents"/>
              <w:spacing w:before="0" w:after="283"/>
              <w:jc w:val="right"/>
              <w:rPr/>
            </w:pPr>
            <w:r>
              <w:rPr/>
              <w:t>(12.2</w:t>
            </w:r>
          </w:p>
        </w:tc>
        <w:tc>
          <w:tcPr>
            <w:tcW w:w="141"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CCEEFF" w:val="clear"/>
            <w:vAlign w:val="bottom"/>
          </w:tcPr>
          <w:p>
            <w:pPr>
              <w:pStyle w:val="TableContents"/>
              <w:spacing w:before="0" w:after="0"/>
              <w:ind w:left="225" w:right="0" w:hanging="225"/>
              <w:rPr/>
            </w:pPr>
            <w:r>
              <w:rPr/>
              <w:t>Income before cumulative effect of change in accounting principle</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104.8</w:t>
            </w:r>
          </w:p>
        </w:tc>
        <w:tc>
          <w:tcPr>
            <w:tcW w:w="15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80.3</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pPr>
            <w:r>
              <w:rPr/>
              <w:t>189.5</w:t>
            </w:r>
          </w:p>
        </w:tc>
        <w:tc>
          <w:tcPr>
            <w:tcW w:w="14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137.4</w:t>
            </w:r>
          </w:p>
        </w:tc>
        <w:tc>
          <w:tcPr>
            <w:tcW w:w="127" w:type="dxa"/>
            <w:tcBorders/>
            <w:shd w:fill="CCEEFF" w:val="clear"/>
            <w:vAlign w:val="bottom"/>
          </w:tcPr>
          <w:p>
            <w:pPr>
              <w:pStyle w:val="TableContents"/>
              <w:spacing w:before="0" w:after="283"/>
              <w:rPr/>
            </w:pPr>
            <w:r>
              <w:rPr/>
              <w:t> </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bottom"/>
          </w:tcPr>
          <w:p>
            <w:pPr>
              <w:pStyle w:val="TableContents"/>
              <w:spacing w:before="0" w:after="0"/>
              <w:ind w:left="225" w:right="0" w:hanging="225"/>
              <w:rPr/>
            </w:pPr>
            <w:r>
              <w:rPr/>
              <w:t>Cumulative effect of change in accounting principle</w:t>
            </w:r>
          </w:p>
        </w:tc>
        <w:tc>
          <w:tcPr>
            <w:tcW w:w="35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5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6.3</w:t>
            </w:r>
          </w:p>
        </w:tc>
        <w:tc>
          <w:tcPr>
            <w:tcW w:w="127" w:type="dxa"/>
            <w:tcBorders/>
            <w:shd w:fill="auto" w:val="clear"/>
            <w:vAlign w:val="bottom"/>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r>
        <w:trPr/>
        <w:tc>
          <w:tcPr>
            <w:tcW w:w="4036" w:type="dxa"/>
            <w:tcBorders/>
            <w:shd w:fill="CCEEFF" w:val="clear"/>
            <w:vAlign w:val="bottom"/>
          </w:tcPr>
          <w:p>
            <w:pPr>
              <w:pStyle w:val="TableContents"/>
              <w:spacing w:before="0" w:after="0"/>
              <w:ind w:left="450" w:right="0" w:hanging="225"/>
              <w:rPr/>
            </w:pPr>
            <w:r>
              <w:rPr/>
              <w:t>Net income</w:t>
            </w:r>
          </w:p>
        </w:tc>
        <w:tc>
          <w:tcPr>
            <w:tcW w:w="351"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104.8</w:t>
            </w:r>
          </w:p>
        </w:tc>
        <w:tc>
          <w:tcPr>
            <w:tcW w:w="15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80.3</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781" w:type="dxa"/>
            <w:tcBorders/>
            <w:shd w:fill="CCEEFF" w:val="clear"/>
            <w:vAlign w:val="bottom"/>
          </w:tcPr>
          <w:p>
            <w:pPr>
              <w:pStyle w:val="TableContents"/>
              <w:spacing w:before="0" w:after="283"/>
              <w:jc w:val="right"/>
              <w:rPr/>
            </w:pPr>
            <w:r>
              <w:rPr/>
              <w:t>189.5</w:t>
            </w:r>
          </w:p>
        </w:tc>
        <w:tc>
          <w:tcPr>
            <w:tcW w:w="141"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85" w:type="dxa"/>
            <w:tcBorders/>
            <w:shd w:fill="CCEEFF" w:val="clear"/>
            <w:vAlign w:val="bottom"/>
          </w:tcPr>
          <w:p>
            <w:pPr>
              <w:pStyle w:val="TableContents"/>
              <w:spacing w:before="0" w:after="283"/>
              <w:jc w:val="right"/>
              <w:rPr/>
            </w:pPr>
            <w:r>
              <w:rPr/>
              <w:t>143.7</w:t>
            </w:r>
          </w:p>
        </w:tc>
        <w:tc>
          <w:tcPr>
            <w:tcW w:w="127" w:type="dxa"/>
            <w:tcBorders/>
            <w:shd w:fill="CCEEFF" w:val="clear"/>
            <w:vAlign w:val="bottom"/>
          </w:tcPr>
          <w:p>
            <w:pPr>
              <w:pStyle w:val="TableContents"/>
              <w:spacing w:before="0" w:after="283"/>
              <w:rPr/>
            </w:pPr>
            <w:r>
              <w:rPr/>
              <w:t> </w:t>
            </w:r>
          </w:p>
        </w:tc>
        <w:tc>
          <w:tcPr>
            <w:tcW w:w="191" w:type="dxa"/>
            <w:gridSpan w:val="3"/>
            <w:tcBorders/>
            <w:shd w:fill="CCEEFF" w:val="clea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91" w:type="dxa"/>
            <w:gridSpan w:val="3"/>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Times New Roman;Times;serif" w:hAnsi="Times New Roman;Times;serif"/>
          <w:sz w:val="17"/>
        </w:rPr>
      </w:pPr>
      <w:r>
        <w:rPr>
          <w:rFonts w:ascii="Times New Roman;Times;serif" w:hAnsi="Times New Roman;Times;serif"/>
          <w:b/>
          <w:i/>
          <w:sz w:val="17"/>
        </w:rPr>
        <w:t>Analysis of Operating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to evaluate the performance of our segments, management focuses on the following metrics: (i) segment profit, (ii) segment volumes, (iii) segment profit per barrel calculated on these volumes and (iv) maintenance capital. See Note 13 to our Condensed Consolidated Financial Statements for further discussion on how we evaluate segment performance.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Transportation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transportation segment for the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169"/>
        <w:gridCol w:w="352"/>
        <w:gridCol w:w="198"/>
        <w:gridCol w:w="858"/>
        <w:gridCol w:w="154"/>
        <w:gridCol w:w="369"/>
        <w:gridCol w:w="198"/>
        <w:gridCol w:w="860"/>
        <w:gridCol w:w="127"/>
        <w:gridCol w:w="352"/>
        <w:gridCol w:w="173"/>
        <w:gridCol w:w="822"/>
        <w:gridCol w:w="138"/>
        <w:gridCol w:w="359"/>
        <w:gridCol w:w="174"/>
        <w:gridCol w:w="763"/>
        <w:gridCol w:w="139"/>
      </w:tblGrid>
      <w:tr>
        <w:trPr/>
        <w:tc>
          <w:tcPr>
            <w:tcW w:w="416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637" w:type="dxa"/>
            <w:gridSpan w:val="6"/>
            <w:tcBorders/>
            <w:shd w:fill="auto" w:val="clear"/>
            <w:vAlign w:val="bottom"/>
          </w:tcPr>
          <w:p>
            <w:pPr>
              <w:pStyle w:val="TableContents"/>
              <w:spacing w:before="0" w:after="283"/>
              <w:jc w:val="center"/>
              <w:rPr>
                <w:b/>
              </w:rPr>
            </w:pPr>
            <w:r>
              <w:rPr>
                <w:b/>
              </w:rPr>
              <w:t>Three Months Ended</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429" w:type="dxa"/>
            <w:gridSpan w:val="6"/>
            <w:tcBorders/>
            <w:shd w:fill="auto" w:val="clear"/>
            <w:vAlign w:val="bottom"/>
          </w:tcPr>
          <w:p>
            <w:pPr>
              <w:pStyle w:val="TableContents"/>
              <w:spacing w:before="0" w:after="283"/>
              <w:jc w:val="center"/>
              <w:rPr>
                <w:b/>
              </w:rPr>
            </w:pPr>
            <w:r>
              <w:rPr>
                <w:b/>
              </w:rPr>
              <w:t>Six Months Ended</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63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42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0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9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225" w:right="0" w:hanging="225"/>
              <w:rPr/>
            </w:pPr>
            <w:r>
              <w:rPr>
                <w:b/>
              </w:rPr>
              <w:t xml:space="preserve">Operating Results </w:t>
            </w:r>
            <w:r>
              <w:rPr/>
              <w:t>(1) (in millions, except per barrel amounts)</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450" w:right="0" w:hanging="225"/>
              <w:rPr/>
            </w:pPr>
            <w:r>
              <w:rPr/>
              <w:t>Revenues</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Tariff revenue</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58" w:type="dxa"/>
            <w:tcBorders/>
            <w:shd w:fill="CCEEFF" w:val="clear"/>
            <w:vAlign w:val="bottom"/>
          </w:tcPr>
          <w:p>
            <w:pPr>
              <w:pStyle w:val="TableContents"/>
              <w:spacing w:before="0" w:after="283"/>
              <w:jc w:val="right"/>
              <w:rPr/>
            </w:pPr>
            <w:r>
              <w:rPr/>
              <w:t>164.2</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107.0</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317.1</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763" w:type="dxa"/>
            <w:tcBorders/>
            <w:shd w:fill="CCEEFF" w:val="clear"/>
            <w:vAlign w:val="bottom"/>
          </w:tcPr>
          <w:p>
            <w:pPr>
              <w:pStyle w:val="TableContents"/>
              <w:spacing w:before="0" w:after="283"/>
              <w:jc w:val="right"/>
              <w:rPr/>
            </w:pPr>
            <w:r>
              <w:rPr/>
              <w:t>202.5</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Third-party trucking</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30.0</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23.9</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55.3</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46.3</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450" w:right="0" w:hanging="225"/>
              <w:rPr/>
            </w:pPr>
            <w:r>
              <w:rPr/>
              <w:t>Total transportation revenues</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194.2</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130.9</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372.4</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248.8</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225" w:right="0" w:hanging="225"/>
              <w:rPr/>
            </w:pPr>
            <w:r>
              <w:rPr/>
              <w:t> </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450" w:right="0" w:hanging="225"/>
              <w:rPr/>
            </w:pPr>
            <w:r>
              <w:rPr/>
              <w:t>Costs and Expenses</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Third-party trucking costs</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(20.5</w:t>
            </w:r>
          </w:p>
        </w:tc>
        <w:tc>
          <w:tcPr>
            <w:tcW w:w="154"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(18.6</w:t>
            </w:r>
          </w:p>
        </w:tc>
        <w:tc>
          <w:tcPr>
            <w:tcW w:w="127" w:type="dxa"/>
            <w:tcBorders/>
            <w:shd w:fill="CCEEFF" w:val="clear"/>
            <w:vAlign w:val="bottom"/>
          </w:tcPr>
          <w:p>
            <w:pPr>
              <w:pStyle w:val="TableContents"/>
              <w:spacing w:before="0" w:after="283"/>
              <w:rPr/>
            </w:pPr>
            <w:r>
              <w:rPr/>
              <w:t>)</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(38.0</w:t>
            </w:r>
          </w:p>
        </w:tc>
        <w:tc>
          <w:tcPr>
            <w:tcW w:w="138" w:type="dxa"/>
            <w:tcBorders/>
            <w:shd w:fill="CCEEFF" w:val="clear"/>
            <w:vAlign w:val="bottom"/>
          </w:tcPr>
          <w:p>
            <w:pPr>
              <w:pStyle w:val="TableContents"/>
              <w:spacing w:before="0" w:after="283"/>
              <w:rPr/>
            </w:pPr>
            <w:r>
              <w:rPr/>
              <w:t>)</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63" w:type="dxa"/>
            <w:tcBorders/>
            <w:shd w:fill="CCEEFF" w:val="clear"/>
            <w:vAlign w:val="bottom"/>
          </w:tcPr>
          <w:p>
            <w:pPr>
              <w:pStyle w:val="TableContents"/>
              <w:spacing w:before="0" w:after="283"/>
              <w:jc w:val="right"/>
              <w:rPr/>
            </w:pPr>
            <w:r>
              <w:rPr/>
              <w:t>(36.8</w:t>
            </w:r>
          </w:p>
        </w:tc>
        <w:tc>
          <w:tcPr>
            <w:tcW w:w="139" w:type="dxa"/>
            <w:tcBorders/>
            <w:shd w:fill="CCEEFF" w:val="clear"/>
            <w:vAlign w:val="bottom"/>
          </w:tcPr>
          <w:p>
            <w:pPr>
              <w:pStyle w:val="TableContents"/>
              <w:spacing w:before="0" w:after="283"/>
              <w:rPr/>
            </w:pPr>
            <w:r>
              <w:rPr/>
              <w:t>)</w:t>
            </w:r>
          </w:p>
        </w:tc>
      </w:tr>
      <w:tr>
        <w:trPr/>
        <w:tc>
          <w:tcPr>
            <w:tcW w:w="4169" w:type="dxa"/>
            <w:tcBorders/>
            <w:shd w:fill="auto" w:val="clear"/>
            <w:vAlign w:val="bottom"/>
          </w:tcPr>
          <w:p>
            <w:pPr>
              <w:pStyle w:val="TableContents"/>
              <w:spacing w:before="0" w:after="0"/>
              <w:ind w:left="675" w:right="0" w:hanging="225"/>
              <w:rPr/>
            </w:pPr>
            <w:r>
              <w:rPr/>
              <w:t>Field operating costs (excluding LTIP charge)</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pPr>
            <w:r>
              <w:rPr/>
              <w:t>(73.2</w:t>
            </w:r>
          </w:p>
        </w:tc>
        <w:tc>
          <w:tcPr>
            <w:tcW w:w="154"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(46.8</w:t>
            </w:r>
          </w:p>
        </w:tc>
        <w:tc>
          <w:tcPr>
            <w:tcW w:w="127" w:type="dxa"/>
            <w:tcBorders/>
            <w:shd w:fill="auto" w:val="clear"/>
            <w:vAlign w:val="bottom"/>
          </w:tcPr>
          <w:p>
            <w:pPr>
              <w:pStyle w:val="TableContents"/>
              <w:spacing w:before="0" w:after="283"/>
              <w:rPr/>
            </w:pPr>
            <w:r>
              <w:rPr/>
              <w:t>)</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(139.6</w:t>
            </w:r>
          </w:p>
        </w:tc>
        <w:tc>
          <w:tcPr>
            <w:tcW w:w="138" w:type="dxa"/>
            <w:tcBorders/>
            <w:shd w:fill="auto" w:val="clear"/>
            <w:vAlign w:val="bottom"/>
          </w:tcPr>
          <w:p>
            <w:pPr>
              <w:pStyle w:val="TableContents"/>
              <w:spacing w:before="0" w:after="283"/>
              <w:rPr/>
            </w:pPr>
            <w:r>
              <w:rPr/>
              <w:t>)</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763" w:type="dxa"/>
            <w:tcBorders/>
            <w:shd w:fill="auto" w:val="clear"/>
            <w:vAlign w:val="bottom"/>
          </w:tcPr>
          <w:p>
            <w:pPr>
              <w:pStyle w:val="TableContents"/>
              <w:spacing w:before="0" w:after="283"/>
              <w:jc w:val="right"/>
              <w:rPr/>
            </w:pPr>
            <w:r>
              <w:rPr/>
              <w:t>(93.7</w:t>
            </w:r>
          </w:p>
        </w:tc>
        <w:tc>
          <w:tcPr>
            <w:tcW w:w="139" w:type="dxa"/>
            <w:tcBorders/>
            <w:shd w:fill="auto" w:val="clear"/>
            <w:vAlign w:val="bottom"/>
          </w:tcPr>
          <w:p>
            <w:pPr>
              <w:pStyle w:val="TableContents"/>
              <w:spacing w:before="0" w:after="283"/>
              <w:rPr/>
            </w:pPr>
            <w:r>
              <w:rPr/>
              <w:t>)</w:t>
            </w:r>
          </w:p>
        </w:tc>
      </w:tr>
      <w:tr>
        <w:trPr/>
        <w:tc>
          <w:tcPr>
            <w:tcW w:w="4169" w:type="dxa"/>
            <w:tcBorders/>
            <w:shd w:fill="CCEEFF" w:val="clear"/>
            <w:vAlign w:val="bottom"/>
          </w:tcPr>
          <w:p>
            <w:pPr>
              <w:pStyle w:val="TableContents"/>
              <w:spacing w:before="0" w:after="0"/>
              <w:ind w:left="675" w:right="0" w:hanging="225"/>
              <w:rPr/>
            </w:pPr>
            <w:r>
              <w:rPr/>
              <w:t>LTIP charge  operations (2)</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(2.5</w:t>
            </w:r>
          </w:p>
        </w:tc>
        <w:tc>
          <w:tcPr>
            <w:tcW w:w="154"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(0.6</w:t>
            </w:r>
          </w:p>
        </w:tc>
        <w:tc>
          <w:tcPr>
            <w:tcW w:w="127" w:type="dxa"/>
            <w:tcBorders/>
            <w:shd w:fill="CCEEFF" w:val="clear"/>
            <w:vAlign w:val="bottom"/>
          </w:tcPr>
          <w:p>
            <w:pPr>
              <w:pStyle w:val="TableContents"/>
              <w:spacing w:before="0" w:after="283"/>
              <w:rPr/>
            </w:pPr>
            <w:r>
              <w:rPr/>
              <w:t>)</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(4.6</w:t>
            </w:r>
          </w:p>
        </w:tc>
        <w:tc>
          <w:tcPr>
            <w:tcW w:w="138" w:type="dxa"/>
            <w:tcBorders/>
            <w:shd w:fill="CCEEFF" w:val="clear"/>
            <w:vAlign w:val="bottom"/>
          </w:tcPr>
          <w:p>
            <w:pPr>
              <w:pStyle w:val="TableContents"/>
              <w:spacing w:before="0" w:after="283"/>
              <w:rPr/>
            </w:pPr>
            <w:r>
              <w:rPr/>
              <w:t>)</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63" w:type="dxa"/>
            <w:tcBorders/>
            <w:shd w:fill="CCEEFF" w:val="clear"/>
            <w:vAlign w:val="bottom"/>
          </w:tcPr>
          <w:p>
            <w:pPr>
              <w:pStyle w:val="TableContents"/>
              <w:spacing w:before="0" w:after="283"/>
              <w:jc w:val="right"/>
              <w:rPr/>
            </w:pPr>
            <w:r>
              <w:rPr/>
              <w:t>(1.7</w:t>
            </w:r>
          </w:p>
        </w:tc>
        <w:tc>
          <w:tcPr>
            <w:tcW w:w="139" w:type="dxa"/>
            <w:tcBorders/>
            <w:shd w:fill="CCEEFF" w:val="clear"/>
            <w:vAlign w:val="bottom"/>
          </w:tcPr>
          <w:p>
            <w:pPr>
              <w:pStyle w:val="TableContents"/>
              <w:spacing w:before="0" w:after="283"/>
              <w:rPr/>
            </w:pPr>
            <w:r>
              <w:rPr/>
              <w:t>)</w:t>
            </w:r>
          </w:p>
        </w:tc>
      </w:tr>
      <w:tr>
        <w:trPr/>
        <w:tc>
          <w:tcPr>
            <w:tcW w:w="4169" w:type="dxa"/>
            <w:tcBorders/>
            <w:shd w:fill="auto" w:val="clear"/>
            <w:vAlign w:val="bottom"/>
          </w:tcPr>
          <w:p>
            <w:pPr>
              <w:pStyle w:val="TableContents"/>
              <w:spacing w:before="0" w:after="0"/>
              <w:ind w:left="675" w:right="0" w:hanging="225"/>
              <w:rPr/>
            </w:pPr>
            <w:r>
              <w:rPr/>
              <w:t>Segment G&amp;A expenses (excluding LTIP charge) (3)</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pPr>
            <w:r>
              <w:rPr/>
              <w:t>(11.2</w:t>
            </w:r>
          </w:p>
        </w:tc>
        <w:tc>
          <w:tcPr>
            <w:tcW w:w="154"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283"/>
              <w:jc w:val="right"/>
              <w:rPr/>
            </w:pPr>
            <w:r>
              <w:rPr/>
              <w:t>(9.5</w:t>
            </w:r>
          </w:p>
        </w:tc>
        <w:tc>
          <w:tcPr>
            <w:tcW w:w="127" w:type="dxa"/>
            <w:tcBorders/>
            <w:shd w:fill="auto" w:val="clear"/>
            <w:vAlign w:val="bottom"/>
          </w:tcPr>
          <w:p>
            <w:pPr>
              <w:pStyle w:val="TableContents"/>
              <w:spacing w:before="0" w:after="283"/>
              <w:rPr/>
            </w:pPr>
            <w:r>
              <w:rPr/>
              <w:t>)</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(23.8</w:t>
            </w:r>
          </w:p>
        </w:tc>
        <w:tc>
          <w:tcPr>
            <w:tcW w:w="138" w:type="dxa"/>
            <w:tcBorders/>
            <w:shd w:fill="auto" w:val="clear"/>
            <w:vAlign w:val="bottom"/>
          </w:tcPr>
          <w:p>
            <w:pPr>
              <w:pStyle w:val="TableContents"/>
              <w:spacing w:before="0" w:after="283"/>
              <w:rPr/>
            </w:pPr>
            <w:r>
              <w:rPr/>
              <w:t>)</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763" w:type="dxa"/>
            <w:tcBorders/>
            <w:shd w:fill="auto" w:val="clear"/>
            <w:vAlign w:val="bottom"/>
          </w:tcPr>
          <w:p>
            <w:pPr>
              <w:pStyle w:val="TableContents"/>
              <w:spacing w:before="0" w:after="283"/>
              <w:jc w:val="right"/>
              <w:rPr/>
            </w:pPr>
            <w:r>
              <w:rPr/>
              <w:t>(19.4</w:t>
            </w:r>
          </w:p>
        </w:tc>
        <w:tc>
          <w:tcPr>
            <w:tcW w:w="139" w:type="dxa"/>
            <w:tcBorders/>
            <w:shd w:fill="auto" w:val="clear"/>
            <w:vAlign w:val="bottom"/>
          </w:tcPr>
          <w:p>
            <w:pPr>
              <w:pStyle w:val="TableContents"/>
              <w:spacing w:before="0" w:after="283"/>
              <w:rPr/>
            </w:pPr>
            <w:r>
              <w:rPr/>
              <w:t>)</w:t>
            </w:r>
          </w:p>
        </w:tc>
      </w:tr>
      <w:tr>
        <w:trPr/>
        <w:tc>
          <w:tcPr>
            <w:tcW w:w="4169" w:type="dxa"/>
            <w:tcBorders/>
            <w:shd w:fill="CCEEFF" w:val="clear"/>
            <w:vAlign w:val="bottom"/>
          </w:tcPr>
          <w:p>
            <w:pPr>
              <w:pStyle w:val="TableContents"/>
              <w:spacing w:before="0" w:after="0"/>
              <w:ind w:left="675" w:right="0" w:hanging="225"/>
              <w:rPr/>
            </w:pPr>
            <w:r>
              <w:rPr/>
              <w:t>LTIP charge  general and administrative (2)</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(8.3</w:t>
            </w:r>
          </w:p>
        </w:tc>
        <w:tc>
          <w:tcPr>
            <w:tcW w:w="154"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(2.5</w:t>
            </w:r>
          </w:p>
        </w:tc>
        <w:tc>
          <w:tcPr>
            <w:tcW w:w="127" w:type="dxa"/>
            <w:tcBorders/>
            <w:shd w:fill="CCEEFF" w:val="clear"/>
            <w:vAlign w:val="bottom"/>
          </w:tcPr>
          <w:p>
            <w:pPr>
              <w:pStyle w:val="TableContents"/>
              <w:spacing w:before="0" w:after="283"/>
              <w:rPr/>
            </w:pPr>
            <w:r>
              <w:rPr/>
              <w:t>)</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(15.7</w:t>
            </w:r>
          </w:p>
        </w:tc>
        <w:tc>
          <w:tcPr>
            <w:tcW w:w="138" w:type="dxa"/>
            <w:tcBorders/>
            <w:shd w:fill="CCEEFF" w:val="clear"/>
            <w:vAlign w:val="bottom"/>
          </w:tcPr>
          <w:p>
            <w:pPr>
              <w:pStyle w:val="TableContents"/>
              <w:spacing w:before="0" w:after="283"/>
              <w:rPr/>
            </w:pPr>
            <w:r>
              <w:rPr/>
              <w:t>)</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763" w:type="dxa"/>
            <w:tcBorders/>
            <w:shd w:fill="CCEEFF" w:val="clear"/>
            <w:vAlign w:val="bottom"/>
          </w:tcPr>
          <w:p>
            <w:pPr>
              <w:pStyle w:val="TableContents"/>
              <w:spacing w:before="0" w:after="283"/>
              <w:jc w:val="right"/>
              <w:rPr/>
            </w:pPr>
            <w:r>
              <w:rPr/>
              <w:t>(6.5</w:t>
            </w:r>
          </w:p>
        </w:tc>
        <w:tc>
          <w:tcPr>
            <w:tcW w:w="139" w:type="dxa"/>
            <w:tcBorders/>
            <w:shd w:fill="CCEEFF" w:val="clear"/>
            <w:vAlign w:val="bottom"/>
          </w:tcPr>
          <w:p>
            <w:pPr>
              <w:pStyle w:val="TableContents"/>
              <w:spacing w:before="0" w:after="283"/>
              <w:rPr/>
            </w:pPr>
            <w:r>
              <w:rPr/>
              <w:t>)</w:t>
            </w:r>
          </w:p>
        </w:tc>
      </w:tr>
      <w:tr>
        <w:trPr/>
        <w:tc>
          <w:tcPr>
            <w:tcW w:w="4169" w:type="dxa"/>
            <w:tcBorders/>
            <w:shd w:fill="auto" w:val="clear"/>
            <w:vAlign w:val="bottom"/>
          </w:tcPr>
          <w:p>
            <w:pPr>
              <w:pStyle w:val="TableContents"/>
              <w:spacing w:before="0" w:after="0"/>
              <w:ind w:left="450" w:right="0" w:hanging="225"/>
              <w:rPr/>
            </w:pPr>
            <w:r>
              <w:rPr/>
              <w:t>Equity earnings in unconsolidated entities</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1.2</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0.5</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2.1</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0.8</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450" w:right="0" w:hanging="225"/>
              <w:rPr/>
            </w:pPr>
            <w:r>
              <w:rPr/>
              <w:t>Segment profit</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58" w:type="dxa"/>
            <w:tcBorders/>
            <w:shd w:fill="CCEEFF" w:val="clear"/>
            <w:vAlign w:val="bottom"/>
          </w:tcPr>
          <w:p>
            <w:pPr>
              <w:pStyle w:val="TableContents"/>
              <w:spacing w:before="0" w:after="283"/>
              <w:jc w:val="right"/>
              <w:rPr/>
            </w:pPr>
            <w:r>
              <w:rPr/>
              <w:t>79.7</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53.4</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152.8</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763" w:type="dxa"/>
            <w:tcBorders/>
            <w:shd w:fill="CCEEFF" w:val="clear"/>
            <w:vAlign w:val="bottom"/>
          </w:tcPr>
          <w:p>
            <w:pPr>
              <w:pStyle w:val="TableContents"/>
              <w:spacing w:before="0" w:after="283"/>
              <w:jc w:val="right"/>
              <w:rPr/>
            </w:pPr>
            <w:r>
              <w:rPr/>
              <w:t>91.5</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auto" w:val="clear"/>
            <w:vAlign w:val="bottom"/>
          </w:tcPr>
          <w:p>
            <w:pPr>
              <w:pStyle w:val="TableContents"/>
              <w:spacing w:before="0" w:after="0"/>
              <w:ind w:left="450" w:right="0" w:hanging="225"/>
              <w:rPr/>
            </w:pPr>
            <w:r>
              <w:rPr/>
              <w:t>Maintenance capital</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9.2</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3.4</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12.4</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763" w:type="dxa"/>
            <w:tcBorders/>
            <w:shd w:fill="auto" w:val="clear"/>
            <w:vAlign w:val="bottom"/>
          </w:tcPr>
          <w:p>
            <w:pPr>
              <w:pStyle w:val="TableContents"/>
              <w:spacing w:before="0" w:after="283"/>
              <w:jc w:val="right"/>
              <w:rPr/>
            </w:pPr>
            <w:r>
              <w:rPr/>
              <w:t>6.4</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450" w:right="0" w:hanging="225"/>
              <w:rPr/>
            </w:pPr>
            <w:r>
              <w:rPr/>
              <w:t>Segment profit per barrel</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58" w:type="dxa"/>
            <w:tcBorders/>
            <w:shd w:fill="CCEEFF" w:val="clear"/>
            <w:vAlign w:val="bottom"/>
          </w:tcPr>
          <w:p>
            <w:pPr>
              <w:pStyle w:val="TableContents"/>
              <w:spacing w:before="0" w:after="283"/>
              <w:jc w:val="right"/>
              <w:rPr/>
            </w:pPr>
            <w:r>
              <w:rPr/>
              <w:t>0.30</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0.28</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0.30</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763" w:type="dxa"/>
            <w:tcBorders/>
            <w:shd w:fill="CCEEFF" w:val="clear"/>
            <w:vAlign w:val="bottom"/>
          </w:tcPr>
          <w:p>
            <w:pPr>
              <w:pStyle w:val="TableContents"/>
              <w:spacing w:before="0" w:after="283"/>
              <w:jc w:val="right"/>
              <w:rPr/>
            </w:pPr>
            <w:r>
              <w:rPr/>
              <w:t>0.25</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auto" w:val="clear"/>
            <w:vAlign w:val="bottom"/>
          </w:tcPr>
          <w:p>
            <w:pPr>
              <w:pStyle w:val="TableContents"/>
              <w:spacing w:before="0" w:after="0"/>
              <w:ind w:left="225" w:right="0" w:hanging="225"/>
              <w:rPr/>
            </w:pPr>
            <w:r>
              <w:rPr/>
              <w:t> </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225" w:right="0" w:hanging="225"/>
              <w:rPr/>
            </w:pPr>
            <w:r>
              <w:rPr>
                <w:b/>
              </w:rPr>
              <w:t xml:space="preserve">Average Daily Volumes </w:t>
            </w:r>
            <w:r>
              <w:rPr/>
              <w:t>(thousands of barrels per day) (4)</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450" w:right="0" w:hanging="225"/>
              <w:rPr/>
            </w:pPr>
            <w:r>
              <w:rPr/>
              <w:t>Tariff activities:</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All American</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47</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53</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48</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48</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Basin</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407</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330</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374</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322</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Capline</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231</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178</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233</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132</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Line 63 / 2000</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181</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N/A</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181</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N/A</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Salt Lake City</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64</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N/A</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63</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N/A</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North Dakota/Trenton</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98</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87</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96</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85</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West Texas/New Mexico area systems</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395</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478</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381</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460</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Manito</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74</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73</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74</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69</w:t>
            </w:r>
          </w:p>
        </w:tc>
        <w:tc>
          <w:tcPr>
            <w:tcW w:w="139" w:type="dxa"/>
            <w:tcBorders/>
            <w:shd w:fill="auto" w:val="clear"/>
            <w:vAlign w:val="bottom"/>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675" w:right="0" w:hanging="225"/>
              <w:rPr/>
            </w:pPr>
            <w:r>
              <w:rPr/>
              <w:t>Refined products</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105</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N/A</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110</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N/A</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675" w:right="0" w:hanging="225"/>
              <w:rPr/>
            </w:pPr>
            <w:r>
              <w:rPr/>
              <w:t>Other</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1,170</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802</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1,131</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792</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450" w:right="0" w:hanging="225"/>
              <w:rPr/>
            </w:pPr>
            <w:r>
              <w:rPr/>
              <w:t>Tariff activities total</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2,772</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2,001</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2,691</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1,908</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bottom"/>
          </w:tcPr>
          <w:p>
            <w:pPr>
              <w:pStyle w:val="TableContents"/>
              <w:spacing w:before="0" w:after="0"/>
              <w:ind w:left="450" w:right="0" w:hanging="225"/>
              <w:rPr/>
            </w:pPr>
            <w:r>
              <w:rPr/>
              <w:t>Trucking volumes</w:t>
            </w:r>
          </w:p>
        </w:tc>
        <w:tc>
          <w:tcPr>
            <w:tcW w:w="352"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107</w:t>
            </w:r>
          </w:p>
        </w:tc>
        <w:tc>
          <w:tcPr>
            <w:tcW w:w="154"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103</w:t>
            </w:r>
          </w:p>
        </w:tc>
        <w:tc>
          <w:tcPr>
            <w:tcW w:w="12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108</w:t>
            </w:r>
          </w:p>
        </w:tc>
        <w:tc>
          <w:tcPr>
            <w:tcW w:w="138"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114</w:t>
            </w:r>
          </w:p>
        </w:tc>
        <w:tc>
          <w:tcPr>
            <w:tcW w:w="139" w:type="dxa"/>
            <w:tcBorders/>
            <w:shd w:fill="auto"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169" w:type="dxa"/>
            <w:tcBorders/>
            <w:shd w:fill="CCEEFF" w:val="clear"/>
            <w:vAlign w:val="bottom"/>
          </w:tcPr>
          <w:p>
            <w:pPr>
              <w:pStyle w:val="TableContents"/>
              <w:spacing w:before="0" w:after="0"/>
              <w:ind w:left="450" w:right="0" w:hanging="225"/>
              <w:rPr>
                <w:b/>
              </w:rPr>
            </w:pPr>
            <w:r>
              <w:rPr>
                <w:b/>
              </w:rPr>
              <w:t>Transportation activities total</w:t>
            </w:r>
          </w:p>
        </w:tc>
        <w:tc>
          <w:tcPr>
            <w:tcW w:w="352"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2,879</w:t>
            </w:r>
          </w:p>
        </w:tc>
        <w:tc>
          <w:tcPr>
            <w:tcW w:w="154"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2,104</w:t>
            </w:r>
          </w:p>
        </w:tc>
        <w:tc>
          <w:tcPr>
            <w:tcW w:w="127"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2,799</w:t>
            </w:r>
          </w:p>
        </w:tc>
        <w:tc>
          <w:tcPr>
            <w:tcW w:w="138"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2,022</w:t>
            </w:r>
          </w:p>
        </w:tc>
        <w:tc>
          <w:tcPr>
            <w:tcW w:w="139" w:type="dxa"/>
            <w:tcBorders/>
            <w:shd w:fill="CCEEFF" w:val="clear"/>
            <w:vAlign w:val="bottom"/>
          </w:tcPr>
          <w:p>
            <w:pPr>
              <w:pStyle w:val="TableContents"/>
              <w:spacing w:before="0" w:after="283"/>
              <w:rPr/>
            </w:pPr>
            <w:r>
              <w:rPr/>
              <w:t> </w:t>
            </w:r>
          </w:p>
        </w:tc>
      </w:tr>
      <w:tr>
        <w:trPr/>
        <w:tc>
          <w:tcPr>
            <w:tcW w:w="4169" w:type="dxa"/>
            <w:tcBorders/>
            <w:shd w:fill="auto" w:val="clear"/>
            <w:vAlign w:val="center"/>
          </w:tcPr>
          <w:p>
            <w:pPr>
              <w:pStyle w:val="TableContents"/>
              <w:spacing w:before="0" w:after="0"/>
              <w:ind w:left="675" w:right="0" w:hanging="225"/>
              <w:rPr/>
            </w:pPr>
            <w:r>
              <w:rPr/>
              <w:t> </w:t>
            </w:r>
          </w:p>
        </w:tc>
        <w:tc>
          <w:tcPr>
            <w:tcW w:w="352" w:type="dxa"/>
            <w:tcBorders/>
            <w:shd w:fill="auto" w:val="clear"/>
            <w:vAlign w:val="center"/>
          </w:tcPr>
          <w:p>
            <w:pPr>
              <w:pStyle w:val="TableContents"/>
              <w:spacing w:before="0" w:after="283"/>
              <w:rPr/>
            </w:pPr>
            <w:r>
              <w:rPr/>
              <w:t> </w:t>
            </w:r>
          </w:p>
        </w:tc>
        <w:tc>
          <w:tcPr>
            <w:tcW w:w="10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9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and purchases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LTIP.</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spacing w:before="120" w:after="283"/>
        <w:jc w:val="left"/>
        <w:rPr/>
      </w:pPr>
      <w:r>
        <w:rPr/>
        <w:t>     </w:t>
      </w:r>
      <w:r>
        <w:rPr>
          <w:rFonts w:ascii="Times New Roman;Times;serif" w:hAnsi="Times New Roman;Times;serif"/>
          <w:sz w:val="17"/>
        </w:rPr>
        <w:t xml:space="preserve">Segment profit, our primary measure of segment performance, was impacted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volumes and related tariff revenues  In the second quarter of 2007, average daily volumes from our tariff activities increased by approximately 771,000 barrels per day or 39% and tariff revenues increased by approximately $57 million or 53% compared to the corresponding period of 2006. In the first six months of 2007, average daily volumes from our tariff activities increased by approximately 783,000 barrels per day or 41% and tariff revenues increased by approximately $115 million or 57% compared to the corresponding period of 2006. The increase in volumes and tariff revenues is attributable to a combination of the following factors: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305"/>
        <w:gridCol w:w="101"/>
        <w:gridCol w:w="8984"/>
      </w:tblGrid>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higher volumes on our Basin and Capline systems primarily from multi-year contracts entered into during the second quarter of 2006;</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Pipeline systems acquired or brought into service during the last six months of 2006 (primarily from the Pacific acquisition), which contributed approximately 705,000 barrels per day and $45 million of revenues during the second quarter of 2007 and approximately 708,000 barrels per day and $90 million of revenues during the first six months of 2007;</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higher volumes on various other systems; and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An increase of approximately $5 million and $6 million for the second quarter and first six months of 2007, respectively, from our loss allowance oil primarily resulting from increased volumes.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subsequent sales of allowance oil barrels are also included in tariff revenues.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field operating costs  Field operating costs have increased for most categories of costs for the second quarter and first six months of 2007 compared to the second quarter and first six months of 2006 as we have continued to grow through acquisitions and expansion projects. The most significant cost increases in the second quarter and first six months of 2007 (primarily from recent acquisitions) have been related to (i) payroll and benefits, (ii) utilities, (iii) pipeline integrity work and (iv) property taxes.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segment G&amp;A expenses  Segment G&amp;A expenses excluding LTIP charges increased in the second quarter and first six months of 2007 compared to the second quarter and first six months of 2006 primarily as a result of the acquisitions and internal growth projects discussed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LTIP expenses  LTIP charges included in field operating costs and segment G&amp;A expenses increased approximately $8 million and $12 million in the second quarter and first six months of 2007, respectively, over the second quarter and first six months of 2006, primarily as a result of additional LTIP grants and an increase in our closing unit price to $63.65 at June 30, 2007 from $51.20 at December 31, 2006. The second quarter and first six months of 2007 include an increased expense associated with the increase in the price of our units compared to the corresponding periods of 2006. See Note 8 to our Condensed Consolidated Financial Statements.</w:t>
            </w:r>
          </w:p>
        </w:tc>
      </w:tr>
    </w:tbl>
    <w:p>
      <w:pPr>
        <w:pStyle w:val="TextBody"/>
        <w:spacing w:before="120" w:after="283"/>
        <w:jc w:val="left"/>
        <w:rPr>
          <w:rFonts w:ascii="Times New Roman;Times;serif" w:hAnsi="Times New Roman;Times;serif"/>
          <w:sz w:val="17"/>
        </w:rPr>
      </w:pPr>
      <w:r>
        <w:rPr>
          <w:rFonts w:ascii="Times New Roman;Times;serif" w:hAnsi="Times New Roman;Times;serif"/>
          <w:b/>
          <w:i/>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facilities segment for the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049"/>
        <w:gridCol w:w="347"/>
        <w:gridCol w:w="223"/>
        <w:gridCol w:w="901"/>
        <w:gridCol w:w="171"/>
        <w:gridCol w:w="373"/>
        <w:gridCol w:w="223"/>
        <w:gridCol w:w="817"/>
        <w:gridCol w:w="130"/>
        <w:gridCol w:w="347"/>
        <w:gridCol w:w="193"/>
        <w:gridCol w:w="794"/>
        <w:gridCol w:w="150"/>
        <w:gridCol w:w="360"/>
        <w:gridCol w:w="193"/>
        <w:gridCol w:w="795"/>
        <w:gridCol w:w="139"/>
      </w:tblGrid>
      <w:tr>
        <w:trPr/>
        <w:tc>
          <w:tcPr>
            <w:tcW w:w="404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708" w:type="dxa"/>
            <w:gridSpan w:val="6"/>
            <w:tcBorders/>
            <w:shd w:fill="auto" w:val="clear"/>
            <w:vAlign w:val="bottom"/>
          </w:tcPr>
          <w:p>
            <w:pPr>
              <w:pStyle w:val="TableContents"/>
              <w:spacing w:before="0" w:after="283"/>
              <w:jc w:val="center"/>
              <w:rPr>
                <w:b/>
              </w:rPr>
            </w:pPr>
            <w:r>
              <w:rPr>
                <w:b/>
              </w:rPr>
              <w:t>Three Months Ended</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485" w:type="dxa"/>
            <w:gridSpan w:val="6"/>
            <w:tcBorders/>
            <w:shd w:fill="auto" w:val="clear"/>
            <w:vAlign w:val="bottom"/>
          </w:tcPr>
          <w:p>
            <w:pPr>
              <w:pStyle w:val="TableContents"/>
              <w:spacing w:before="0" w:after="283"/>
              <w:jc w:val="center"/>
              <w:rPr>
                <w:b/>
              </w:rPr>
            </w:pPr>
            <w:r>
              <w:rPr>
                <w:b/>
              </w:rPr>
              <w:t>Six Months Ended</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70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4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225" w:right="0" w:hanging="225"/>
              <w:rPr>
                <w:b/>
              </w:rPr>
            </w:pPr>
            <w:r>
              <w:rPr>
                <w:b/>
              </w:rPr>
              <w:t>Operating Results (in millions, except per barrel amounts)</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0"/>
              <w:ind w:left="450" w:right="0" w:hanging="225"/>
              <w:rPr/>
            </w:pPr>
            <w:r>
              <w:rPr/>
              <w:t>Storage and terminalling revenues (1)</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54.2</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21.4</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4" w:type="dxa"/>
            <w:tcBorders/>
            <w:shd w:fill="auto" w:val="clear"/>
            <w:vAlign w:val="bottom"/>
          </w:tcPr>
          <w:p>
            <w:pPr>
              <w:pStyle w:val="TableContents"/>
              <w:spacing w:before="0" w:after="283"/>
              <w:jc w:val="right"/>
              <w:rPr/>
            </w:pPr>
            <w:r>
              <w:rPr/>
              <w:t>99.3</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5" w:type="dxa"/>
            <w:tcBorders/>
            <w:shd w:fill="auto" w:val="clear"/>
            <w:vAlign w:val="bottom"/>
          </w:tcPr>
          <w:p>
            <w:pPr>
              <w:pStyle w:val="TableContents"/>
              <w:spacing w:before="0" w:after="283"/>
              <w:jc w:val="right"/>
              <w:rPr/>
            </w:pPr>
            <w:r>
              <w:rPr/>
              <w:t>33.3</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450" w:right="0" w:hanging="225"/>
              <w:rPr/>
            </w:pPr>
            <w:r>
              <w:rPr/>
              <w:t>Field operating costs (excluding LTIP charge)</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(21.3</w:t>
            </w:r>
          </w:p>
        </w:tc>
        <w:tc>
          <w:tcPr>
            <w:tcW w:w="171"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283"/>
              <w:jc w:val="right"/>
              <w:rPr/>
            </w:pPr>
            <w:r>
              <w:rPr/>
              <w:t>(8.9</w:t>
            </w:r>
          </w:p>
        </w:tc>
        <w:tc>
          <w:tcPr>
            <w:tcW w:w="130"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jc w:val="right"/>
              <w:rPr/>
            </w:pPr>
            <w:r>
              <w:rPr/>
              <w:t>(40.2</w:t>
            </w:r>
          </w:p>
        </w:tc>
        <w:tc>
          <w:tcPr>
            <w:tcW w:w="150"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(14.4</w:t>
            </w:r>
          </w:p>
        </w:tc>
        <w:tc>
          <w:tcPr>
            <w:tcW w:w="139" w:type="dxa"/>
            <w:tcBorders/>
            <w:shd w:fill="CCEEFF" w:val="clear"/>
            <w:vAlign w:val="bottom"/>
          </w:tcPr>
          <w:p>
            <w:pPr>
              <w:pStyle w:val="TableContents"/>
              <w:spacing w:before="0" w:after="283"/>
              <w:rPr/>
            </w:pPr>
            <w:r>
              <w:rPr/>
              <w:t>)</w:t>
            </w:r>
          </w:p>
        </w:tc>
      </w:tr>
      <w:tr>
        <w:trPr/>
        <w:tc>
          <w:tcPr>
            <w:tcW w:w="4049" w:type="dxa"/>
            <w:tcBorders/>
            <w:shd w:fill="auto" w:val="clear"/>
            <w:vAlign w:val="bottom"/>
          </w:tcPr>
          <w:p>
            <w:pPr>
              <w:pStyle w:val="TableContents"/>
              <w:spacing w:before="0" w:after="0"/>
              <w:ind w:left="450" w:right="0" w:hanging="225"/>
              <w:rPr/>
            </w:pPr>
            <w:r>
              <w:rPr/>
              <w:t>LTIP charge  operations (3)</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283"/>
              <w:jc w:val="right"/>
              <w:rPr/>
            </w:pPr>
            <w:r>
              <w:rPr/>
              <w:t>(0.1</w:t>
            </w:r>
          </w:p>
        </w:tc>
        <w:tc>
          <w:tcPr>
            <w:tcW w:w="171"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794" w:type="dxa"/>
            <w:tcBorders/>
            <w:shd w:fill="auto" w:val="clear"/>
            <w:vAlign w:val="bottom"/>
          </w:tcPr>
          <w:p>
            <w:pPr>
              <w:pStyle w:val="TableContents"/>
              <w:spacing w:before="0" w:after="283"/>
              <w:jc w:val="right"/>
              <w:rPr/>
            </w:pPr>
            <w:r>
              <w:rPr/>
              <w:t>(0.1</w:t>
            </w:r>
          </w:p>
        </w:tc>
        <w:tc>
          <w:tcPr>
            <w:tcW w:w="150"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450" w:right="0" w:hanging="225"/>
              <w:rPr/>
            </w:pPr>
            <w:r>
              <w:rPr/>
              <w:t>Segment G&amp;A expenses (excluding LTIP charge) (2)</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(4.6</w:t>
            </w:r>
          </w:p>
        </w:tc>
        <w:tc>
          <w:tcPr>
            <w:tcW w:w="171"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817" w:type="dxa"/>
            <w:tcBorders/>
            <w:shd w:fill="CCEEFF" w:val="clear"/>
            <w:vAlign w:val="bottom"/>
          </w:tcPr>
          <w:p>
            <w:pPr>
              <w:pStyle w:val="TableContents"/>
              <w:spacing w:before="0" w:after="283"/>
              <w:jc w:val="right"/>
              <w:rPr/>
            </w:pPr>
            <w:r>
              <w:rPr/>
              <w:t>(4.5</w:t>
            </w:r>
          </w:p>
        </w:tc>
        <w:tc>
          <w:tcPr>
            <w:tcW w:w="130" w:type="dxa"/>
            <w:tcBorders/>
            <w:shd w:fill="CCEEFF" w:val="clear"/>
            <w:vAlign w:val="bottom"/>
          </w:tcPr>
          <w:p>
            <w:pPr>
              <w:pStyle w:val="TableContents"/>
              <w:spacing w:before="0" w:after="283"/>
              <w:rPr/>
            </w:pPr>
            <w:r>
              <w:rPr/>
              <w:t>)</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jc w:val="right"/>
              <w:rPr/>
            </w:pPr>
            <w:r>
              <w:rPr/>
              <w:t>(9.5</w:t>
            </w:r>
          </w:p>
        </w:tc>
        <w:tc>
          <w:tcPr>
            <w:tcW w:w="150"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(7.0</w:t>
            </w:r>
          </w:p>
        </w:tc>
        <w:tc>
          <w:tcPr>
            <w:tcW w:w="139" w:type="dxa"/>
            <w:tcBorders/>
            <w:shd w:fill="CCEEFF" w:val="clear"/>
            <w:vAlign w:val="bottom"/>
          </w:tcPr>
          <w:p>
            <w:pPr>
              <w:pStyle w:val="TableContents"/>
              <w:spacing w:before="0" w:after="283"/>
              <w:rPr/>
            </w:pPr>
            <w:r>
              <w:rPr/>
              <w:t>)</w:t>
            </w:r>
          </w:p>
        </w:tc>
      </w:tr>
      <w:tr>
        <w:trPr/>
        <w:tc>
          <w:tcPr>
            <w:tcW w:w="4049" w:type="dxa"/>
            <w:tcBorders/>
            <w:shd w:fill="auto" w:val="clear"/>
            <w:vAlign w:val="bottom"/>
          </w:tcPr>
          <w:p>
            <w:pPr>
              <w:pStyle w:val="TableContents"/>
              <w:spacing w:before="0" w:after="0"/>
              <w:ind w:left="450" w:right="0" w:hanging="225"/>
              <w:rPr/>
            </w:pPr>
            <w:r>
              <w:rPr/>
              <w:t>LTIP charge  general and administrative (3)</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283"/>
              <w:jc w:val="right"/>
              <w:rPr/>
            </w:pPr>
            <w:r>
              <w:rPr/>
              <w:t>(3.1</w:t>
            </w:r>
          </w:p>
        </w:tc>
        <w:tc>
          <w:tcPr>
            <w:tcW w:w="171"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pPr>
            <w:r>
              <w:rPr/>
              <w:t>(1.0</w:t>
            </w:r>
          </w:p>
        </w:tc>
        <w:tc>
          <w:tcPr>
            <w:tcW w:w="130" w:type="dxa"/>
            <w:tcBorders/>
            <w:shd w:fill="auto" w:val="clear"/>
            <w:vAlign w:val="bottom"/>
          </w:tcPr>
          <w:p>
            <w:pPr>
              <w:pStyle w:val="TableContents"/>
              <w:spacing w:before="0" w:after="283"/>
              <w:rPr/>
            </w:pPr>
            <w:r>
              <w:rPr/>
              <w:t>)</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794" w:type="dxa"/>
            <w:tcBorders/>
            <w:shd w:fill="auto" w:val="clear"/>
            <w:vAlign w:val="bottom"/>
          </w:tcPr>
          <w:p>
            <w:pPr>
              <w:pStyle w:val="TableContents"/>
              <w:spacing w:before="0" w:after="283"/>
              <w:jc w:val="right"/>
              <w:rPr/>
            </w:pPr>
            <w:r>
              <w:rPr/>
              <w:t>(5.2</w:t>
            </w:r>
          </w:p>
        </w:tc>
        <w:tc>
          <w:tcPr>
            <w:tcW w:w="150"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(2.2</w:t>
            </w:r>
          </w:p>
        </w:tc>
        <w:tc>
          <w:tcPr>
            <w:tcW w:w="139" w:type="dxa"/>
            <w:tcBorders/>
            <w:shd w:fill="auto" w:val="clear"/>
            <w:vAlign w:val="bottom"/>
          </w:tcPr>
          <w:p>
            <w:pPr>
              <w:pStyle w:val="TableContents"/>
              <w:spacing w:before="0" w:after="283"/>
              <w:rPr/>
            </w:pPr>
            <w:r>
              <w:rPr/>
              <w:t>)</w:t>
            </w:r>
          </w:p>
        </w:tc>
      </w:tr>
      <w:tr>
        <w:trPr/>
        <w:tc>
          <w:tcPr>
            <w:tcW w:w="4049" w:type="dxa"/>
            <w:tcBorders/>
            <w:shd w:fill="CCEEFF" w:val="clear"/>
            <w:vAlign w:val="bottom"/>
          </w:tcPr>
          <w:p>
            <w:pPr>
              <w:pStyle w:val="TableContents"/>
              <w:spacing w:before="0" w:after="0"/>
              <w:ind w:left="450" w:right="0" w:hanging="225"/>
              <w:rPr/>
            </w:pPr>
            <w:r>
              <w:rPr/>
              <w:t>Equity in earnings in unconsolidated entities</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3.8</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1.1</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6.5</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0.9</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450" w:right="0" w:hanging="225"/>
              <w:rPr/>
            </w:pPr>
            <w:r>
              <w:rPr/>
              <w:t>Segment profit</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28.9</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8.1</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4" w:type="dxa"/>
            <w:tcBorders/>
            <w:shd w:fill="auto" w:val="clear"/>
            <w:vAlign w:val="bottom"/>
          </w:tcPr>
          <w:p>
            <w:pPr>
              <w:pStyle w:val="TableContents"/>
              <w:spacing w:before="0" w:after="283"/>
              <w:jc w:val="right"/>
              <w:rPr/>
            </w:pPr>
            <w:r>
              <w:rPr/>
              <w:t>50.8</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5" w:type="dxa"/>
            <w:tcBorders/>
            <w:shd w:fill="auto" w:val="clear"/>
            <w:vAlign w:val="bottom"/>
          </w:tcPr>
          <w:p>
            <w:pPr>
              <w:pStyle w:val="TableContents"/>
              <w:spacing w:before="0" w:after="283"/>
              <w:jc w:val="right"/>
              <w:rPr/>
            </w:pPr>
            <w:r>
              <w:rPr/>
              <w:t>10.6</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450" w:right="0" w:hanging="225"/>
              <w:rPr/>
            </w:pPr>
            <w:r>
              <w:rPr/>
              <w:t>Maintenance capital</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2.4</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0.7</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794" w:type="dxa"/>
            <w:tcBorders/>
            <w:shd w:fill="CCEEFF" w:val="clear"/>
            <w:vAlign w:val="bottom"/>
          </w:tcPr>
          <w:p>
            <w:pPr>
              <w:pStyle w:val="TableContents"/>
              <w:spacing w:before="0" w:after="283"/>
              <w:jc w:val="right"/>
              <w:rPr/>
            </w:pPr>
            <w:r>
              <w:rPr/>
              <w:t>6.2</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1.5</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450" w:right="0" w:hanging="225"/>
              <w:rPr/>
            </w:pPr>
            <w:r>
              <w:rPr/>
              <w:t>Segment profit per barrel</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0.25</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0.13</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4" w:type="dxa"/>
            <w:tcBorders/>
            <w:shd w:fill="auto" w:val="clear"/>
            <w:vAlign w:val="bottom"/>
          </w:tcPr>
          <w:p>
            <w:pPr>
              <w:pStyle w:val="TableContents"/>
              <w:spacing w:before="0" w:after="283"/>
              <w:jc w:val="right"/>
              <w:rPr/>
            </w:pPr>
            <w:r>
              <w:rPr/>
              <w:t>0.22</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795" w:type="dxa"/>
            <w:tcBorders/>
            <w:shd w:fill="auto" w:val="clear"/>
            <w:vAlign w:val="bottom"/>
          </w:tcPr>
          <w:p>
            <w:pPr>
              <w:pStyle w:val="TableContents"/>
              <w:spacing w:before="0" w:after="283"/>
              <w:jc w:val="right"/>
              <w:rPr/>
            </w:pPr>
            <w:r>
              <w:rPr/>
              <w:t>0.08</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225" w:right="0" w:hanging="225"/>
              <w:rPr>
                <w:b/>
              </w:rPr>
            </w:pPr>
            <w:r>
              <w:rPr>
                <w:b/>
              </w:rPr>
              <w:t>Volumes(4)</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0"/>
              <w:ind w:left="450" w:right="0" w:hanging="225"/>
              <w:rPr/>
            </w:pPr>
            <w:r>
              <w:rPr/>
              <w:t>Crude oil, refined products and LPG storage (average monthly capacity in millions of barrels)</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36.0</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19.0</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35.6</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18.7</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450" w:right="0" w:hanging="225"/>
              <w:rPr/>
            </w:pPr>
            <w:r>
              <w:rPr/>
              <w:t>Natural gas storage, net to our 50% interest (average monthly capacity in billions of cubic feet)</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12.9</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12.9</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12.9</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12.2</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bottom"/>
          </w:tcPr>
          <w:p>
            <w:pPr>
              <w:pStyle w:val="TableContents"/>
              <w:spacing w:before="0" w:after="0"/>
              <w:ind w:left="450" w:right="0" w:hanging="225"/>
              <w:rPr/>
            </w:pPr>
            <w:r>
              <w:rPr/>
              <w:t>LPG and crude processing (thousands of barrels per day)</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20.0</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18.0</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16.9</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9.1</w:t>
            </w:r>
          </w:p>
        </w:tc>
        <w:tc>
          <w:tcPr>
            <w:tcW w:w="139" w:type="dxa"/>
            <w:tcBorders/>
            <w:shd w:fill="auto"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049" w:type="dxa"/>
            <w:tcBorders/>
            <w:shd w:fill="auto" w:val="clear"/>
            <w:vAlign w:val="bottom"/>
          </w:tcPr>
          <w:p>
            <w:pPr>
              <w:pStyle w:val="TableContents"/>
              <w:spacing w:before="0" w:after="0"/>
              <w:ind w:left="225" w:right="0" w:hanging="225"/>
              <w:rPr/>
            </w:pPr>
            <w:r>
              <w:rPr/>
              <w:t> </w:t>
            </w:r>
          </w:p>
        </w:tc>
        <w:tc>
          <w:tcPr>
            <w:tcW w:w="34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049" w:type="dxa"/>
            <w:tcBorders/>
            <w:shd w:fill="CCEEFF" w:val="clear"/>
            <w:vAlign w:val="bottom"/>
          </w:tcPr>
          <w:p>
            <w:pPr>
              <w:pStyle w:val="TableContents"/>
              <w:spacing w:before="0" w:after="0"/>
              <w:ind w:left="450" w:right="0" w:hanging="225"/>
              <w:rPr>
                <w:b/>
              </w:rPr>
            </w:pPr>
            <w:r>
              <w:rPr>
                <w:b/>
              </w:rPr>
              <w:t>Facilities activities total (average monthly capacity in millions of barrels) (5)</w:t>
            </w:r>
          </w:p>
        </w:tc>
        <w:tc>
          <w:tcPr>
            <w:tcW w:w="34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38.8</w:t>
            </w:r>
          </w:p>
        </w:tc>
        <w:tc>
          <w:tcPr>
            <w:tcW w:w="17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21.7</w:t>
            </w:r>
          </w:p>
        </w:tc>
        <w:tc>
          <w:tcPr>
            <w:tcW w:w="13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38.3</w:t>
            </w:r>
          </w:p>
        </w:tc>
        <w:tc>
          <w:tcPr>
            <w:tcW w:w="15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21.0</w:t>
            </w:r>
          </w:p>
        </w:tc>
        <w:tc>
          <w:tcPr>
            <w:tcW w:w="139" w:type="dxa"/>
            <w:tcBorders/>
            <w:shd w:fill="CCEEFF" w:val="clear"/>
            <w:vAlign w:val="bottom"/>
          </w:tcPr>
          <w:p>
            <w:pPr>
              <w:pStyle w:val="TableContents"/>
              <w:spacing w:before="0" w:after="283"/>
              <w:rPr/>
            </w:pPr>
            <w:r>
              <w:rPr/>
              <w:t> </w:t>
            </w:r>
          </w:p>
        </w:tc>
      </w:tr>
      <w:tr>
        <w:trPr/>
        <w:tc>
          <w:tcPr>
            <w:tcW w:w="4049" w:type="dxa"/>
            <w:tcBorders/>
            <w:shd w:fill="auto" w:val="clear"/>
            <w:vAlign w:val="center"/>
          </w:tcPr>
          <w:p>
            <w:pPr>
              <w:pStyle w:val="TableContents"/>
              <w:spacing w:before="0" w:after="0"/>
              <w:ind w:left="450" w:right="0" w:hanging="225"/>
              <w:rPr/>
            </w:pPr>
            <w:r>
              <w:rPr/>
              <w:t> </w:t>
            </w:r>
          </w:p>
        </w:tc>
        <w:tc>
          <w:tcPr>
            <w:tcW w:w="347"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LTIP.</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months we actually owned the assets divided by the number of months in the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(5)</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Calculated as the sum of: (i) crude oil, refined products and LPG storage capacity; (ii) natural gas storage capacity divided by 6 to account for the ratio of 6:1 mcf of gas to one barrel of crude oil; and (iii) LPG and crude processing volumes multiplied by the number of days in the month and divided by 1,000 to convert to monthly volumes in millions.</w:t>
            </w:r>
          </w:p>
        </w:tc>
      </w:tr>
    </w:tbl>
    <w:p>
      <w:pPr>
        <w:pStyle w:val="TextBody"/>
        <w:spacing w:before="120" w:after="283"/>
        <w:jc w:val="left"/>
        <w:rPr/>
      </w:pPr>
      <w:r>
        <w:rPr/>
        <w:t>     </w:t>
      </w:r>
      <w:r>
        <w:rPr>
          <w:rFonts w:ascii="Times New Roman;Times;serif" w:hAnsi="Times New Roman;Times;serif"/>
          <w:sz w:val="17"/>
        </w:rPr>
        <w:t xml:space="preserve">Segment profit, our primary measure of segment performance, was impacted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volumes and related revenues  In the second quarter of 2007, average monthly volumes increased by approximately 17.1 million barrels or 79%, and revenues increased by approximately $33 million or 153%, in each case as compared to the corresponding period of 2006. In the first six months of 2007, average daily volumes increased by approximately 17.3 million barrels or 82%, and revenues increased by approximately $66 million or 198%, in each case as compared to the corresponding period of 2006. The increase in volumes and revenues is attributable to a combination of the following factors:</w:t>
            </w:r>
          </w:p>
        </w:tc>
      </w:tr>
    </w:tbl>
    <w:tbl>
      <w:tblPr>
        <w:tblW w:w="5000" w:type="pct"/>
        <w:jc w:val="left"/>
        <w:tblInd w:w="0" w:type="dxa"/>
        <w:tblCellMar>
          <w:top w:w="0" w:type="dxa"/>
          <w:left w:w="0" w:type="dxa"/>
          <w:bottom w:w="0" w:type="dxa"/>
          <w:right w:w="0" w:type="dxa"/>
        </w:tblCellMar>
      </w:tblPr>
      <w:tblGrid>
        <w:gridCol w:w="816"/>
        <w:gridCol w:w="306"/>
        <w:gridCol w:w="101"/>
        <w:gridCol w:w="8982"/>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Increased storage and terminalling revenues from crude facilities  The increase in volumes and related revenues during the second quarter and first six months of 2007 primarily relates to (i) the acquisition of Pacific in the fourth quarter of 2006 and other acquisitions completed during 2006, and (ii) additional capacity resulting from the second quarter completion of Phase I of the St. James construction project, which brought the capacity at St. James to 3.5 million barrels;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305"/>
        <w:gridCol w:w="101"/>
        <w:gridCol w:w="8984"/>
      </w:tblGrid>
      <w:tr>
        <w:trPr/>
        <w:tc>
          <w:tcPr>
            <w:tcW w:w="81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1" w:type="dxa"/>
            <w:tcBorders/>
            <w:shd w:fill="auto" w:val="clear"/>
          </w:tcPr>
          <w:p>
            <w:pPr>
              <w:pStyle w:val="TableContents"/>
              <w:spacing w:before="0" w:after="283"/>
              <w:rPr>
                <w:sz w:val="4"/>
                <w:szCs w:val="4"/>
              </w:rPr>
            </w:pPr>
            <w:r>
              <w:rPr>
                <w:sz w:val="4"/>
                <w:szCs w:val="4"/>
              </w:rPr>
            </w:r>
          </w:p>
        </w:tc>
        <w:tc>
          <w:tcPr>
            <w:tcW w:w="8984" w:type="dxa"/>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Revenues from refined product storage and terminalling  We had no revenue from refined products storage and terminalling until the acquisition of Pacific, which contributed additional revenues of approximately $10 million and $20 million in the second quarter and first six months of 2007, respectively; and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Increased revenues from LPG processing  The acquisition of the Shafter processing facility during the second quarter of 2006 resulted in additional processing revenues for the second quarter and first six months of 2007.</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field operating costs  Our continued growth, primarily from the acquisitions completed during 2006 and the additional tankage added in 2007 and 2006, is the principal cause of the increase in field operating costs in the second quarter and first six months of 2007. The significant components of the increased costs are detailed below:</w:t>
            </w:r>
          </w:p>
        </w:tc>
      </w:tr>
    </w:tbl>
    <w:tbl>
      <w:tblPr>
        <w:tblW w:w="5000" w:type="pct"/>
        <w:jc w:val="left"/>
        <w:tblInd w:w="0" w:type="dxa"/>
        <w:tblCellMar>
          <w:top w:w="0" w:type="dxa"/>
          <w:left w:w="0" w:type="dxa"/>
          <w:bottom w:w="0" w:type="dxa"/>
          <w:right w:w="0" w:type="dxa"/>
        </w:tblCellMar>
      </w:tblPr>
      <w:tblGrid>
        <w:gridCol w:w="816"/>
        <w:gridCol w:w="306"/>
        <w:gridCol w:w="101"/>
        <w:gridCol w:w="8982"/>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Increases of $1.6 million and $5.9 million for the three and six months ended June 30, 2007, respectively, related to the operating costs associated with the Shafter processing facility, which we acquired in the Andrews acquisition in the second quarter of 2006;</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Increases of $8.4 million and $15.5 million for the three and six months ended June 30, 2007, respectively, related to the operating costs associated with the Pacific acquisition; and</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Increases of $0.7 million and $0.9 million for the three and six months ended June 30, 2007, respectively, related to the operating costs associated with Phase I of the St. James facility, which became operational during 2007.</w:t>
            </w:r>
          </w:p>
        </w:tc>
      </w:tr>
    </w:tbl>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sz w:val="4"/>
                <w:szCs w:val="4"/>
              </w:rPr>
            </w:pPr>
            <w:r>
              <w:rPr>
                <w:sz w:val="4"/>
                <w:szCs w:val="4"/>
              </w:rPr>
            </w:r>
          </w:p>
        </w:tc>
        <w:tc>
          <w:tcPr>
            <w:tcW w:w="100" w:type="dxa"/>
            <w:tcBorders/>
            <w:shd w:fill="auto" w:val="clear"/>
          </w:tcPr>
          <w:p>
            <w:pPr>
              <w:pStyle w:val="TableContents"/>
              <w:spacing w:before="0" w:after="283"/>
              <w:rPr>
                <w:sz w:val="4"/>
                <w:szCs w:val="4"/>
              </w:rPr>
            </w:pPr>
            <w:r>
              <w:rPr>
                <w:sz w:val="4"/>
                <w:szCs w:val="4"/>
              </w:rPr>
            </w:r>
          </w:p>
        </w:tc>
        <w:tc>
          <w:tcPr>
            <w:tcW w:w="9597" w:type="dxa"/>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segment G&amp;A expenses  Segment G&amp;A expenses excluding LTIP charges increased in the second quarter and first six months of 2007 compared to the same periods in 2006, primarily as a result of the acquisitions and internal growth projects discussed above;</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LTIP expenses  LTIP charges included in field operating costs and segment G&amp;A expenses increased approximately $2 million and $3 million in the second quarter and first six months of 2007, respectively, over the second quarter and first six months of 2006, primarily as a result of additional LTIP grants and an increase in our closing unit price to $63.65 at June 30, 2007 from $51.20 at December 31, 2006. The second quarter and first six months of 2007 include an increased expense associated with the increase in the price of our units compared to the corresponding periods of 2006. See Note 8 to our Condensed Consolidated Financial Statements.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equity earnings in unconsolidated entities  Our investment in PAA/Vulcan contributed approximately $4 million and $7 million in additional earnings for the second quarter and first six months of 2007, respectively, compared to the corresponding periods of 2006, reflecting increased value for leased storage.</w:t>
            </w:r>
          </w:p>
        </w:tc>
      </w:tr>
    </w:tbl>
    <w:p>
      <w:pPr>
        <w:pStyle w:val="TextBody"/>
        <w:spacing w:before="120" w:after="283"/>
        <w:jc w:val="left"/>
        <w:rPr/>
      </w:pPr>
      <w:r>
        <w:rPr/>
        <w:t>     </w:t>
      </w:r>
      <w:r>
        <w:rPr>
          <w:rFonts w:ascii="Times New Roman;Times;serif" w:hAnsi="Times New Roman;Times;serif"/>
          <w:b/>
          <w:i/>
          <w:sz w:val="17"/>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marketing segment for the comparable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936"/>
        <w:gridCol w:w="336"/>
        <w:gridCol w:w="161"/>
        <w:gridCol w:w="898"/>
        <w:gridCol w:w="128"/>
        <w:gridCol w:w="339"/>
        <w:gridCol w:w="161"/>
        <w:gridCol w:w="900"/>
        <w:gridCol w:w="124"/>
        <w:gridCol w:w="335"/>
        <w:gridCol w:w="155"/>
        <w:gridCol w:w="859"/>
        <w:gridCol w:w="124"/>
        <w:gridCol w:w="336"/>
        <w:gridCol w:w="155"/>
        <w:gridCol w:w="942"/>
        <w:gridCol w:w="124"/>
        <w:gridCol w:w="60"/>
        <w:gridCol w:w="60"/>
        <w:gridCol w:w="72"/>
      </w:tblGrid>
      <w:tr>
        <w:trPr/>
        <w:tc>
          <w:tcPr>
            <w:tcW w:w="39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2" w:type="dxa"/>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587" w:type="dxa"/>
            <w:gridSpan w:val="6"/>
            <w:tcBorders/>
            <w:shd w:fill="auto" w:val="clear"/>
            <w:vAlign w:val="bottom"/>
          </w:tcPr>
          <w:p>
            <w:pPr>
              <w:pStyle w:val="TableContents"/>
              <w:spacing w:before="0" w:after="283"/>
              <w:jc w:val="center"/>
              <w:rPr>
                <w:b/>
              </w:rPr>
            </w:pPr>
            <w:r>
              <w:rPr>
                <w:b/>
              </w:rPr>
              <w:t>Three Months Ended</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571" w:type="dxa"/>
            <w:gridSpan w:val="6"/>
            <w:tcBorders/>
            <w:shd w:fill="auto" w:val="clear"/>
            <w:vAlign w:val="bottom"/>
          </w:tcPr>
          <w:p>
            <w:pPr>
              <w:pStyle w:val="TableContents"/>
              <w:spacing w:before="0" w:after="283"/>
              <w:jc w:val="center"/>
              <w:rPr>
                <w:b/>
              </w:rPr>
            </w:pPr>
            <w:r>
              <w:rPr>
                <w:b/>
              </w:rPr>
              <w:t>Six Months Ended</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72" w:type="dxa"/>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58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57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June 30,</w:t>
            </w:r>
          </w:p>
        </w:tc>
        <w:tc>
          <w:tcPr>
            <w:tcW w:w="1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72" w:type="dxa"/>
            <w:tcBorders/>
            <w:shd w:fill="auto" w:val="clear"/>
            <w:vAlign w:val="bottom"/>
          </w:tcPr>
          <w:p>
            <w:pPr>
              <w:pStyle w:val="TableContents"/>
              <w:spacing w:before="0" w:after="283"/>
              <w:rPr/>
            </w:pPr>
            <w:r>
              <w:rPr/>
              <w:t> </w:t>
            </w:r>
          </w:p>
        </w:tc>
      </w:tr>
      <w:tr>
        <w:trPr/>
        <w:tc>
          <w:tcPr>
            <w:tcW w:w="39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225" w:right="0" w:hanging="225"/>
              <w:rPr/>
            </w:pPr>
            <w:r>
              <w:rPr>
                <w:b/>
              </w:rPr>
              <w:t>Operating Results</w:t>
            </w:r>
            <w:r>
              <w:rPr/>
              <w:t>(1) (in millions, except per barrel amounts)</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450" w:right="0" w:hanging="225"/>
              <w:rPr/>
            </w:pPr>
            <w:r>
              <w:rPr/>
              <w:t xml:space="preserve">Revenues (2) (3) </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3,787.5</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4,797.4</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7,897.1</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13,357.7</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450" w:right="0" w:hanging="225"/>
              <w:rPr/>
            </w:pPr>
            <w:r>
              <w:rPr/>
              <w:t>Purchases and related costs (4) (5)</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(3,627.2</w:t>
            </w:r>
          </w:p>
        </w:tc>
        <w:tc>
          <w:tcPr>
            <w:tcW w:w="128"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(4,696.4</w:t>
            </w:r>
          </w:p>
        </w:tc>
        <w:tc>
          <w:tcPr>
            <w:tcW w:w="124" w:type="dxa"/>
            <w:tcBorders/>
            <w:shd w:fill="CCEEFF" w:val="clear"/>
            <w:vAlign w:val="bottom"/>
          </w:tcPr>
          <w:p>
            <w:pPr>
              <w:pStyle w:val="TableContents"/>
              <w:spacing w:before="0" w:after="283"/>
              <w:rPr/>
            </w:pPr>
            <w:r>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pPr>
            <w:r>
              <w:rPr/>
              <w:t>(7,612.7</w:t>
            </w:r>
          </w:p>
        </w:tc>
        <w:tc>
          <w:tcPr>
            <w:tcW w:w="124"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(13,157.7</w:t>
            </w:r>
          </w:p>
        </w:tc>
        <w:tc>
          <w:tcPr>
            <w:tcW w:w="124" w:type="dxa"/>
            <w:tcBorders/>
            <w:shd w:fill="CCEEFF" w:val="clear"/>
            <w:vAlign w:val="bottom"/>
          </w:tcPr>
          <w:p>
            <w:pPr>
              <w:pStyle w:val="TableContents"/>
              <w:spacing w:before="0" w:after="283"/>
              <w:rPr/>
            </w:pPr>
            <w:r>
              <w:rPr/>
              <w:t>)</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450" w:right="0" w:hanging="225"/>
              <w:rPr/>
            </w:pPr>
            <w:r>
              <w:rPr/>
              <w:t>Field operating costs (excluding LTIP charge)</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(38.4</w:t>
            </w:r>
          </w:p>
        </w:tc>
        <w:tc>
          <w:tcPr>
            <w:tcW w:w="128" w:type="dxa"/>
            <w:tcBorders/>
            <w:shd w:fill="auto" w:val="clear"/>
            <w:vAlign w:val="bottom"/>
          </w:tcPr>
          <w:p>
            <w:pPr>
              <w:pStyle w:val="TableContents"/>
              <w:spacing w:before="0" w:after="283"/>
              <w:rPr/>
            </w:pPr>
            <w:r>
              <w:rPr/>
              <w:t>)</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(33.1</w:t>
            </w:r>
          </w:p>
        </w:tc>
        <w:tc>
          <w:tcPr>
            <w:tcW w:w="124" w:type="dxa"/>
            <w:tcBorders/>
            <w:shd w:fill="auto" w:val="clear"/>
            <w:vAlign w:val="bottom"/>
          </w:tcPr>
          <w:p>
            <w:pPr>
              <w:pStyle w:val="TableContents"/>
              <w:spacing w:before="0" w:after="283"/>
              <w:rPr/>
            </w:pPr>
            <w:r>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(76.6</w:t>
            </w:r>
          </w:p>
        </w:tc>
        <w:tc>
          <w:tcPr>
            <w:tcW w:w="124"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right"/>
              <w:rPr/>
            </w:pPr>
            <w:r>
              <w:rPr/>
              <w:t>(64.7</w:t>
            </w:r>
          </w:p>
        </w:tc>
        <w:tc>
          <w:tcPr>
            <w:tcW w:w="124" w:type="dxa"/>
            <w:tcBorders/>
            <w:shd w:fill="auto" w:val="clear"/>
            <w:vAlign w:val="bottom"/>
          </w:tcPr>
          <w:p>
            <w:pPr>
              <w:pStyle w:val="TableContents"/>
              <w:spacing w:before="0" w:after="283"/>
              <w:rPr/>
            </w:pPr>
            <w:r>
              <w:rPr/>
              <w:t>)</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450" w:right="0" w:hanging="225"/>
              <w:rPr/>
            </w:pPr>
            <w:r>
              <w:rPr/>
              <w:t>LTIP charge  operations (6)</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(0.2</w:t>
            </w:r>
          </w:p>
        </w:tc>
        <w:tc>
          <w:tcPr>
            <w:tcW w:w="128"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pPr>
            <w:r>
              <w:rPr/>
              <w:t>(0.3</w:t>
            </w:r>
          </w:p>
        </w:tc>
        <w:tc>
          <w:tcPr>
            <w:tcW w:w="124"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(0.1</w:t>
            </w:r>
          </w:p>
        </w:tc>
        <w:tc>
          <w:tcPr>
            <w:tcW w:w="124" w:type="dxa"/>
            <w:tcBorders/>
            <w:shd w:fill="CCEEFF" w:val="clear"/>
            <w:vAlign w:val="bottom"/>
          </w:tcPr>
          <w:p>
            <w:pPr>
              <w:pStyle w:val="TableContents"/>
              <w:spacing w:before="0" w:after="283"/>
              <w:rPr/>
            </w:pPr>
            <w:r>
              <w:rPr/>
              <w:t>)</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450" w:right="0" w:hanging="225"/>
              <w:rPr/>
            </w:pPr>
            <w:r>
              <w:rPr/>
              <w:t>Segment G&amp;A expenses (excluding LTIP charge) (7)</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(12.9</w:t>
            </w:r>
          </w:p>
        </w:tc>
        <w:tc>
          <w:tcPr>
            <w:tcW w:w="128" w:type="dxa"/>
            <w:tcBorders/>
            <w:shd w:fill="auto" w:val="clear"/>
            <w:vAlign w:val="bottom"/>
          </w:tcPr>
          <w:p>
            <w:pPr>
              <w:pStyle w:val="TableContents"/>
              <w:spacing w:before="0" w:after="283"/>
              <w:rPr/>
            </w:pPr>
            <w:r>
              <w:rPr/>
              <w:t>)</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(7.8</w:t>
            </w:r>
          </w:p>
        </w:tc>
        <w:tc>
          <w:tcPr>
            <w:tcW w:w="124" w:type="dxa"/>
            <w:tcBorders/>
            <w:shd w:fill="auto" w:val="clear"/>
            <w:vAlign w:val="bottom"/>
          </w:tcPr>
          <w:p>
            <w:pPr>
              <w:pStyle w:val="TableContents"/>
              <w:spacing w:before="0" w:after="283"/>
              <w:rPr/>
            </w:pPr>
            <w:r>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(25.8</w:t>
            </w:r>
          </w:p>
        </w:tc>
        <w:tc>
          <w:tcPr>
            <w:tcW w:w="124" w:type="dxa"/>
            <w:tcBorders/>
            <w:shd w:fill="auto" w:val="clear"/>
            <w:vAlign w:val="bottom"/>
          </w:tcPr>
          <w:p>
            <w:pPr>
              <w:pStyle w:val="TableContents"/>
              <w:spacing w:before="0" w:after="283"/>
              <w:rPr/>
            </w:pPr>
            <w:r>
              <w:rPr/>
              <w:t>)</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42" w:type="dxa"/>
            <w:tcBorders/>
            <w:shd w:fill="auto" w:val="clear"/>
            <w:vAlign w:val="bottom"/>
          </w:tcPr>
          <w:p>
            <w:pPr>
              <w:pStyle w:val="TableContents"/>
              <w:spacing w:before="0" w:after="283"/>
              <w:jc w:val="right"/>
              <w:rPr/>
            </w:pPr>
            <w:r>
              <w:rPr/>
              <w:t>(17.8</w:t>
            </w:r>
          </w:p>
        </w:tc>
        <w:tc>
          <w:tcPr>
            <w:tcW w:w="124" w:type="dxa"/>
            <w:tcBorders/>
            <w:shd w:fill="auto" w:val="clear"/>
            <w:vAlign w:val="bottom"/>
          </w:tcPr>
          <w:p>
            <w:pPr>
              <w:pStyle w:val="TableContents"/>
              <w:spacing w:before="0" w:after="283"/>
              <w:rPr/>
            </w:pPr>
            <w:r>
              <w:rPr/>
              <w:t>)</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450" w:right="0" w:hanging="225"/>
              <w:rPr/>
            </w:pPr>
            <w:r>
              <w:rPr/>
              <w:t>LTIP charge  general and administrative (6)</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(7.6</w:t>
            </w:r>
          </w:p>
        </w:tc>
        <w:tc>
          <w:tcPr>
            <w:tcW w:w="128" w:type="dxa"/>
            <w:tcBorders/>
            <w:shd w:fill="CCEEFF" w:val="clear"/>
            <w:vAlign w:val="bottom"/>
          </w:tcPr>
          <w:p>
            <w:pPr>
              <w:pStyle w:val="TableContents"/>
              <w:spacing w:before="0" w:after="283"/>
              <w:rPr/>
            </w:pPr>
            <w:r>
              <w:rPr/>
              <w:t>)</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(2.1</w:t>
            </w:r>
          </w:p>
        </w:tc>
        <w:tc>
          <w:tcPr>
            <w:tcW w:w="124" w:type="dxa"/>
            <w:tcBorders/>
            <w:shd w:fill="CCEEFF" w:val="clear"/>
            <w:vAlign w:val="bottom"/>
          </w:tcPr>
          <w:p>
            <w:pPr>
              <w:pStyle w:val="TableContents"/>
              <w:spacing w:before="0" w:after="283"/>
              <w:rPr/>
            </w:pPr>
            <w:r>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pPr>
            <w:r>
              <w:rPr/>
              <w:t>(14.5</w:t>
            </w:r>
          </w:p>
        </w:tc>
        <w:tc>
          <w:tcPr>
            <w:tcW w:w="124"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42" w:type="dxa"/>
            <w:tcBorders/>
            <w:shd w:fill="CCEEFF" w:val="clear"/>
            <w:vAlign w:val="bottom"/>
          </w:tcPr>
          <w:p>
            <w:pPr>
              <w:pStyle w:val="TableContents"/>
              <w:spacing w:before="0" w:after="283"/>
              <w:jc w:val="right"/>
              <w:rPr/>
            </w:pPr>
            <w:r>
              <w:rPr/>
              <w:t>(6.3</w:t>
            </w:r>
          </w:p>
        </w:tc>
        <w:tc>
          <w:tcPr>
            <w:tcW w:w="124" w:type="dxa"/>
            <w:tcBorders/>
            <w:shd w:fill="CCEEFF" w:val="clear"/>
            <w:vAlign w:val="bottom"/>
          </w:tcPr>
          <w:p>
            <w:pPr>
              <w:pStyle w:val="TableContents"/>
              <w:spacing w:before="0" w:after="283"/>
              <w:rPr/>
            </w:pPr>
            <w:r>
              <w:rPr/>
              <w:t>)</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450" w:right="0" w:hanging="225"/>
              <w:rPr/>
            </w:pPr>
            <w:r>
              <w:rPr/>
              <w:t xml:space="preserve">Segment profit (3) </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101.2</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58.0</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167.2</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111.1</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450" w:right="0" w:hanging="225"/>
              <w:rPr/>
            </w:pPr>
            <w:r>
              <w:rPr/>
              <w:t>SFAS 133 mark-to-market adjustment (3)</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15.2</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(2.4</w:t>
            </w:r>
          </w:p>
        </w:tc>
        <w:tc>
          <w:tcPr>
            <w:tcW w:w="124" w:type="dxa"/>
            <w:tcBorders/>
            <w:shd w:fill="CCEEFF" w:val="clear"/>
            <w:vAlign w:val="bottom"/>
          </w:tcPr>
          <w:p>
            <w:pPr>
              <w:pStyle w:val="TableContents"/>
              <w:spacing w:before="0" w:after="283"/>
              <w:rPr/>
            </w:pPr>
            <w:r>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59" w:type="dxa"/>
            <w:tcBorders/>
            <w:shd w:fill="CCEEFF" w:val="clear"/>
            <w:vAlign w:val="bottom"/>
          </w:tcPr>
          <w:p>
            <w:pPr>
              <w:pStyle w:val="TableContents"/>
              <w:spacing w:before="0" w:after="283"/>
              <w:jc w:val="right"/>
              <w:rPr/>
            </w:pPr>
            <w:r>
              <w:rPr/>
              <w:t>(1.8</w:t>
            </w:r>
          </w:p>
        </w:tc>
        <w:tc>
          <w:tcPr>
            <w:tcW w:w="124" w:type="dxa"/>
            <w:tcBorders/>
            <w:shd w:fill="CCEEFF" w:val="clear"/>
            <w:vAlign w:val="bottom"/>
          </w:tcPr>
          <w:p>
            <w:pPr>
              <w:pStyle w:val="TableContents"/>
              <w:spacing w:before="0" w:after="283"/>
              <w:rPr/>
            </w:pPr>
            <w:r>
              <w:rPr/>
              <w:t>)</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(3.1</w:t>
            </w:r>
          </w:p>
        </w:tc>
        <w:tc>
          <w:tcPr>
            <w:tcW w:w="124" w:type="dxa"/>
            <w:tcBorders/>
            <w:shd w:fill="CCEEFF" w:val="clear"/>
            <w:vAlign w:val="bottom"/>
          </w:tcPr>
          <w:p>
            <w:pPr>
              <w:pStyle w:val="TableContents"/>
              <w:spacing w:before="0" w:after="283"/>
              <w:rPr/>
            </w:pPr>
            <w:r>
              <w:rPr/>
              <w:t>)</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450" w:right="0" w:hanging="225"/>
              <w:rPr/>
            </w:pPr>
            <w:r>
              <w:rPr/>
              <w:t>Maintenance capital</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(0.7</w:t>
            </w:r>
          </w:p>
        </w:tc>
        <w:tc>
          <w:tcPr>
            <w:tcW w:w="128" w:type="dxa"/>
            <w:tcBorders/>
            <w:shd w:fill="auto" w:val="clear"/>
            <w:vAlign w:val="bottom"/>
          </w:tcPr>
          <w:p>
            <w:pPr>
              <w:pStyle w:val="TableContents"/>
              <w:spacing w:before="0" w:after="283"/>
              <w:rPr/>
            </w:pPr>
            <w:r>
              <w:rPr/>
              <w:t>)</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0.3</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3.1</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1.2</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450" w:right="0" w:hanging="225"/>
              <w:rPr/>
            </w:pPr>
            <w:r>
              <w:rPr/>
              <w:t xml:space="preserve">Segment profit per barrel (8) </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898" w:type="dxa"/>
            <w:tcBorders/>
            <w:shd w:fill="CCEEFF" w:val="clear"/>
            <w:vAlign w:val="bottom"/>
          </w:tcPr>
          <w:p>
            <w:pPr>
              <w:pStyle w:val="TableContents"/>
              <w:spacing w:before="0" w:after="283"/>
              <w:jc w:val="right"/>
              <w:rPr/>
            </w:pPr>
            <w:r>
              <w:rPr/>
              <w:t>1.32</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900" w:type="dxa"/>
            <w:tcBorders/>
            <w:shd w:fill="CCEEFF" w:val="clear"/>
            <w:vAlign w:val="bottom"/>
          </w:tcPr>
          <w:p>
            <w:pPr>
              <w:pStyle w:val="TableContents"/>
              <w:spacing w:before="0" w:after="283"/>
              <w:jc w:val="right"/>
              <w:rPr/>
            </w:pPr>
            <w:r>
              <w:rPr/>
              <w:t>0.89</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59" w:type="dxa"/>
            <w:tcBorders/>
            <w:shd w:fill="CCEEFF" w:val="clear"/>
            <w:vAlign w:val="bottom"/>
          </w:tcPr>
          <w:p>
            <w:pPr>
              <w:pStyle w:val="TableContents"/>
              <w:spacing w:before="0" w:after="283"/>
              <w:jc w:val="right"/>
              <w:rPr/>
            </w:pPr>
            <w:r>
              <w:rPr/>
              <w:t>1.07</w:t>
            </w:r>
          </w:p>
        </w:tc>
        <w:tc>
          <w:tcPr>
            <w:tcW w:w="124"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942" w:type="dxa"/>
            <w:tcBorders/>
            <w:shd w:fill="CCEEFF" w:val="clear"/>
            <w:vAlign w:val="bottom"/>
          </w:tcPr>
          <w:p>
            <w:pPr>
              <w:pStyle w:val="TableContents"/>
              <w:spacing w:before="0" w:after="283"/>
              <w:jc w:val="right"/>
              <w:rPr/>
            </w:pPr>
            <w:r>
              <w:rPr/>
              <w:t>0.83</w:t>
            </w:r>
          </w:p>
        </w:tc>
        <w:tc>
          <w:tcPr>
            <w:tcW w:w="124" w:type="dxa"/>
            <w:tcBorders/>
            <w:shd w:fill="CCEEFF" w:val="clear"/>
            <w:vAlign w:val="bottom"/>
          </w:tcPr>
          <w:p>
            <w:pPr>
              <w:pStyle w:val="TableContents"/>
              <w:spacing w:before="0" w:after="283"/>
              <w:rPr/>
            </w:pPr>
            <w:r>
              <w:rPr/>
              <w:t> </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225" w:right="0" w:hanging="225"/>
              <w:rPr/>
            </w:pPr>
            <w:r>
              <w:rPr/>
              <w:t> </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225" w:right="0" w:hanging="225"/>
              <w:rPr/>
            </w:pPr>
            <w:r>
              <w:rPr>
                <w:b/>
              </w:rPr>
              <w:t xml:space="preserve">Average Daily Volumes </w:t>
            </w:r>
            <w:r>
              <w:rPr/>
              <w:t>(thousands of barrels per day) (9)</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225" w:right="0" w:hanging="225"/>
              <w:rPr/>
            </w:pPr>
            <w:r>
              <w:rPr/>
              <w:t>Crude oil lease gathering</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707</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652</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694</w:t>
            </w:r>
          </w:p>
        </w:tc>
        <w:tc>
          <w:tcPr>
            <w:tcW w:w="124"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637</w:t>
            </w:r>
          </w:p>
        </w:tc>
        <w:tc>
          <w:tcPr>
            <w:tcW w:w="124" w:type="dxa"/>
            <w:tcBorders/>
            <w:shd w:fill="CCEEFF" w:val="clear"/>
            <w:vAlign w:val="bottom"/>
          </w:tcPr>
          <w:p>
            <w:pPr>
              <w:pStyle w:val="TableContents"/>
              <w:spacing w:before="0" w:after="283"/>
              <w:rPr/>
            </w:pPr>
            <w:r>
              <w:rPr/>
              <w:t> </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225" w:right="0" w:hanging="225"/>
              <w:rPr/>
            </w:pPr>
            <w:r>
              <w:rPr/>
              <w:t>Refined products</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13</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N/A</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8</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N/A</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225" w:right="0" w:hanging="225"/>
              <w:rPr/>
            </w:pPr>
            <w:r>
              <w:rPr/>
              <w:t>LPG sales</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45</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25</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89</w:t>
            </w:r>
          </w:p>
        </w:tc>
        <w:tc>
          <w:tcPr>
            <w:tcW w:w="124"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54</w:t>
            </w:r>
          </w:p>
        </w:tc>
        <w:tc>
          <w:tcPr>
            <w:tcW w:w="124" w:type="dxa"/>
            <w:tcBorders/>
            <w:shd w:fill="CCEEFF" w:val="clear"/>
            <w:vAlign w:val="bottom"/>
          </w:tcPr>
          <w:p>
            <w:pPr>
              <w:pStyle w:val="TableContents"/>
              <w:spacing w:before="0" w:after="283"/>
              <w:rPr/>
            </w:pPr>
            <w:r>
              <w:rPr/>
              <w:t> </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bottom"/>
          </w:tcPr>
          <w:p>
            <w:pPr>
              <w:pStyle w:val="TableContents"/>
              <w:spacing w:before="0" w:after="0"/>
              <w:ind w:left="225" w:right="0" w:hanging="225"/>
              <w:rPr/>
            </w:pPr>
            <w:r>
              <w:rPr/>
              <w:t>Waterborne foreign crude imported</w:t>
            </w:r>
          </w:p>
        </w:tc>
        <w:tc>
          <w:tcPr>
            <w:tcW w:w="336"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78</w:t>
            </w:r>
          </w:p>
        </w:tc>
        <w:tc>
          <w:tcPr>
            <w:tcW w:w="128"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43</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72</w:t>
            </w:r>
          </w:p>
        </w:tc>
        <w:tc>
          <w:tcPr>
            <w:tcW w:w="124"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50</w:t>
            </w:r>
          </w:p>
        </w:tc>
        <w:tc>
          <w:tcPr>
            <w:tcW w:w="124" w:type="dxa"/>
            <w:tcBorders/>
            <w:shd w:fill="auto" w:val="clear"/>
            <w:vAlign w:val="bottom"/>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r>
        <w:trPr/>
        <w:tc>
          <w:tcPr>
            <w:tcW w:w="3936" w:type="dxa"/>
            <w:tcBorders/>
            <w:shd w:fill="CCEEFF" w:val="clear"/>
            <w:vAlign w:val="bottom"/>
          </w:tcPr>
          <w:p>
            <w:pPr>
              <w:pStyle w:val="TableContents"/>
              <w:spacing w:before="0" w:after="0"/>
              <w:ind w:left="225" w:right="0" w:hanging="225"/>
              <w:rPr>
                <w:b/>
              </w:rPr>
            </w:pPr>
            <w:r>
              <w:rPr>
                <w:b/>
              </w:rPr>
              <w:t>Marketing Activities Total</w:t>
            </w:r>
          </w:p>
        </w:tc>
        <w:tc>
          <w:tcPr>
            <w:tcW w:w="336"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843</w:t>
            </w:r>
          </w:p>
        </w:tc>
        <w:tc>
          <w:tcPr>
            <w:tcW w:w="128"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720</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863</w:t>
            </w:r>
          </w:p>
        </w:tc>
        <w:tc>
          <w:tcPr>
            <w:tcW w:w="124"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741</w:t>
            </w:r>
          </w:p>
        </w:tc>
        <w:tc>
          <w:tcPr>
            <w:tcW w:w="124" w:type="dxa"/>
            <w:tcBorders/>
            <w:shd w:fill="CCEEFF" w:val="clear"/>
            <w:vAlign w:val="bottom"/>
          </w:tcPr>
          <w:p>
            <w:pPr>
              <w:pStyle w:val="TableContents"/>
              <w:spacing w:before="0" w:after="283"/>
              <w:rPr/>
            </w:pPr>
            <w:r>
              <w:rPr/>
              <w:t> </w:t>
            </w:r>
          </w:p>
        </w:tc>
        <w:tc>
          <w:tcPr>
            <w:tcW w:w="192" w:type="dxa"/>
            <w:gridSpan w:val="3"/>
            <w:tcBorders/>
            <w:shd w:fill="CCEEFF" w:val="clear"/>
          </w:tcPr>
          <w:p>
            <w:pPr>
              <w:pStyle w:val="TableContents"/>
              <w:spacing w:before="0" w:after="283"/>
              <w:rPr>
                <w:sz w:val="4"/>
                <w:szCs w:val="4"/>
              </w:rPr>
            </w:pPr>
            <w:r>
              <w:rPr>
                <w:sz w:val="4"/>
                <w:szCs w:val="4"/>
              </w:rPr>
            </w:r>
          </w:p>
        </w:tc>
      </w:tr>
      <w:tr>
        <w:trPr/>
        <w:tc>
          <w:tcPr>
            <w:tcW w:w="3936" w:type="dxa"/>
            <w:tcBorders/>
            <w:shd w:fill="auto" w:val="clear"/>
            <w:vAlign w:val="center"/>
          </w:tcPr>
          <w:p>
            <w:pPr>
              <w:pStyle w:val="TableContents"/>
              <w:spacing w:before="0" w:after="0"/>
              <w:ind w:left="450" w:right="0" w:hanging="225"/>
              <w:rPr/>
            </w:pPr>
            <w:r>
              <w:rPr/>
              <w:t> </w:t>
            </w:r>
          </w:p>
        </w:tc>
        <w:tc>
          <w:tcPr>
            <w:tcW w:w="336"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0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192" w:type="dxa"/>
            <w:gridSpan w:val="3"/>
            <w:tcBorders/>
            <w:shd w:fill="auto" w:val="clear"/>
          </w:tcPr>
          <w:p>
            <w:pPr>
              <w:pStyle w:val="TableContents"/>
              <w:spacing w:before="0" w:after="283"/>
              <w:rPr>
                <w:sz w:val="4"/>
                <w:szCs w:val="4"/>
              </w:rPr>
            </w:pPr>
            <w:r>
              <w:rPr>
                <w:sz w:val="4"/>
                <w:szCs w:val="4"/>
              </w:rPr>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28"/>
        <w:gridCol w:w="2136"/>
        <w:gridCol w:w="1641"/>
      </w:tblGrid>
      <w:tr>
        <w:trPr/>
        <w:tc>
          <w:tcPr>
            <w:tcW w:w="6428"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(1)</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Revenues and purchases and related costs include intersegment amounts.</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(2)</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Includes revenues associated with buy/sell arrangements of $ 4,761.9 million for the six months ended June 30, 2006. Volumes associated with these arrangements were approximately 919,500 barrels per day for the six months ended June 30, 2006. The previously referenced amounts include certain estimates based on managements judgment; such estimates are not expected to have a material impact on the balances.</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(3)</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Amounts related to SFAS 133 are included in revenues and impact segment profit.</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(4)</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Includes purchases associated with buy/sell arrangements of $4,795.1 million for the six months ended June 30, 2006. Volumes associated with these arrangements were approximately 926,800 barrels per day for the six months ended June 30, 2006. The previously referenced amounts include certain estimates based on managements judgment; such estimates are not expected to have a material impact on the balances.</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(5)</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Purchases and related costs include interest expense on contango inventory purchases of $12.8 million and $13.3 million for the second quarter of 2007 and 2006, respectively, and $24.5 million and $21.9 million for the six months ended June 30, 2007 and 2006, respectively.</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(6)</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Compensation expense related to our LTIP.</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(7)</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(8)</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Calculated based on crude oil lease gathered volumes, refined products volumes, LPG sales volumes, and waterborne foreign crude volumes.</w:t>
            </w:r>
          </w:p>
        </w:tc>
      </w:tr>
      <w:tr>
        <w:trPr/>
        <w:tc>
          <w:tcPr>
            <w:tcW w:w="6428" w:type="dxa"/>
            <w:tcBorders/>
            <w:shd w:fill="auto" w:val="clear"/>
            <w:vAlign w:val="center"/>
          </w:tcPr>
          <w:p>
            <w:pPr>
              <w:pStyle w:val="TableContents"/>
              <w:spacing w:before="0" w:after="283"/>
              <w:rPr/>
            </w:pPr>
            <w:r>
              <w:rPr/>
              <w:t> </w:t>
            </w:r>
          </w:p>
        </w:tc>
        <w:tc>
          <w:tcPr>
            <w:tcW w:w="3777" w:type="dxa"/>
            <w:gridSpan w:val="2"/>
            <w:tcBorders/>
            <w:shd w:fill="auto" w:val="clear"/>
          </w:tcPr>
          <w:p>
            <w:pPr>
              <w:pStyle w:val="TableContents"/>
              <w:spacing w:before="0" w:after="283"/>
              <w:rPr>
                <w:sz w:val="4"/>
                <w:szCs w:val="4"/>
              </w:rPr>
            </w:pPr>
            <w:r>
              <w:rPr>
                <w:sz w:val="4"/>
                <w:szCs w:val="4"/>
              </w:rPr>
            </w:r>
          </w:p>
        </w:tc>
      </w:tr>
      <w:tr>
        <w:trPr/>
        <w:tc>
          <w:tcPr>
            <w:tcW w:w="6428" w:type="dxa"/>
            <w:tcBorders/>
            <w:shd w:fill="auto" w:val="clear"/>
          </w:tcPr>
          <w:p>
            <w:pPr>
              <w:pStyle w:val="TableContents"/>
              <w:spacing w:before="0" w:after="283"/>
              <w:jc w:val="left"/>
              <w:rPr/>
            </w:pPr>
            <w:r>
              <w:rPr/>
              <w:t>(9)</w:t>
            </w:r>
          </w:p>
        </w:tc>
        <w:tc>
          <w:tcPr>
            <w:tcW w:w="2136" w:type="dxa"/>
            <w:tcBorders/>
            <w:shd w:fill="auto" w:val="clear"/>
          </w:tcPr>
          <w:p>
            <w:pPr>
              <w:pStyle w:val="TableContents"/>
              <w:spacing w:before="0" w:after="283"/>
              <w:rPr/>
            </w:pPr>
            <w:r>
              <w:rPr/>
              <w:t> </w:t>
            </w:r>
          </w:p>
        </w:tc>
        <w:tc>
          <w:tcPr>
            <w:tcW w:w="164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spacing w:before="120" w:after="283"/>
        <w:jc w:val="left"/>
        <w:rPr/>
      </w:pPr>
      <w:r>
        <w:rPr/>
        <w:t>     </w:t>
      </w:r>
      <w:r>
        <w:rPr>
          <w:rFonts w:ascii="Times New Roman;Times;serif" w:hAnsi="Times New Roman;Times;serif"/>
          <w:sz w:val="17"/>
        </w:rPr>
        <w:t xml:space="preserve">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We do not anticipate that future changes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revenues will be a primary driver of segment profit. Generally, we expect our marketing segment profit to increase or decrease directionally with increases or decreases in our marketing segment volumes, as well as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counter-cyclical balance that provides stability in our margins, these margins are not fixed and will vary from period to period. We are not able to predict with any reasonable level of accuracy whether market conditions will remain as favorable as we have recently experienced, and these operating results may not be indicative of sustainable performance. See Outlook.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our primary measure of segment performance, was impacted by the following: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Revenues  Our revenues for the second quarter and first six months of 2007 decreased compared to the second quarter and first six months of 2006 partially due to a decrease in the average NYMEX price for crude oil. The NYMEX averages were $64.95 and $61.64 for the second quarter and first half of 2007, respectively, as compared to $70.64 and $67.08 for the second quarter and first half of 2006, respectively. Our revenues also decreased due to the adoption in the second quarter of 2006 of EITF Issue No. 04-13, Accounting for Purchases and Sales of Inventory with the Same Counterparty (EITF 04-13). According to EITF 04-13, inventory purchases and sales transactions with the same counterparty should be combined for accounting purposes if they were entered into in contemplation of each other. The adoption of EITF 04-13 in the second quarter of 2006 resulted in inventory purchases and sales under buy/sell transactions, which historically would have been recorded gross as purchases and sales, to be treated as inventory exchanges in our consolidated statement of operations. The treatment of buy/sell transactions under EITF 04-13 reduces both revenues and purchases on our income statement but does not impact our financial position, net income or liquidity. The impact of the net presentation for inventory purchases and sales with the same counterparty was greater for the second quarter and first six months of 2007 than for the corresponding periods of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Acquisitions  During the last nine months of 2006 and the first six months of 2007, we purchased certain crude oil gathering assets and related contracts in South Louisiana, completed the acquisitions of Pacific and Andrews Petroleum and Lone Star Trucking (Andrews), and purchased a refined products supply and marketing business.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Favorable market conditions and execution of our risk management strategies  During the second quarter and first six months of 2007 and the second quarter and first six months of 2006, the crude oil market experienced significantly high volatility in prices and market structure. The NYMEX benchmark price of crude oil ranged from $60.68 to $71.06 during the second quarter of 2007 and from $49.90 to $71.06 for the first six months of 2007. The volatile market allowed us to utilize risk management strategies to optimize and enhance the margins of our gathering and marketing activities. The volatile market also led to favorable basis differentials for various delivery points and grades of crude oil. The market was in contango for the second quarter and first six months of 2007 and the monthly time-spread of prices averaged approximately $1.28 and $1.24, respectively, versus $1.08 and $1.11 for the second quarter and first six months of 2006, respectively. This increase in spreads was partially offset by an increase in the cost per barrel to carry the inventory that was impacted by the increase in LIBOR rates. Marketing segment profit is net of contango and other hedged inventory-related interest expense (which is incurred to store the crude oil) of approximately $12.8 million and $24.5 million for the second quarter and first six months of 2007, respectively (compared to $13.3 million and $21.9 million in the second quarter and first six months of 2006, respectively). This cost is included in Purchases and related costs in the table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SFAS 133 mark-to-market  The second quarter and first six months of 2007 includes SFAS 133 mark-to-market gains of $15.2 million and losses of $2.1 million, respectively, compared to losses of $2.4 million and $3.1 million for the second quarter and first six months of 2006, respectively. See Note 9 to our Condensed Consolidated Financial Statements.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Field operating costs and segment G&amp;A expenses  Field operating costs (excluding LTIP charges) increased in the second quarter and first six months of 2007 compared to the second quarter and first six months of 2006, primarily as a result of increases in payroll and benefits and contract transportation as a result of 2006 acquisitions and changes in driver incentive programs. The increase in general and administrative expenses (excluding LTIP charges) is primarily the result of additional overhead allocation as well as acquisitions and internal growth, as discussed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Increased LTIP expenses  LTIP charges included in field operating costs and segment G&amp;A expenses increased approximately $6 million and $8 million in the second quarter and first six months of 2007, respectively, over the second quarter and first six months of 2006, primarily as a result of additional LTIP grants and an increase in our closing unit price to $63.65 at June 30, 2007 from $51.20 at December 31, 2006. The second quarter and first six months of 2007 include an increased expense associated with the increase in the price of our units compared to the corresponding periods of 2006. See Note 8 to our Condensed Consolidated Financial Statements.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Other Expenses</w:t>
      </w:r>
      <w:r>
        <w:rPr>
          <w:rFonts w:ascii="Times New Roman;Times;serif" w:hAnsi="Times New Roman;Times;serif"/>
          <w:sz w:val="17"/>
        </w:rPr>
        <w:t xml:space="preserve"> </w:t>
      </w:r>
    </w:p>
    <w:p>
      <w:pPr>
        <w:pStyle w:val="TextBody"/>
        <w:spacing w:before="120" w:after="283"/>
        <w:jc w:val="left"/>
        <w:rPr/>
      </w:pPr>
      <w:r>
        <w:rPr/>
        <w:t xml:space="preserve">      </w:t>
      </w:r>
      <w:r>
        <w:rPr>
          <w:rFonts w:ascii="Times New Roman;Times;serif" w:hAnsi="Times New Roman;Times;serif"/>
          <w:i/>
          <w:sz w:val="17"/>
        </w:rPr>
        <w:t>Depreciation and Amortization.</w:t>
      </w:r>
      <w:r>
        <w:rPr>
          <w:rFonts w:ascii="Times New Roman;Times;serif" w:hAnsi="Times New Roman;Times;serif"/>
          <w:sz w:val="17"/>
        </w:rPr>
        <w:t xml:space="preserve"> Depreciation and amortization expense increased $31 million and $49 million for the second quarter and first six months of 2007, respectively, compared to the comparable 2006 periods, primarily as a result of a continued expansion in our asset base from acquisitions and internal growth projects. A net loss of approximately $9 million from the disposition of assets is also included in depreciation expense for the second quarter and first six months of 2007. Amortization of debt issue costs totaled approximately $1 million and $2 million for the second quarter and first six months of 2007, respectively, and was relatively constant compared to the same periods in 2006. </w:t>
      </w:r>
    </w:p>
    <w:p>
      <w:pPr>
        <w:pStyle w:val="TextBody"/>
        <w:spacing w:before="120" w:after="283"/>
        <w:jc w:val="left"/>
        <w:rPr/>
      </w:pPr>
      <w:r>
        <w:rPr/>
        <w:t xml:space="preserve">      </w:t>
      </w:r>
      <w:r>
        <w:rPr>
          <w:rFonts w:ascii="Times New Roman;Times;serif" w:hAnsi="Times New Roman;Times;serif"/>
          <w:i/>
          <w:sz w:val="17"/>
        </w:rPr>
        <w:t>Interest Expense.</w:t>
      </w:r>
      <w:r>
        <w:rPr>
          <w:rFonts w:ascii="Times New Roman;Times;serif" w:hAnsi="Times New Roman;Times;serif"/>
          <w:sz w:val="17"/>
        </w:rPr>
        <w:t xml:space="preserve"> Interest expense increased approximately 129% and 147% in the second quarter and first six months of 2007, respectively, as compared to the second quarter and first six months of 2006, primarily due to higher average debt balances during 2007 partially offset by increased capitalized interest associated with certain capital projects under construction. The higher average debt balance in the first six months of 2007 was primarily related to the addition or assumption of $1.7 billion of senior notes in the last nine months of 2006 to finance acquisitions. Our financial growth strategy is to fund our acquisitions and expansion capital expenditures with at least 50% equity and excess cash flow over distributions, with the balance funded through long-term debt. </w:t>
      </w:r>
    </w:p>
    <w:p>
      <w:pPr>
        <w:pStyle w:val="TextBody"/>
        <w:spacing w:before="120" w:after="283"/>
        <w:jc w:val="left"/>
        <w:rPr/>
      </w:pPr>
      <w:r>
        <w:rPr/>
        <w:t>     </w:t>
      </w:r>
      <w:r>
        <w:rPr>
          <w:rFonts w:ascii="Times New Roman;Times;serif" w:hAnsi="Times New Roman;Times;serif"/>
          <w:sz w:val="17"/>
        </w:rPr>
        <w:t xml:space="preserve">Interest costs attributable to borrowings for inventory stored in a contango market are included in purchases and related costs in our marketing segment profit as we consider interest on these borrowings a direct cost to storing the inventory. These borrowings are primarily under our senior secured hedged inventory facility. </w:t>
      </w:r>
    </w:p>
    <w:p>
      <w:pPr>
        <w:pStyle w:val="TextBody"/>
        <w:spacing w:before="120" w:after="283"/>
        <w:jc w:val="left"/>
        <w:rPr/>
      </w:pPr>
      <w:r>
        <w:rPr/>
        <w:t xml:space="preserve">      </w:t>
      </w:r>
      <w:r>
        <w:rPr>
          <w:rFonts w:ascii="Times New Roman;Times;serif" w:hAnsi="Times New Roman;Times;serif"/>
          <w:i/>
          <w:sz w:val="17"/>
        </w:rPr>
        <w:t>Income Taxes.</w:t>
      </w:r>
      <w:r>
        <w:rPr>
          <w:rFonts w:ascii="Times New Roman;Times;serif" w:hAnsi="Times New Roman;Times;serif"/>
          <w:sz w:val="17"/>
        </w:rPr>
        <w:t xml:space="preserve"> As a result of recent Canadian tax legislation that may apply to a portion of our Canadian activities, we recorded a $10.8 million deferred tax provision related to the cumulative effect of this tax, which is primarily attributable to prior years. Pursuant to a safe harbor provision of the legislation, we do not expect the tax to apply to us until 2011. See Note 11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Outlook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section identifies certain matters of risk and uncertainty that may affect our financial performance and results of operations in the future.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Ongoing Acquisition Activities</w:t>
      </w:r>
    </w:p>
    <w:p>
      <w:pPr>
        <w:pStyle w:val="TextBody"/>
        <w:spacing w:before="120" w:after="283"/>
        <w:jc w:val="left"/>
        <w:rPr/>
      </w:pPr>
      <w:r>
        <w:rPr/>
        <w:t>     </w:t>
      </w:r>
      <w:r>
        <w:rPr>
          <w:rFonts w:ascii="Times New Roman;Times;serif" w:hAnsi="Times New Roman;Times;serif"/>
          <w:sz w:val="17"/>
        </w:rPr>
        <w:t xml:space="preserve">Consistent with our business strategy, we are continuously engaged in discussions regarding potential acquisitions by us of transportation, gathering, terminalling or storage assets and related midstream businesses. These acquisition efforts often involve assets that,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current operations, but with respect to which these resources effectively can be applied. For example, during the first quarter of 2007, we entered the refined products marketing business and during 2006 we entered the refined products transportation and storage business as well as the barge transportation business. Through PAA/Vulcans acquisition of ECI in 2005, the Partnership entered the natural gas storage business. We are presently engaged in discussions and negotiations with various parties regarding the acquisition of assets and businesses described above, but we can give no assurance that our current or future acquisition efforts will be successful or that any such acquisition will be completed on terms considered favorable to us.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Pipeline Integrity and Storage Tank Testing Compliance</w:t>
      </w:r>
    </w:p>
    <w:p>
      <w:pPr>
        <w:pStyle w:val="TextBody"/>
        <w:spacing w:before="120" w:after="283"/>
        <w:jc w:val="left"/>
        <w:rPr/>
      </w:pPr>
      <w:r>
        <w:rPr/>
        <w:t>     </w:t>
      </w:r>
      <w:r>
        <w:rPr>
          <w:rFonts w:ascii="Times New Roman;Times;serif" w:hAnsi="Times New Roman;Times;serif"/>
          <w:sz w:val="17"/>
        </w:rPr>
        <w:t xml:space="preserve">Although we believe our previously disclosed short-term estimates of costs under the pipeline integrity management rules and API 653 (and similar regulations in Canada) are reasonable, a high degree of uncertainty exists with respect to estimating such costs, as we continue to test existing assets and as we acquire additional assets. In our annual report on Form 10-K for the year ended December 31, 2006, we reported that the DOT will be issuing by December 31, 2007, new regulations governing hazardous liquid pipelines operated at low stress. We do not expect these new regulations to have a material impact on operating expenses.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General Market Conditions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From early 2005 through the end of June 2007, the market for crude oil generally has been volatile and in contango, meaning that the price of crude oil for future deliveries is higher than current prices. A contango market is favorable to our commercial strategies that are associated with storage tankage as it allows us to simultaneously purchase production at current prices for storage and sell at higher prices for future delivery. In July 2007, the market for crude oil transitioned rapidly to a backwardated market, meaning that the price of crude oil for future deliveries is lower than current prices. A backwardated market has a positive impact on our lease gathering margins because crude oil gatherers can capture a premium for prompt deliveries, however, in this environment, there is little incentive to store crude oil as current prices are above future delivery prices. We believe that the combination of our lease gathering activities and the commercial strategies used with our tankage provides a counter-cyclical balance that has a stabilizing effect on our operations and enables us to generate a base level of cash flow. </w:t>
      </w:r>
    </w:p>
    <w:p>
      <w:pPr>
        <w:pStyle w:val="TextBody"/>
        <w:spacing w:before="120" w:after="283"/>
        <w:jc w:val="left"/>
        <w:rPr/>
      </w:pPr>
      <w:r>
        <w:rPr/>
        <w:t>     </w:t>
      </w:r>
      <w:r>
        <w:rPr>
          <w:rFonts w:ascii="Times New Roman;Times;serif" w:hAnsi="Times New Roman;Times;serif"/>
          <w:sz w:val="17"/>
        </w:rPr>
        <w:t xml:space="preserve">The wide contango spreads experienced over the last couple of years, combined with the level of price structure volatility during that time period has enabled us to generate not only a base level of cash flow, but in certain instances to generate significant additional profitability. While we believe that the counter-cyclical balance provided by our asset base and our business model will enable us to continue to generate a solid base level of cash flow in the current backwardated environment, if the market remains in the current backwardated structure, our future results from our marketing segment may be less that those generated during the more favorable periods of pronounced contango experienced over the last 24 to 30 months. In most cases, our profitability during a backwardated market would be enhanced if there is volatility in the pricing structure.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Longer-Term Outlook</w:t>
      </w:r>
    </w:p>
    <w:p>
      <w:pPr>
        <w:pStyle w:val="TextBody"/>
        <w:spacing w:before="120" w:after="283"/>
        <w:jc w:val="left"/>
        <w:rPr/>
      </w:pPr>
      <w:r>
        <w:rPr/>
        <w:t>     </w:t>
      </w:r>
      <w:r>
        <w:rPr>
          <w:rFonts w:ascii="Times New Roman;Times;serif" w:hAnsi="Times New Roman;Times;serif"/>
          <w:sz w:val="17"/>
        </w:rPr>
        <w:t xml:space="preserve">In our annual report on Form 10-K for the year ended December 31, 2006, we identified certain trends, factors and developments, many of which are beyond our control, that may affect our business in the future. We believe the collective impact of these trends, factors and developments will result in an increasingly volatile crude oil market that is subject to more frequent short-term swings in market prices and grade differentials and shifts in market structure. In an environment of tight supply and demand balances, even relatively minor supply disruptions can cause significant price swings, which were evident during the past two and a half years.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 </w:t>
      </w:r>
    </w:p>
    <w:p>
      <w:pPr>
        <w:pStyle w:val="TextBody"/>
        <w:spacing w:before="120" w:after="283"/>
        <w:jc w:val="left"/>
        <w:rPr/>
      </w:pPr>
      <w:r>
        <w:rPr/>
        <w:t>     </w:t>
      </w:r>
      <w:r>
        <w:rPr>
          <w:rFonts w:ascii="Times New Roman;Times;serif" w:hAnsi="Times New Roman;Times;serif"/>
          <w:sz w:val="17"/>
        </w:rPr>
        <w:t xml:space="preserve">In addition to our crude oil business, we also identified certain trends that we believe will provide opportunities for PAA/Vulcans natural gas storage business and our refined products business. We intend to grow both of these businesses through the application of our business model as well as future acquisitions and expansion projects.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Liquidity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flow from operations and our credit facilities are our primary sources of liquidity. At June 30, 2007, we had a working capital surplus of approximately $347 million, approximately $1.5 billion of availability under our committed revolving credit facilities and approximately $0.3 billion of availability under our uncommitted hedged inventory facility. Our working capital increased approximately $214 million in the first six months of 2007. See </w:t>
      </w:r>
      <w:r>
        <w:rPr>
          <w:rFonts w:ascii="Times New Roman;Times;serif" w:hAnsi="Times New Roman;Times;serif"/>
          <w:i/>
          <w:sz w:val="17"/>
        </w:rPr>
        <w:t>Cash flow from operations</w:t>
      </w:r>
      <w:r>
        <w:rPr>
          <w:rFonts w:ascii="Times New Roman;Times;serif" w:hAnsi="Times New Roman;Times;serif"/>
          <w:sz w:val="17"/>
        </w:rPr>
        <w:t xml:space="preserve">, below, for discussion of the relationship between working capital items and our short-term borrowings. Usage of the credit facilities is subject to ongoing compliance with covenants. We believe we are currently in compliance with all covenants.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Cash flow from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crude oil market was in contango for the first six months of 2007 and for much of 2006.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 </w:t>
      </w:r>
    </w:p>
    <w:p>
      <w:pPr>
        <w:pStyle w:val="TextBody"/>
        <w:spacing w:before="120" w:after="283"/>
        <w:jc w:val="left"/>
        <w:rPr/>
      </w:pPr>
      <w:r>
        <w:rPr/>
        <w:t>     </w:t>
      </w:r>
      <w:r>
        <w:rPr>
          <w:rFonts w:ascii="Times New Roman;Times;serif" w:hAnsi="Times New Roman;Times;serif"/>
          <w:sz w:val="17"/>
        </w:rPr>
        <w:t xml:space="preserve">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The storage of crude oil in periods of a contango market can have a material negative impact on our cash flows from operating activities for the period in which we pay for and store the crude oil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 </w:t>
      </w:r>
    </w:p>
    <w:p>
      <w:pPr>
        <w:pStyle w:val="TextBody"/>
        <w:spacing w:before="120" w:after="283"/>
        <w:jc w:val="left"/>
        <w:rPr/>
      </w:pPr>
      <w:r>
        <w:rPr/>
        <w:t>     </w:t>
      </w:r>
      <w:r>
        <w:rPr>
          <w:rFonts w:ascii="Times New Roman;Times;serif" w:hAnsi="Times New Roman;Times;serif"/>
          <w:sz w:val="17"/>
        </w:rPr>
        <w:t xml:space="preserve">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 In July 2007, the market for crude oil transitioned to a backwardated market. See  Outlook. </w:t>
      </w:r>
    </w:p>
    <w:p>
      <w:pPr>
        <w:pStyle w:val="TextBody"/>
        <w:spacing w:before="120" w:after="283"/>
        <w:jc w:val="left"/>
        <w:rPr/>
      </w:pPr>
      <w:r>
        <w:rPr/>
        <w:t>     </w:t>
      </w:r>
      <w:r>
        <w:rPr>
          <w:rFonts w:ascii="Times New Roman;Times;serif" w:hAnsi="Times New Roman;Times;serif"/>
          <w:sz w:val="17"/>
        </w:rPr>
        <w:t xml:space="preserve">Our cash flow provided by operating activities in the first six months of 2007 was $272.5 million compared to cash used in operating activities of $643 million in the first six months of 2006. This change reflects cash generated by our recurring operations (as indicated above in describing the primary drivers of cash generated from operations), offset by changes in certain working capital items (including an increase in inventory). A significant portion of the increased inventory has been purchased and stored due to contango market conditions. This increase in inventory was funded primarily through cash on hand and borrowings under our credit facilities (see </w:t>
      </w:r>
      <w:r>
        <w:rPr>
          <w:rFonts w:ascii="Times New Roman;Times;serif" w:hAnsi="Times New Roman;Times;serif"/>
          <w:i/>
          <w:sz w:val="17"/>
        </w:rPr>
        <w:t>Cash provided by equity and debt financing activities</w:t>
      </w:r>
      <w:r>
        <w:rPr>
          <w:rFonts w:ascii="Times New Roman;Times;serif" w:hAnsi="Times New Roman;Times;serif"/>
          <w:sz w:val="17"/>
        </w:rPr>
        <w:t xml:space="preserve">, below). The fluctuations on our accounts receivable, inventory and accounts payable and other liabilities accounts during the period are primarily related to purchases and sales of crude oil that vary proportionately along with the fluctuations in our short-term debt balances. During the corresponding period in 2006, we shifted into a pronounced contango market and, as discussed above, experienced significant fluctuations in our working capital accounts, most notably our accounts receivable balance.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b/>
          <w:i/>
          <w:sz w:val="17"/>
        </w:rPr>
        <w:t>Cash provided by equity and debt financing activities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We periodically access the capital markets for both equity and debt financing. For us to maintain our targeted credit profile (a long-term debt-to-total capitalization ratio of approximately 50%, a long-term debt-to-earnings before interest, income taxes, depreciation and amortization (EBITDA) multiple of approximately 3.5x and an average EBITDA-to-interest coverage multiple of 3.3x or better) and achieve growth through internal growth projects and acquisitions, we intend to fund at least 50% of the capital requirements associated with these activities with equity and cash flow in excess of distributions.</w:t>
      </w:r>
    </w:p>
    <w:p>
      <w:pPr>
        <w:pStyle w:val="TextBody"/>
        <w:spacing w:before="120" w:after="283"/>
        <w:jc w:val="left"/>
        <w:rPr/>
      </w:pPr>
      <w:r>
        <w:rPr/>
        <w:t>     </w:t>
      </w:r>
      <w:r>
        <w:rPr>
          <w:rFonts w:ascii="Times New Roman;Times;serif" w:hAnsi="Times New Roman;Times;serif"/>
          <w:sz w:val="17"/>
        </w:rPr>
        <w:t xml:space="preserve">We have filed with the Securities and Exchange Commission a universal shelf registration statement that, subject to effectiveness at the time of use, allows us to issue from time to time up to an aggregate of $2 billion of debt or equity securities. In June 2007, we issued approximately 6.3 million common units under this registration statement for net proceeds of approximately $382.5 million. At June 30, 2007, we have approximately $769 million of unissued securities remaining available under this registration statement. </w:t>
      </w:r>
    </w:p>
    <w:p>
      <w:pPr>
        <w:pStyle w:val="TextBody"/>
        <w:spacing w:before="120" w:after="283"/>
        <w:jc w:val="left"/>
        <w:rPr/>
      </w:pPr>
      <w:r>
        <w:rPr/>
        <w:t>     </w:t>
      </w:r>
      <w:r>
        <w:rPr>
          <w:rFonts w:ascii="Times New Roman;Times;serif" w:hAnsi="Times New Roman;Times;serif"/>
          <w:sz w:val="17"/>
        </w:rPr>
        <w:t xml:space="preserve">Cash provided by financing activities was $47.6 million and $1.1 billion for the six months ended June 30, 2007 and 2006, respectively. During the six months ended June 30, 2007 we had net repayments of our working capital and hedged inventory borrowings of approximately $123 million and during the six months ended June 30, 2006, we had net working capital borrowings and hedged inventory borrowings of approximately $809 million. Our financing activities primarily relate to (i) funding acquisitions and internal capital projects and (ii) funding and repayments under our short-term working capital and hedged inventory facilities related to our contango market activities. Our financing activities have primarily consisted of equity offerings, senior notes offerings and borrowings and repayments under our credit facilities. During the first six months of 2007, we made repayments under our credit facilities which were financed through the issuance of equity. See Note 7 to our Condensed Consolidated Financial Statements. </w:t>
      </w:r>
    </w:p>
    <w:p>
      <w:pPr>
        <w:pStyle w:val="TextBody"/>
        <w:spacing w:before="120" w:after="283"/>
        <w:jc w:val="left"/>
        <w:rPr/>
      </w:pPr>
      <w:r>
        <w:rPr/>
        <w:t>     </w:t>
      </w:r>
      <w:r>
        <w:rPr>
          <w:rFonts w:ascii="Times New Roman;Times;serif" w:hAnsi="Times New Roman;Times;serif"/>
          <w:sz w:val="17"/>
        </w:rPr>
        <w:t xml:space="preserve">In June 2007, the borrowing capacity under our senior secured hedged inventory facility was increased from $1.0 billion to $1.2 billion under the terms and conditions of such facility, as amended. </w:t>
      </w:r>
    </w:p>
    <w:p>
      <w:pPr>
        <w:pStyle w:val="TextBody"/>
        <w:spacing w:before="120" w:after="283"/>
        <w:jc w:val="left"/>
        <w:rPr/>
      </w:pPr>
      <w:r>
        <w:rPr/>
        <w:t>     </w:t>
      </w:r>
      <w:r>
        <w:rPr>
          <w:rFonts w:ascii="Times New Roman;Times;serif" w:hAnsi="Times New Roman;Times;serif"/>
          <w:sz w:val="17"/>
        </w:rPr>
        <w:t>On July 31, 2007, we amended our revolving credit facility to, among other things, change the maximum debt coverage ratio during an acquisition period from 5.25 to 1.0 to 5.5 to 1.0, and extend the maturity date from July 2011 to July 27, 2012.</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Capital Expenditures and Distributions Paid to Unitholders and General Partner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made and will continue to make capital expenditures for acquisitions, expansion capital and maintenance capital. Historically, we have financed these expenditures primarily with cash generated by operations and the financing activities discussed above. Our primary uses of cash, in addition to normal operating expenses, are for our acquisition activities, capital expenditures for internal growth projects and distributions paid to our unitholders and general partner. See  Acquisitions and Internal Growth Projects. The price of the acquisitions includes cash paid and transaction costs, as well as assumed liabilities and net working capital items. Because of the non-cash items included in the total price of the acquisition and the timing of certain cash payments, the net cash paid may differ significantly from the total value of the acquisitions completed during the year. </w:t>
      </w:r>
    </w:p>
    <w:p>
      <w:pPr>
        <w:pStyle w:val="TextBody"/>
        <w:spacing w:before="120" w:after="283"/>
        <w:jc w:val="left"/>
        <w:rPr/>
      </w:pPr>
      <w:r>
        <w:rPr/>
        <w:t>     </w:t>
      </w:r>
      <w:r>
        <w:rPr>
          <w:rFonts w:ascii="Times New Roman;Times;serif" w:hAnsi="Times New Roman;Times;serif"/>
          <w:i/>
          <w:sz w:val="17"/>
        </w:rPr>
        <w:t xml:space="preserve">Distributions to common unitholders and general partner. </w:t>
      </w:r>
      <w:r>
        <w:rPr>
          <w:rFonts w:ascii="Times New Roman;Times;serif" w:hAnsi="Times New Roman;Times;serif"/>
          <w:sz w:val="17"/>
        </w:rPr>
        <w:t xml:space="preserve">We distribute 100% of our available cash within 45 days after the end of each quarter to common unitholders of record and to our general partner. Available cash is generally defined as all of our cash and cash equivalents on hand at the end of each quarter less reserves established in the discretion of our general partner for future requirements. Total cash distributions made during the first six months of 2007 and the first six months of 2006 were as follows (in millions, except per unit amounts): </w:t>
      </w:r>
    </w:p>
    <w:tbl>
      <w:tblPr>
        <w:tblW w:w="5000" w:type="pct"/>
        <w:jc w:val="center"/>
        <w:tblInd w:w="0" w:type="dxa"/>
        <w:tblCellMar>
          <w:top w:w="0" w:type="dxa"/>
          <w:left w:w="0" w:type="dxa"/>
          <w:bottom w:w="0" w:type="dxa"/>
          <w:right w:w="0" w:type="dxa"/>
        </w:tblCellMar>
      </w:tblPr>
      <w:tblGrid>
        <w:gridCol w:w="2831"/>
        <w:gridCol w:w="301"/>
        <w:gridCol w:w="244"/>
        <w:gridCol w:w="1029"/>
        <w:gridCol w:w="98"/>
        <w:gridCol w:w="301"/>
        <w:gridCol w:w="232"/>
        <w:gridCol w:w="827"/>
        <w:gridCol w:w="119"/>
        <w:gridCol w:w="321"/>
        <w:gridCol w:w="212"/>
        <w:gridCol w:w="624"/>
        <w:gridCol w:w="98"/>
        <w:gridCol w:w="301"/>
        <w:gridCol w:w="162"/>
        <w:gridCol w:w="699"/>
        <w:gridCol w:w="98"/>
        <w:gridCol w:w="301"/>
        <w:gridCol w:w="220"/>
        <w:gridCol w:w="1077"/>
        <w:gridCol w:w="110"/>
      </w:tblGrid>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96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Distributions Paid</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35" w:type="dxa"/>
            <w:gridSpan w:val="6"/>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shd w:fill="auto" w:val="clear"/>
            <w:vAlign w:val="bottom"/>
          </w:tcPr>
          <w:p>
            <w:pPr>
              <w:pStyle w:val="TableContents"/>
              <w:spacing w:before="0" w:after="283"/>
              <w:jc w:val="center"/>
              <w:rPr>
                <w:b/>
              </w:rPr>
            </w:pPr>
            <w:r>
              <w:rPr>
                <w:b/>
              </w:rPr>
              <w:t>Common</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3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General Partner</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shd w:fill="auto" w:val="clear"/>
            <w:vAlign w:val="bottom"/>
          </w:tcPr>
          <w:p>
            <w:pPr>
              <w:pStyle w:val="TableContents"/>
              <w:spacing w:before="0" w:after="283"/>
              <w:jc w:val="center"/>
              <w:rPr>
                <w:b/>
              </w:rPr>
            </w:pPr>
            <w:r>
              <w:rPr>
                <w:b/>
              </w:rPr>
              <w:t>Distribution</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Unitholders</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Incentive</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 unit</w:t>
            </w:r>
          </w:p>
        </w:tc>
        <w:tc>
          <w:tcPr>
            <w:tcW w:w="110"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225" w:right="0" w:hanging="225"/>
              <w:rPr/>
            </w:pPr>
            <w:r>
              <w:rPr/>
              <w:t>May 15, 2007</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29" w:type="dxa"/>
            <w:tcBorders/>
            <w:shd w:fill="CCEEFF" w:val="clear"/>
            <w:vAlign w:val="bottom"/>
          </w:tcPr>
          <w:p>
            <w:pPr>
              <w:pStyle w:val="TableContents"/>
              <w:spacing w:before="0" w:after="283"/>
              <w:jc w:val="right"/>
              <w:rPr/>
            </w:pPr>
            <w:r>
              <w:rPr/>
              <w:t>88.9</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16.7</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624" w:type="dxa"/>
            <w:tcBorders/>
            <w:shd w:fill="CCEEFF" w:val="clear"/>
            <w:vAlign w:val="bottom"/>
          </w:tcPr>
          <w:p>
            <w:pPr>
              <w:pStyle w:val="TableContents"/>
              <w:spacing w:before="0" w:after="283"/>
              <w:jc w:val="right"/>
              <w:rPr/>
            </w:pPr>
            <w:r>
              <w:rPr/>
              <w:t>1.8</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107.4</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0.8125</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February 14, 2007</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jc w:val="right"/>
              <w:rPr/>
            </w:pPr>
            <w:r>
              <w:rPr/>
              <w:t>87.5</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15.3</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1.8</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104.6</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0.8000</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450" w:right="0" w:hanging="225"/>
              <w:rPr>
                <w:b/>
              </w:rPr>
            </w:pPr>
            <w:r>
              <w:rPr>
                <w:b/>
              </w:rPr>
              <w:t>2007 total</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w:t>
            </w:r>
          </w:p>
        </w:tc>
        <w:tc>
          <w:tcPr>
            <w:tcW w:w="1029" w:type="dxa"/>
            <w:tcBorders/>
            <w:shd w:fill="CCEEFF" w:val="clear"/>
            <w:vAlign w:val="bottom"/>
          </w:tcPr>
          <w:p>
            <w:pPr>
              <w:pStyle w:val="TableContents"/>
              <w:spacing w:before="0" w:after="283"/>
              <w:jc w:val="right"/>
              <w:rPr/>
            </w:pPr>
            <w:r>
              <w:rPr/>
              <w:t>176.4</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32.0</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624" w:type="dxa"/>
            <w:tcBorders/>
            <w:shd w:fill="CCEEFF" w:val="clear"/>
            <w:vAlign w:val="bottom"/>
          </w:tcPr>
          <w:p>
            <w:pPr>
              <w:pStyle w:val="TableContents"/>
              <w:spacing w:before="0" w:after="283"/>
              <w:jc w:val="right"/>
              <w:rPr/>
            </w:pPr>
            <w:r>
              <w:rPr/>
              <w:t>3.6</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699" w:type="dxa"/>
            <w:tcBorders/>
            <w:shd w:fill="CCEEFF" w:val="clear"/>
            <w:vAlign w:val="bottom"/>
          </w:tcPr>
          <w:p>
            <w:pPr>
              <w:pStyle w:val="TableContents"/>
              <w:spacing w:before="0" w:after="283"/>
              <w:jc w:val="right"/>
              <w:rPr/>
            </w:pPr>
            <w:r>
              <w:rPr/>
              <w:t>212.0</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bottom"/>
          </w:tcPr>
          <w:p>
            <w:pPr>
              <w:pStyle w:val="TableContents"/>
              <w:spacing w:before="0" w:after="0"/>
              <w:ind w:left="225" w:right="0" w:hanging="225"/>
              <w:rPr/>
            </w:pPr>
            <w:r>
              <w:rPr/>
              <w:t>May 15, 2006</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029" w:type="dxa"/>
            <w:tcBorders/>
            <w:shd w:fill="auto" w:val="clear"/>
            <w:vAlign w:val="bottom"/>
          </w:tcPr>
          <w:p>
            <w:pPr>
              <w:pStyle w:val="TableContents"/>
              <w:spacing w:before="0" w:after="283"/>
              <w:jc w:val="right"/>
              <w:rPr/>
            </w:pPr>
            <w:r>
              <w:rPr/>
              <w:t>54.6</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7.4</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624" w:type="dxa"/>
            <w:tcBorders/>
            <w:shd w:fill="auto" w:val="clear"/>
            <w:vAlign w:val="bottom"/>
          </w:tcPr>
          <w:p>
            <w:pPr>
              <w:pStyle w:val="TableContents"/>
              <w:spacing w:before="0" w:after="283"/>
              <w:jc w:val="right"/>
              <w:rPr/>
            </w:pPr>
            <w:r>
              <w:rPr/>
              <w:t>1.1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63.1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0.7075</w:t>
            </w:r>
          </w:p>
        </w:tc>
        <w:tc>
          <w:tcPr>
            <w:tcW w:w="110" w:type="dxa"/>
            <w:tcBorders/>
            <w:shd w:fill="auto" w:val="clear"/>
            <w:vAlign w:val="bottom"/>
          </w:tcPr>
          <w:p>
            <w:pPr>
              <w:pStyle w:val="TableContents"/>
              <w:spacing w:before="0" w:after="283"/>
              <w:rPr/>
            </w:pPr>
            <w:r>
              <w:rPr/>
              <w:t> </w:t>
            </w:r>
          </w:p>
        </w:tc>
      </w:tr>
      <w:tr>
        <w:trPr/>
        <w:tc>
          <w:tcPr>
            <w:tcW w:w="2831" w:type="dxa"/>
            <w:tcBorders/>
            <w:shd w:fill="CCEEFF" w:val="clear"/>
            <w:vAlign w:val="bottom"/>
          </w:tcPr>
          <w:p>
            <w:pPr>
              <w:pStyle w:val="TableContents"/>
              <w:spacing w:before="0" w:after="0"/>
              <w:ind w:left="225" w:right="0" w:hanging="225"/>
              <w:rPr/>
            </w:pPr>
            <w:r>
              <w:rPr/>
              <w:t>February 14, 2006</w:t>
            </w:r>
          </w:p>
        </w:tc>
        <w:tc>
          <w:tcPr>
            <w:tcW w:w="3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50.7</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5.6</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1.0</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57.3</w:t>
            </w:r>
          </w:p>
        </w:tc>
        <w:tc>
          <w:tcPr>
            <w:tcW w:w="9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0.6875</w:t>
            </w:r>
          </w:p>
        </w:tc>
        <w:tc>
          <w:tcPr>
            <w:tcW w:w="110" w:type="dxa"/>
            <w:tcBorders/>
            <w:shd w:fill="CCEEFF"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831" w:type="dxa"/>
            <w:tcBorders/>
            <w:shd w:fill="auto" w:val="clear"/>
            <w:vAlign w:val="bottom"/>
          </w:tcPr>
          <w:p>
            <w:pPr>
              <w:pStyle w:val="TableContents"/>
              <w:spacing w:before="0" w:after="0"/>
              <w:ind w:left="450" w:right="0" w:hanging="225"/>
              <w:rPr>
                <w:b/>
              </w:rPr>
            </w:pPr>
            <w:r>
              <w:rPr>
                <w:b/>
              </w:rPr>
              <w:t>2006 total</w:t>
            </w:r>
          </w:p>
        </w:tc>
        <w:tc>
          <w:tcPr>
            <w:tcW w:w="3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jc w:val="left"/>
              <w:rPr/>
            </w:pPr>
            <w:r>
              <w:rPr/>
              <w:t>$</w:t>
            </w:r>
          </w:p>
        </w:tc>
        <w:tc>
          <w:tcPr>
            <w:tcW w:w="1029" w:type="dxa"/>
            <w:tcBorders/>
            <w:shd w:fill="auto" w:val="clear"/>
            <w:vAlign w:val="bottom"/>
          </w:tcPr>
          <w:p>
            <w:pPr>
              <w:pStyle w:val="TableContents"/>
              <w:spacing w:before="0" w:after="283"/>
              <w:jc w:val="right"/>
              <w:rPr/>
            </w:pPr>
            <w:r>
              <w:rPr/>
              <w:t>105.3</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13.0</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624" w:type="dxa"/>
            <w:tcBorders/>
            <w:shd w:fill="auto" w:val="clear"/>
            <w:vAlign w:val="bottom"/>
          </w:tcPr>
          <w:p>
            <w:pPr>
              <w:pStyle w:val="TableContents"/>
              <w:spacing w:before="0" w:after="283"/>
              <w:jc w:val="right"/>
              <w:rPr/>
            </w:pPr>
            <w:r>
              <w:rPr/>
              <w:t>2.1</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120.4</w:t>
            </w:r>
          </w:p>
        </w:tc>
        <w:tc>
          <w:tcPr>
            <w:tcW w:w="9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831" w:type="dxa"/>
            <w:tcBorders/>
            <w:shd w:fill="auto" w:val="clear"/>
            <w:vAlign w:val="center"/>
          </w:tcPr>
          <w:p>
            <w:pPr>
              <w:pStyle w:val="TableContents"/>
              <w:spacing w:before="0" w:after="0"/>
              <w:ind w:left="225" w:right="0" w:hanging="225"/>
              <w:rPr/>
            </w:pPr>
            <w:r>
              <w:rPr/>
              <w:t> </w:t>
            </w:r>
          </w:p>
        </w:tc>
        <w:tc>
          <w:tcPr>
            <w:tcW w:w="301" w:type="dxa"/>
            <w:tcBorders/>
            <w:shd w:fill="auto" w:val="clear"/>
            <w:vAlign w:val="center"/>
          </w:tcPr>
          <w:p>
            <w:pPr>
              <w:pStyle w:val="TableContents"/>
              <w:spacing w:before="0" w:after="283"/>
              <w:rPr/>
            </w:pPr>
            <w:r>
              <w:rPr/>
              <w:t> </w:t>
            </w:r>
          </w:p>
        </w:tc>
        <w:tc>
          <w:tcPr>
            <w:tcW w:w="12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8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7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On July 19, 2007, we declared a cash distribution of $0.83 per unit on our outstanding common units. This distribution, payable on August 14, 2007, will total approximately $118.2 million, with approximately $96.3 million to be paid to our common unitholders and $2.0 million and $19.9 million to be paid to our general partner for its general partner and incentive distribution interests, respectively. </w:t>
      </w:r>
    </w:p>
    <w:p>
      <w:pPr>
        <w:pStyle w:val="TextBody"/>
        <w:spacing w:before="120" w:after="283"/>
        <w:jc w:val="left"/>
        <w:rPr/>
      </w:pPr>
      <w:r>
        <w:rPr/>
        <w:t>     </w:t>
      </w:r>
      <w:r>
        <w:rPr>
          <w:rFonts w:ascii="Times New Roman;Times;serif" w:hAnsi="Times New Roman;Times;serif"/>
          <w:sz w:val="17"/>
        </w:rPr>
        <w:t xml:space="preserve">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w:t>
      </w:r>
    </w:p>
    <w:p>
      <w:pPr>
        <w:pStyle w:val="TextBody"/>
        <w:spacing w:before="120" w:after="283"/>
        <w:jc w:val="left"/>
        <w:rPr/>
      </w:pPr>
      <w:r>
        <w:rPr/>
        <w:t>     </w:t>
      </w:r>
      <w:r>
        <w:rPr>
          <w:rFonts w:ascii="Times New Roman;Times;serif" w:hAnsi="Times New Roman;Times;serif"/>
          <w:sz w:val="17"/>
        </w:rPr>
        <w:t xml:space="preserve">Upon closing of the Pacific acquisition, our general partner agreed to reduce the amounts of its incentive distributions. The aggregate reduction in incentive distributions will be $65 million. Following the distribution in August 2007, the remaining incentive distribution reductions will be $50 million. See Note 7 to our Condensed Consolidated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Commitments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Contractual Obligations</w:t>
      </w:r>
    </w:p>
    <w:p>
      <w:pPr>
        <w:pStyle w:val="TextBody"/>
        <w:spacing w:before="120" w:after="283"/>
        <w:jc w:val="left"/>
        <w:rPr/>
      </w:pPr>
      <w:r>
        <w:rPr/>
        <w:t>     </w:t>
      </w:r>
      <w:r>
        <w:rPr>
          <w:rFonts w:ascii="Times New Roman;Times;serif" w:hAnsi="Times New Roman;Times;serif"/>
          <w:sz w:val="17"/>
        </w:rPr>
        <w:t xml:space="preserve">The amounts presented in the table below represent the net obligations associated with buy/sell contracts and those subject to a net settlement arrangement with the counterparty. Other contractual obligations did not vary significantly since December 31, 2006. We do not expect to use a significant amount of internal capital to meet these obligations, as the obligations will be funded by hedged inventory borrowings and by corresponding sales to creditworthy entities. </w:t>
      </w:r>
    </w:p>
    <w:p>
      <w:pPr>
        <w:pStyle w:val="TextBody"/>
        <w:spacing w:before="120" w:after="283"/>
        <w:jc w:val="left"/>
        <w:rPr/>
      </w:pPr>
      <w:r>
        <w:rPr/>
        <w:t>     </w:t>
      </w:r>
      <w:r>
        <w:rPr>
          <w:rFonts w:ascii="Times New Roman;Times;serif" w:hAnsi="Times New Roman;Times;serif"/>
          <w:sz w:val="17"/>
        </w:rPr>
        <w:t xml:space="preserve">The following table includes our best estimate of the amount and timing of these payments due under the specified contractual obligations as of June 30, 2007. </w:t>
      </w:r>
    </w:p>
    <w:tbl>
      <w:tblPr>
        <w:tblW w:w="5000" w:type="pct"/>
        <w:jc w:val="center"/>
        <w:tblInd w:w="0" w:type="dxa"/>
        <w:tblCellMar>
          <w:top w:w="0" w:type="dxa"/>
          <w:left w:w="0" w:type="dxa"/>
          <w:bottom w:w="0" w:type="dxa"/>
          <w:right w:w="0" w:type="dxa"/>
        </w:tblCellMar>
      </w:tblPr>
      <w:tblGrid>
        <w:gridCol w:w="1587"/>
        <w:gridCol w:w="211"/>
        <w:gridCol w:w="155"/>
        <w:gridCol w:w="810"/>
        <w:gridCol w:w="89"/>
        <w:gridCol w:w="211"/>
        <w:gridCol w:w="155"/>
        <w:gridCol w:w="810"/>
        <w:gridCol w:w="89"/>
        <w:gridCol w:w="211"/>
        <w:gridCol w:w="155"/>
        <w:gridCol w:w="810"/>
        <w:gridCol w:w="89"/>
        <w:gridCol w:w="211"/>
        <w:gridCol w:w="155"/>
        <w:gridCol w:w="661"/>
        <w:gridCol w:w="89"/>
        <w:gridCol w:w="211"/>
        <w:gridCol w:w="155"/>
        <w:gridCol w:w="662"/>
        <w:gridCol w:w="89"/>
        <w:gridCol w:w="211"/>
        <w:gridCol w:w="155"/>
        <w:gridCol w:w="662"/>
        <w:gridCol w:w="89"/>
        <w:gridCol w:w="211"/>
        <w:gridCol w:w="223"/>
        <w:gridCol w:w="935"/>
        <w:gridCol w:w="104"/>
      </w:tblGrid>
      <w:tr>
        <w:trPr/>
        <w:tc>
          <w:tcPr>
            <w:tcW w:w="15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r>
      <w:tr>
        <w:trPr/>
        <w:tc>
          <w:tcPr>
            <w:tcW w:w="15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8" w:type="dxa"/>
            <w:gridSpan w:val="2"/>
            <w:tcBorders/>
            <w:shd w:fill="auto" w:val="clear"/>
            <w:vAlign w:val="bottom"/>
          </w:tcPr>
          <w:p>
            <w:pPr>
              <w:pStyle w:val="TableContents"/>
              <w:spacing w:before="0" w:after="283"/>
              <w:jc w:val="center"/>
              <w:rPr>
                <w:b/>
              </w:rPr>
            </w:pPr>
            <w:r>
              <w:rPr>
                <w:b/>
              </w:rPr>
              <w:t>2012 and</w:t>
            </w:r>
          </w:p>
        </w:tc>
        <w:tc>
          <w:tcPr>
            <w:tcW w:w="104" w:type="dxa"/>
            <w:tcBorders/>
            <w:shd w:fill="auto" w:val="clear"/>
            <w:vAlign w:val="bottom"/>
          </w:tcPr>
          <w:p>
            <w:pPr>
              <w:pStyle w:val="TableContents"/>
              <w:spacing w:before="0" w:after="283"/>
              <w:rPr/>
            </w:pPr>
            <w:r>
              <w:rPr/>
              <w:t> </w:t>
            </w:r>
          </w:p>
        </w:tc>
      </w:tr>
      <w:tr>
        <w:trPr/>
        <w:tc>
          <w:tcPr>
            <w:tcW w:w="15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2011</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Thereafter</w:t>
            </w:r>
          </w:p>
        </w:tc>
        <w:tc>
          <w:tcPr>
            <w:tcW w:w="104" w:type="dxa"/>
            <w:tcBorders/>
            <w:shd w:fill="auto" w:val="clear"/>
            <w:vAlign w:val="bottom"/>
          </w:tcPr>
          <w:p>
            <w:pPr>
              <w:pStyle w:val="TableContents"/>
              <w:spacing w:before="0" w:after="283"/>
              <w:rPr/>
            </w:pPr>
            <w:r>
              <w:rPr/>
              <w:t> </w:t>
            </w:r>
          </w:p>
        </w:tc>
      </w:tr>
      <w:tr>
        <w:trPr/>
        <w:tc>
          <w:tcPr>
            <w:tcW w:w="15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303" w:type="dxa"/>
            <w:gridSpan w:val="26"/>
            <w:tcBorders/>
            <w:shd w:fill="auto" w:val="clear"/>
            <w:vAlign w:val="bottom"/>
          </w:tcPr>
          <w:p>
            <w:pPr>
              <w:pStyle w:val="TableContents"/>
              <w:spacing w:before="0" w:after="283"/>
              <w:jc w:val="center"/>
              <w:rPr>
                <w:b/>
              </w:rPr>
            </w:pPr>
            <w:r>
              <w:rPr>
                <w:b/>
              </w:rPr>
              <w:t>(in millions)</w:t>
            </w:r>
          </w:p>
        </w:tc>
        <w:tc>
          <w:tcPr>
            <w:tcW w:w="104" w:type="dxa"/>
            <w:tcBorders/>
            <w:shd w:fill="auto" w:val="clear"/>
            <w:vAlign w:val="bottom"/>
          </w:tcPr>
          <w:p>
            <w:pPr>
              <w:pStyle w:val="TableContents"/>
              <w:spacing w:before="0" w:after="283"/>
              <w:rPr/>
            </w:pPr>
            <w:r>
              <w:rPr/>
              <w:t> </w:t>
            </w:r>
          </w:p>
        </w:tc>
      </w:tr>
      <w:tr>
        <w:trPr/>
        <w:tc>
          <w:tcPr>
            <w:tcW w:w="1587" w:type="dxa"/>
            <w:tcBorders/>
            <w:shd w:fill="CCEEFF" w:val="clear"/>
            <w:vAlign w:val="bottom"/>
          </w:tcPr>
          <w:p>
            <w:pPr>
              <w:pStyle w:val="TableContents"/>
              <w:spacing w:before="0" w:after="0"/>
              <w:ind w:left="225" w:right="0" w:hanging="225"/>
              <w:rPr/>
            </w:pPr>
            <w:r>
              <w:rPr/>
              <w:t>Leases(1)</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271.9</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21.9</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41.6</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661" w:type="dxa"/>
            <w:tcBorders/>
            <w:shd w:fill="CCEEFF" w:val="clear"/>
            <w:vAlign w:val="bottom"/>
          </w:tcPr>
          <w:p>
            <w:pPr>
              <w:pStyle w:val="TableContents"/>
              <w:spacing w:before="0" w:after="283"/>
              <w:jc w:val="right"/>
              <w:rPr/>
            </w:pPr>
            <w:r>
              <w:rPr/>
              <w:t>37.6</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662" w:type="dxa"/>
            <w:tcBorders/>
            <w:shd w:fill="CCEEFF" w:val="clear"/>
            <w:vAlign w:val="bottom"/>
          </w:tcPr>
          <w:p>
            <w:pPr>
              <w:pStyle w:val="TableContents"/>
              <w:spacing w:before="0" w:after="283"/>
              <w:jc w:val="right"/>
              <w:rPr/>
            </w:pPr>
            <w:r>
              <w:rPr/>
              <w:t>26.6</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662" w:type="dxa"/>
            <w:tcBorders/>
            <w:shd w:fill="CCEEFF" w:val="clear"/>
            <w:vAlign w:val="bottom"/>
          </w:tcPr>
          <w:p>
            <w:pPr>
              <w:pStyle w:val="TableContents"/>
              <w:spacing w:before="0" w:after="283"/>
              <w:jc w:val="right"/>
              <w:rPr/>
            </w:pPr>
            <w:r>
              <w:rPr/>
              <w:t>16.9</w:t>
            </w:r>
          </w:p>
        </w:tc>
        <w:tc>
          <w:tcPr>
            <w:tcW w:w="8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935" w:type="dxa"/>
            <w:tcBorders/>
            <w:shd w:fill="CCEEFF" w:val="clear"/>
            <w:vAlign w:val="bottom"/>
          </w:tcPr>
          <w:p>
            <w:pPr>
              <w:pStyle w:val="TableContents"/>
              <w:spacing w:before="0" w:after="283"/>
              <w:jc w:val="right"/>
              <w:rPr/>
            </w:pPr>
            <w:r>
              <w:rPr/>
              <w:t>127.3</w:t>
            </w:r>
          </w:p>
        </w:tc>
        <w:tc>
          <w:tcPr>
            <w:tcW w:w="104" w:type="dxa"/>
            <w:tcBorders/>
            <w:shd w:fill="CCEEFF" w:val="clear"/>
            <w:vAlign w:val="bottom"/>
          </w:tcPr>
          <w:p>
            <w:pPr>
              <w:pStyle w:val="TableContents"/>
              <w:spacing w:before="0" w:after="283"/>
              <w:rPr/>
            </w:pPr>
            <w:r>
              <w:rPr/>
              <w:t> </w:t>
            </w:r>
          </w:p>
        </w:tc>
      </w:tr>
      <w:tr>
        <w:trPr/>
        <w:tc>
          <w:tcPr>
            <w:tcW w:w="1587" w:type="dxa"/>
            <w:tcBorders/>
            <w:shd w:fill="auto" w:val="clear"/>
            <w:vAlign w:val="bottom"/>
          </w:tcPr>
          <w:p>
            <w:pPr>
              <w:pStyle w:val="TableContents"/>
              <w:spacing w:before="0" w:after="0"/>
              <w:ind w:left="225" w:right="0" w:hanging="225"/>
              <w:rPr/>
            </w:pPr>
            <w:r>
              <w:rPr/>
              <w:t>Crude oil, LPG and other purchases(2)</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7,564.9</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4,494.8</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1,195.6</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61" w:type="dxa"/>
            <w:tcBorders/>
            <w:shd w:fill="auto" w:val="clear"/>
            <w:vAlign w:val="bottom"/>
          </w:tcPr>
          <w:p>
            <w:pPr>
              <w:pStyle w:val="TableContents"/>
              <w:spacing w:before="0" w:after="283"/>
              <w:jc w:val="right"/>
              <w:rPr/>
            </w:pPr>
            <w:r>
              <w:rPr/>
              <w:t>667.9</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62" w:type="dxa"/>
            <w:tcBorders/>
            <w:shd w:fill="auto" w:val="clear"/>
            <w:vAlign w:val="bottom"/>
          </w:tcPr>
          <w:p>
            <w:pPr>
              <w:pStyle w:val="TableContents"/>
              <w:spacing w:before="0" w:after="283"/>
              <w:jc w:val="right"/>
              <w:rPr/>
            </w:pPr>
            <w:r>
              <w:rPr/>
              <w:t>492.1</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662" w:type="dxa"/>
            <w:tcBorders/>
            <w:shd w:fill="auto" w:val="clear"/>
            <w:vAlign w:val="bottom"/>
          </w:tcPr>
          <w:p>
            <w:pPr>
              <w:pStyle w:val="TableContents"/>
              <w:spacing w:before="0" w:after="283"/>
              <w:jc w:val="right"/>
              <w:rPr/>
            </w:pPr>
            <w:r>
              <w:rPr/>
              <w:t>381.4</w:t>
            </w:r>
          </w:p>
        </w:tc>
        <w:tc>
          <w:tcPr>
            <w:tcW w:w="8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935" w:type="dxa"/>
            <w:tcBorders/>
            <w:shd w:fill="auto" w:val="clear"/>
            <w:vAlign w:val="bottom"/>
          </w:tcPr>
          <w:p>
            <w:pPr>
              <w:pStyle w:val="TableContents"/>
              <w:spacing w:before="0" w:after="283"/>
              <w:jc w:val="right"/>
              <w:rPr/>
            </w:pPr>
            <w:r>
              <w:rPr/>
              <w:t>333.1</w:t>
            </w:r>
          </w:p>
        </w:tc>
        <w:tc>
          <w:tcPr>
            <w:tcW w:w="104" w:type="dxa"/>
            <w:tcBorders/>
            <w:shd w:fill="auto" w:val="clear"/>
            <w:vAlign w:val="bottom"/>
          </w:tcPr>
          <w:p>
            <w:pPr>
              <w:pStyle w:val="TableContents"/>
              <w:spacing w:before="0" w:after="283"/>
              <w:rPr/>
            </w:pPr>
            <w:r>
              <w:rPr/>
              <w:t> </w:t>
            </w:r>
          </w:p>
        </w:tc>
      </w:tr>
      <w:tr>
        <w:trPr/>
        <w:tc>
          <w:tcPr>
            <w:tcW w:w="1587" w:type="dxa"/>
            <w:tcBorders/>
            <w:shd w:fill="auto" w:val="clear"/>
            <w:vAlign w:val="center"/>
          </w:tcPr>
          <w:p>
            <w:pPr>
              <w:pStyle w:val="TableContents"/>
              <w:spacing w:before="0" w:after="0"/>
              <w:ind w:left="225" w:right="0" w:hanging="225"/>
              <w:rPr/>
            </w:pPr>
            <w:r>
              <w:rPr/>
              <w:t> </w:t>
            </w:r>
          </w:p>
        </w:tc>
        <w:tc>
          <w:tcPr>
            <w:tcW w:w="211"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1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5"/>
        <w:gridCol w:w="2224"/>
        <w:gridCol w:w="1266"/>
      </w:tblGrid>
      <w:tr>
        <w:trPr/>
        <w:tc>
          <w:tcPr>
            <w:tcW w:w="6715"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(1)</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Leases are primarily for office rent, trucks used in our gathering activities, and right of way obligations.</w:t>
            </w:r>
          </w:p>
        </w:tc>
      </w:tr>
      <w:tr>
        <w:trPr/>
        <w:tc>
          <w:tcPr>
            <w:tcW w:w="6715" w:type="dxa"/>
            <w:tcBorders/>
            <w:shd w:fill="auto" w:val="clear"/>
          </w:tcPr>
          <w:p>
            <w:pPr>
              <w:pStyle w:val="TableContents"/>
              <w:spacing w:before="0" w:after="283"/>
              <w:jc w:val="left"/>
              <w:rPr/>
            </w:pPr>
            <w:r>
              <w:rPr/>
              <w:t>(2)</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tc>
      </w:tr>
    </w:tbl>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Letters of Credit</w:t>
      </w:r>
    </w:p>
    <w:p>
      <w:pPr>
        <w:pStyle w:val="TextBody"/>
        <w:spacing w:before="120" w:after="283"/>
        <w:jc w:val="left"/>
        <w:rPr/>
      </w:pPr>
      <w:r>
        <w:rPr/>
        <w:t>     </w:t>
      </w:r>
      <w:r>
        <w:rPr>
          <w:rFonts w:ascii="Times New Roman;Times;serif" w:hAnsi="Times New Roman;Times;serif"/>
          <w:sz w:val="17"/>
        </w:rPr>
        <w:t xml:space="preserve">In connection with our crude oil marketing, we provide certain suppliers with irrevocable standby letters of credit to secure our obligation for the purchase of crude oil. At June 30, 2007, approximately $89.4 million of letters of credit were outstanding under our credit facility. See Note 5 to our Condensed Consolidated Financial Statements.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Capital Contributions to PAA/Vulcan Gas Storage, LLC</w:t>
      </w:r>
    </w:p>
    <w:p>
      <w:pPr>
        <w:pStyle w:val="TextBody"/>
        <w:spacing w:before="120" w:after="283"/>
        <w:jc w:val="left"/>
        <w:rPr/>
      </w:pPr>
      <w:r>
        <w:rPr/>
        <w:t>     </w:t>
      </w:r>
      <w:r>
        <w:rPr>
          <w:rFonts w:ascii="Times New Roman;Times;serif" w:hAnsi="Times New Roman;Times;serif"/>
          <w:sz w:val="17"/>
        </w:rPr>
        <w:t xml:space="preserve">We and Vulcan Gas Storage are both required to make capital contributions in equal proportions to fund equity requests associated with certain projects specified in the joint venture agreement. During the first six months of 2007, we made an additional contribution of approximately $9 million to PAA/Vulcan. Such contribution did not result in an increase to our ownership interest. Also see Note 10 to our Condensed Consolidated Financial Statements for discussion of an additional commitment through a hedge instrument with PAA/Vulcan.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Distributions</w:t>
      </w:r>
    </w:p>
    <w:p>
      <w:pPr>
        <w:pStyle w:val="TextBody"/>
        <w:spacing w:before="120" w:after="283"/>
        <w:jc w:val="left"/>
        <w:rPr/>
      </w:pPr>
      <w:r>
        <w:rPr/>
        <w:t>     </w:t>
      </w:r>
      <w:r>
        <w:rPr>
          <w:rFonts w:ascii="Times New Roman;Times;serif" w:hAnsi="Times New Roman;Times;serif"/>
          <w:sz w:val="17"/>
        </w:rPr>
        <w:t xml:space="preserve">See discussion above under </w:t>
      </w:r>
      <w:r>
        <w:rPr>
          <w:rFonts w:ascii="Times New Roman;Times;serif" w:hAnsi="Times New Roman;Times;serif"/>
          <w:i/>
          <w:sz w:val="17"/>
        </w:rPr>
        <w:t>Capital Expenditures and Distributions Paid to Unitholders and General Partner</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Recent Accounting Pronouncements and Change in Accounting Principle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14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Critical Accounting Policies and Estimates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a discussion regarding our critical accounting policies and estimates, see Critical Accounting Policies and Estimates in Item 7 of our 2006 Annual Report on Form 10-K.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failure to realize the anticipated synergies and other benefits of the merger with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success of our risk management activities;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maintenance of our credit rating and ability to receive open credit from our suppliers and trade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failure to implement or capitalize on planned internal growth projects;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adequate third party production volumes for transportation and marketing in the areas in which we operate, and other factors that could cause declines in volumes shipped on our pipelines by us and third-party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refinery capacity in areas supplied by our mainlines, and other factors affecting demand for various grades of crude oil, refined products and natural gas and resulting changes in pricing conditions or transmission throughput requirements;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our access to capital to fund additional acquisitions and our ability to obtain debt or equity financing on satisfactory terms;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 xml:space="preserve">the effects of competition;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interruptions in service and fluctuations in tariffs or volumes on third-party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costs or lack of availability of insurance;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other factors and uncertainties inherent in the transportation, storage, terminalling and marketing of crude oil, refined products and liquefied petroleum gas and other natural gas related petroleum products.</w:t>
            </w:r>
          </w:p>
        </w:tc>
      </w:tr>
    </w:tbl>
    <w:p>
      <w:pPr>
        <w:pStyle w:val="TextBody"/>
        <w:spacing w:before="120" w:after="283"/>
        <w:jc w:val="left"/>
        <w:rPr/>
      </w:pPr>
      <w:r>
        <w:rPr/>
        <w:t>     </w:t>
      </w:r>
      <w:r>
        <w:rPr>
          <w:rFonts w:ascii="Times New Roman;Times;serif" w:hAnsi="Times New Roman;Times;serif"/>
          <w:sz w:val="17"/>
        </w:rPr>
        <w:t xml:space="preserve">Other factors, such as the Risk Factors discussed in Item 1A of Part II of this report, the Risks Related to Our Business discussed in Item 1A of our most recent annual report on Form 10-K and factors that are unknown or unpredictable, could also have a material adverse effect on future results. Except as required by applicable securities laws, we do not intend to update these forward-looking statements and information. </w:t>
      </w:r>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should be read in conjunction with Quantitative and Qualitative Disclosures About Market Risk included in Item 7A in our 2006 Annual Report on Form 10-K. There have been no material changes in that information other than as discussed below. Also, see Note 9 to our Condensed Consolidated Financial Statements for additional discussion related to derivative instruments and hedging activities.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Commodity Price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our open commodity price risk derivatives at June 30, 2007 were categorized as non-trading. The fair value of these instruments and the change in fair value that would be expected from a 10 percent price increase are shown in the table below: </w:t>
      </w:r>
    </w:p>
    <w:tbl>
      <w:tblPr>
        <w:tblW w:w="5000" w:type="pct"/>
        <w:jc w:val="center"/>
        <w:tblInd w:w="0" w:type="dxa"/>
        <w:tblCellMar>
          <w:top w:w="0" w:type="dxa"/>
          <w:left w:w="0" w:type="dxa"/>
          <w:bottom w:w="0" w:type="dxa"/>
          <w:right w:w="0" w:type="dxa"/>
        </w:tblCellMar>
      </w:tblPr>
      <w:tblGrid>
        <w:gridCol w:w="5882"/>
        <w:gridCol w:w="404"/>
        <w:gridCol w:w="404"/>
        <w:gridCol w:w="788"/>
        <w:gridCol w:w="342"/>
        <w:gridCol w:w="404"/>
        <w:gridCol w:w="464"/>
        <w:gridCol w:w="1010"/>
        <w:gridCol w:w="384"/>
        <w:gridCol w:w="60"/>
        <w:gridCol w:w="63"/>
      </w:tblGrid>
      <w:tr>
        <w:trPr/>
        <w:tc>
          <w:tcPr>
            <w:tcW w:w="588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858" w:type="dxa"/>
            <w:gridSpan w:val="3"/>
            <w:tcBorders/>
            <w:shd w:fill="auto" w:val="clear"/>
            <w:vAlign w:val="bottom"/>
          </w:tcPr>
          <w:p>
            <w:pPr>
              <w:pStyle w:val="TableContents"/>
              <w:spacing w:before="0" w:after="283"/>
              <w:jc w:val="center"/>
              <w:rPr>
                <w:b/>
              </w:rPr>
            </w:pPr>
            <w:r>
              <w:rPr>
                <w:b/>
              </w:rPr>
              <w:t>Effect of 10%</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3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c>
          <w:tcPr>
            <w:tcW w:w="404" w:type="dxa"/>
            <w:tcBorders/>
            <w:shd w:fill="auto" w:val="clear"/>
            <w:vAlign w:val="bottom"/>
          </w:tcPr>
          <w:p>
            <w:pPr>
              <w:pStyle w:val="TableContents"/>
              <w:spacing w:before="0" w:after="283"/>
              <w:rPr/>
            </w:pPr>
            <w:r>
              <w:rPr/>
              <w:t> </w:t>
            </w:r>
          </w:p>
        </w:tc>
        <w:tc>
          <w:tcPr>
            <w:tcW w:w="185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Price Increase</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3796" w:type="dxa"/>
            <w:gridSpan w:val="7"/>
            <w:tcBorders/>
            <w:shd w:fill="auto" w:val="clear"/>
            <w:vAlign w:val="bottom"/>
          </w:tcPr>
          <w:p>
            <w:pPr>
              <w:pStyle w:val="TableContents"/>
              <w:spacing w:before="0" w:after="283"/>
              <w:jc w:val="center"/>
              <w:rPr>
                <w:b/>
              </w:rPr>
            </w:pPr>
            <w:r>
              <w:rPr>
                <w:b/>
              </w:rPr>
              <w:t>(In millions)</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CCEEFF" w:val="clear"/>
            <w:vAlign w:val="bottom"/>
          </w:tcPr>
          <w:p>
            <w:pPr>
              <w:pStyle w:val="TableContents"/>
              <w:spacing w:before="0" w:after="0"/>
              <w:ind w:left="225" w:right="0" w:hanging="225"/>
              <w:rPr/>
            </w:pPr>
            <w:r>
              <w:rPr/>
              <w:t>Crude oil:</w:t>
            </w:r>
          </w:p>
        </w:tc>
        <w:tc>
          <w:tcPr>
            <w:tcW w:w="404"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63" w:type="dxa"/>
            <w:tcBorders/>
            <w:shd w:fill="CCEEFF"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0"/>
              <w:ind w:left="450" w:right="0" w:hanging="225"/>
              <w:rPr/>
            </w:pPr>
            <w:r>
              <w:rPr/>
              <w:t>Futures contracts</w:t>
            </w:r>
          </w:p>
        </w:tc>
        <w:tc>
          <w:tcPr>
            <w:tcW w:w="40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(33.9</w:t>
            </w:r>
          </w:p>
        </w:tc>
        <w:tc>
          <w:tcPr>
            <w:tcW w:w="342" w:type="dxa"/>
            <w:tcBorders/>
            <w:shd w:fill="auto" w:val="clear"/>
            <w:vAlign w:val="bottom"/>
          </w:tcPr>
          <w:p>
            <w:pPr>
              <w:pStyle w:val="TableContents"/>
              <w:spacing w:before="0" w:after="283"/>
              <w:rPr/>
            </w:pPr>
            <w:r>
              <w:rPr/>
              <w:t>)</w:t>
            </w:r>
          </w:p>
        </w:tc>
        <w:tc>
          <w:tcPr>
            <w:tcW w:w="40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jc w:val="right"/>
              <w:rPr/>
            </w:pPr>
            <w:r>
              <w:rPr/>
              <w:t>$</w:t>
            </w:r>
          </w:p>
        </w:tc>
        <w:tc>
          <w:tcPr>
            <w:tcW w:w="1010" w:type="dxa"/>
            <w:tcBorders/>
            <w:shd w:fill="auto" w:val="clear"/>
            <w:vAlign w:val="bottom"/>
          </w:tcPr>
          <w:p>
            <w:pPr>
              <w:pStyle w:val="TableContents"/>
              <w:spacing w:before="0" w:after="283"/>
              <w:jc w:val="right"/>
              <w:rPr/>
            </w:pPr>
            <w:r>
              <w:rPr/>
              <w:t>(28.6</w:t>
            </w:r>
          </w:p>
        </w:tc>
        <w:tc>
          <w:tcPr>
            <w:tcW w:w="384" w:type="dxa"/>
            <w:tcBorders/>
            <w:shd w:fill="auto" w:val="clear"/>
            <w:vAlign w:val="bottom"/>
          </w:tcPr>
          <w:p>
            <w:pPr>
              <w:pStyle w:val="TableContents"/>
              <w:spacing w:before="0" w:after="283"/>
              <w:rPr/>
            </w:pPr>
            <w:r>
              <w:rPr/>
              <w:t>)</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CCEEFF" w:val="clear"/>
            <w:vAlign w:val="bottom"/>
          </w:tcPr>
          <w:p>
            <w:pPr>
              <w:pStyle w:val="TableContents"/>
              <w:spacing w:before="0" w:after="0"/>
              <w:ind w:left="450" w:right="0" w:hanging="225"/>
              <w:rPr/>
            </w:pPr>
            <w:r>
              <w:rPr/>
              <w:t>Swaps and options contracts</w:t>
            </w:r>
          </w:p>
        </w:tc>
        <w:tc>
          <w:tcPr>
            <w:tcW w:w="404"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(36.9</w:t>
            </w:r>
          </w:p>
        </w:tc>
        <w:tc>
          <w:tcPr>
            <w:tcW w:w="342" w:type="dxa"/>
            <w:tcBorders/>
            <w:shd w:fill="CCEEFF" w:val="clear"/>
            <w:vAlign w:val="bottom"/>
          </w:tcPr>
          <w:p>
            <w:pPr>
              <w:pStyle w:val="TableContents"/>
              <w:spacing w:before="0" w:after="283"/>
              <w:rPr/>
            </w:pPr>
            <w:r>
              <w:rPr/>
              <w:t>)</w:t>
            </w:r>
          </w:p>
        </w:tc>
        <w:tc>
          <w:tcPr>
            <w:tcW w:w="40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jc w:val="right"/>
              <w:rPr/>
            </w:pPr>
            <w:r>
              <w:rPr/>
              <w:t>$</w:t>
            </w:r>
          </w:p>
        </w:tc>
        <w:tc>
          <w:tcPr>
            <w:tcW w:w="1010" w:type="dxa"/>
            <w:tcBorders/>
            <w:shd w:fill="CCEEFF" w:val="clear"/>
            <w:vAlign w:val="bottom"/>
          </w:tcPr>
          <w:p>
            <w:pPr>
              <w:pStyle w:val="TableContents"/>
              <w:spacing w:before="0" w:after="283"/>
              <w:jc w:val="right"/>
              <w:rPr/>
            </w:pPr>
            <w:r>
              <w:rPr/>
              <w:t>(31.1</w:t>
            </w:r>
          </w:p>
        </w:tc>
        <w:tc>
          <w:tcPr>
            <w:tcW w:w="384" w:type="dxa"/>
            <w:tcBorders/>
            <w:shd w:fill="CCEEFF" w:val="clear"/>
            <w:vAlign w:val="bottom"/>
          </w:tcPr>
          <w:p>
            <w:pPr>
              <w:pStyle w:val="TableContents"/>
              <w:spacing w:before="0" w:after="283"/>
              <w:rPr/>
            </w:pPr>
            <w:r>
              <w:rPr/>
              <w:t>)</w:t>
            </w:r>
          </w:p>
        </w:tc>
        <w:tc>
          <w:tcPr>
            <w:tcW w:w="60" w:type="dxa"/>
            <w:tcBorders/>
            <w:shd w:fill="CCEEFF" w:val="clear"/>
          </w:tcPr>
          <w:p>
            <w:pPr>
              <w:pStyle w:val="TableContents"/>
              <w:spacing w:before="0" w:after="283"/>
              <w:rPr>
                <w:sz w:val="4"/>
                <w:szCs w:val="4"/>
              </w:rPr>
            </w:pPr>
            <w:r>
              <w:rPr>
                <w:sz w:val="4"/>
                <w:szCs w:val="4"/>
              </w:rPr>
            </w:r>
          </w:p>
        </w:tc>
        <w:tc>
          <w:tcPr>
            <w:tcW w:w="63" w:type="dxa"/>
            <w:tcBorders/>
            <w:shd w:fill="CCEEFF"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0"/>
              <w:ind w:left="225" w:right="0" w:hanging="225"/>
              <w:rPr/>
            </w:pPr>
            <w:r>
              <w:rPr/>
              <w:t>LPG and other:</w:t>
            </w:r>
          </w:p>
        </w:tc>
        <w:tc>
          <w:tcPr>
            <w:tcW w:w="40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CCEEFF" w:val="clear"/>
            <w:vAlign w:val="bottom"/>
          </w:tcPr>
          <w:p>
            <w:pPr>
              <w:pStyle w:val="TableContents"/>
              <w:spacing w:before="0" w:after="0"/>
              <w:ind w:left="450" w:right="0" w:hanging="225"/>
              <w:rPr/>
            </w:pPr>
            <w:r>
              <w:rPr/>
              <w:t>Futures contracts</w:t>
            </w:r>
          </w:p>
        </w:tc>
        <w:tc>
          <w:tcPr>
            <w:tcW w:w="404"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1.0</w:t>
            </w:r>
          </w:p>
        </w:tc>
        <w:tc>
          <w:tcPr>
            <w:tcW w:w="34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jc w:val="right"/>
              <w:rPr/>
            </w:pPr>
            <w:r>
              <w:rPr/>
              <w:t>$</w:t>
            </w:r>
          </w:p>
        </w:tc>
        <w:tc>
          <w:tcPr>
            <w:tcW w:w="1010" w:type="dxa"/>
            <w:tcBorders/>
            <w:shd w:fill="CCEEFF" w:val="clear"/>
            <w:vAlign w:val="bottom"/>
          </w:tcPr>
          <w:p>
            <w:pPr>
              <w:pStyle w:val="TableContents"/>
              <w:spacing w:before="0" w:after="283"/>
              <w:jc w:val="right"/>
              <w:rPr/>
            </w:pPr>
            <w:r>
              <w:rPr/>
              <w:t>6.4</w:t>
            </w:r>
          </w:p>
        </w:tc>
        <w:tc>
          <w:tcPr>
            <w:tcW w:w="38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63" w:type="dxa"/>
            <w:tcBorders/>
            <w:shd w:fill="CCEEFF" w:val="clear"/>
          </w:tcPr>
          <w:p>
            <w:pPr>
              <w:pStyle w:val="TableContents"/>
              <w:spacing w:before="0" w:after="283"/>
              <w:rPr>
                <w:sz w:val="4"/>
                <w:szCs w:val="4"/>
              </w:rPr>
            </w:pPr>
            <w:r>
              <w:rPr>
                <w:sz w:val="4"/>
                <w:szCs w:val="4"/>
              </w:rPr>
            </w:r>
          </w:p>
        </w:tc>
      </w:tr>
      <w:tr>
        <w:trPr/>
        <w:tc>
          <w:tcPr>
            <w:tcW w:w="5882" w:type="dxa"/>
            <w:tcBorders/>
            <w:shd w:fill="auto" w:val="clear"/>
            <w:vAlign w:val="bottom"/>
          </w:tcPr>
          <w:p>
            <w:pPr>
              <w:pStyle w:val="TableContents"/>
              <w:spacing w:before="0" w:after="0"/>
              <w:ind w:left="450" w:right="0" w:hanging="225"/>
              <w:rPr/>
            </w:pPr>
            <w:r>
              <w:rPr/>
              <w:t>Swaps and options contracts</w:t>
            </w:r>
          </w:p>
        </w:tc>
        <w:tc>
          <w:tcPr>
            <w:tcW w:w="404"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pPr>
            <w:r>
              <w:rPr/>
              <w:t>$</w:t>
            </w:r>
          </w:p>
        </w:tc>
        <w:tc>
          <w:tcPr>
            <w:tcW w:w="788" w:type="dxa"/>
            <w:tcBorders/>
            <w:shd w:fill="auto" w:val="clear"/>
            <w:vAlign w:val="bottom"/>
          </w:tcPr>
          <w:p>
            <w:pPr>
              <w:pStyle w:val="TableContents"/>
              <w:spacing w:before="0" w:after="283"/>
              <w:jc w:val="right"/>
              <w:rPr/>
            </w:pPr>
            <w:r>
              <w:rPr/>
              <w:t>20.7</w:t>
            </w:r>
          </w:p>
        </w:tc>
        <w:tc>
          <w:tcPr>
            <w:tcW w:w="34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jc w:val="right"/>
              <w:rPr/>
            </w:pPr>
            <w:r>
              <w:rPr/>
              <w:t>$</w:t>
            </w:r>
          </w:p>
        </w:tc>
        <w:tc>
          <w:tcPr>
            <w:tcW w:w="1010" w:type="dxa"/>
            <w:tcBorders/>
            <w:shd w:fill="auto" w:val="clear"/>
            <w:vAlign w:val="bottom"/>
          </w:tcPr>
          <w:p>
            <w:pPr>
              <w:pStyle w:val="TableContents"/>
              <w:spacing w:before="0" w:after="283"/>
              <w:jc w:val="right"/>
              <w:rPr/>
            </w:pPr>
            <w:r>
              <w:rPr/>
              <w:t>12.8</w:t>
            </w:r>
          </w:p>
        </w:tc>
        <w:tc>
          <w:tcPr>
            <w:tcW w:w="38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3" w:type="dxa"/>
            <w:tcBorders/>
            <w:shd w:fill="auto" w:val="clear"/>
          </w:tcPr>
          <w:p>
            <w:pPr>
              <w:pStyle w:val="TableContents"/>
              <w:spacing w:before="0" w:after="283"/>
              <w:rPr>
                <w:sz w:val="4"/>
                <w:szCs w:val="4"/>
              </w:rPr>
            </w:pPr>
            <w:r>
              <w:rPr>
                <w:sz w:val="4"/>
                <w:szCs w:val="4"/>
              </w:rPr>
            </w:r>
          </w:p>
        </w:tc>
      </w:tr>
      <w:tr>
        <w:trPr/>
        <w:tc>
          <w:tcPr>
            <w:tcW w:w="5882" w:type="dxa"/>
            <w:tcBorders/>
            <w:shd w:fill="auto" w:val="clear"/>
            <w:vAlign w:val="center"/>
          </w:tcPr>
          <w:p>
            <w:pPr>
              <w:pStyle w:val="TableContents"/>
              <w:spacing w:before="0" w:after="0"/>
              <w:ind w:left="450" w:right="0" w:hanging="225"/>
              <w:rPr/>
            </w:pPr>
            <w:r>
              <w:rPr/>
              <w:t> </w:t>
            </w:r>
          </w:p>
        </w:tc>
        <w:tc>
          <w:tcPr>
            <w:tcW w:w="404" w:type="dxa"/>
            <w:tcBorders/>
            <w:shd w:fill="auto" w:val="clear"/>
            <w:vAlign w:val="center"/>
          </w:tcPr>
          <w:p>
            <w:pPr>
              <w:pStyle w:val="TableContents"/>
              <w:spacing w:before="0" w:after="283"/>
              <w:rPr/>
            </w:pPr>
            <w:r>
              <w:rPr/>
              <w:t> </w:t>
            </w:r>
          </w:p>
        </w:tc>
        <w:tc>
          <w:tcPr>
            <w:tcW w:w="11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42" w:type="dxa"/>
            <w:tcBorders/>
            <w:shd w:fill="auto" w:val="clear"/>
            <w:vAlign w:val="center"/>
          </w:tcPr>
          <w:p>
            <w:pPr>
              <w:pStyle w:val="TableContents"/>
              <w:spacing w:before="0" w:after="283"/>
              <w:rPr/>
            </w:pPr>
            <w:r>
              <w:rPr/>
              <w:t> </w:t>
            </w:r>
          </w:p>
        </w:tc>
        <w:tc>
          <w:tcPr>
            <w:tcW w:w="40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139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5882" w:type="dxa"/>
            <w:tcBorders/>
            <w:shd w:fill="CCEEFF" w:val="clear"/>
            <w:vAlign w:val="bottom"/>
          </w:tcPr>
          <w:p>
            <w:pPr>
              <w:pStyle w:val="TableContents"/>
              <w:spacing w:before="0" w:after="0"/>
              <w:ind w:left="225" w:right="0" w:hanging="225"/>
              <w:rPr/>
            </w:pPr>
            <w:r>
              <w:rPr/>
              <w:t>Total Fair Value</w:t>
            </w:r>
          </w:p>
        </w:tc>
        <w:tc>
          <w:tcPr>
            <w:tcW w:w="404"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pPr>
            <w:r>
              <w:rPr/>
              <w:t>$</w:t>
            </w:r>
          </w:p>
        </w:tc>
        <w:tc>
          <w:tcPr>
            <w:tcW w:w="788" w:type="dxa"/>
            <w:tcBorders/>
            <w:shd w:fill="CCEEFF" w:val="clear"/>
            <w:vAlign w:val="bottom"/>
          </w:tcPr>
          <w:p>
            <w:pPr>
              <w:pStyle w:val="TableContents"/>
              <w:spacing w:before="0" w:after="283"/>
              <w:jc w:val="right"/>
              <w:rPr/>
            </w:pPr>
            <w:r>
              <w:rPr/>
              <w:t>(49.1</w:t>
            </w:r>
          </w:p>
        </w:tc>
        <w:tc>
          <w:tcPr>
            <w:tcW w:w="342" w:type="dxa"/>
            <w:tcBorders/>
            <w:shd w:fill="CCEEFF" w:val="clear"/>
            <w:vAlign w:val="bottom"/>
          </w:tcPr>
          <w:p>
            <w:pPr>
              <w:pStyle w:val="TableContents"/>
              <w:spacing w:before="0" w:after="283"/>
              <w:rPr/>
            </w:pPr>
            <w:r>
              <w:rPr/>
              <w:t>)</w:t>
            </w:r>
          </w:p>
        </w:tc>
        <w:tc>
          <w:tcPr>
            <w:tcW w:w="404"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3" w:type="dxa"/>
            <w:gridSpan w:val="2"/>
            <w:tcBorders/>
            <w:shd w:fill="CCEEFF" w:val="clear"/>
          </w:tcPr>
          <w:p>
            <w:pPr>
              <w:pStyle w:val="TableContents"/>
              <w:spacing w:before="0" w:after="283"/>
              <w:rPr>
                <w:sz w:val="4"/>
                <w:szCs w:val="4"/>
              </w:rPr>
            </w:pPr>
            <w:r>
              <w:rPr>
                <w:sz w:val="4"/>
                <w:szCs w:val="4"/>
              </w:rPr>
            </w:r>
          </w:p>
        </w:tc>
      </w:tr>
      <w:tr>
        <w:trPr/>
        <w:tc>
          <w:tcPr>
            <w:tcW w:w="5882" w:type="dxa"/>
            <w:tcBorders/>
            <w:shd w:fill="auto" w:val="clear"/>
            <w:vAlign w:val="center"/>
          </w:tcPr>
          <w:p>
            <w:pPr>
              <w:pStyle w:val="TableContents"/>
              <w:spacing w:before="0" w:after="0"/>
              <w:ind w:left="450" w:right="0" w:hanging="225"/>
              <w:rPr/>
            </w:pPr>
            <w:r>
              <w:rPr/>
              <w:t> </w:t>
            </w:r>
          </w:p>
        </w:tc>
        <w:tc>
          <w:tcPr>
            <w:tcW w:w="404" w:type="dxa"/>
            <w:tcBorders/>
            <w:shd w:fill="auto" w:val="clear"/>
            <w:vAlign w:val="center"/>
          </w:tcPr>
          <w:p>
            <w:pPr>
              <w:pStyle w:val="TableContents"/>
              <w:spacing w:before="0" w:after="283"/>
              <w:rPr/>
            </w:pPr>
            <w:r>
              <w:rPr/>
              <w:t> </w:t>
            </w:r>
          </w:p>
        </w:tc>
        <w:tc>
          <w:tcPr>
            <w:tcW w:w="11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42" w:type="dxa"/>
            <w:tcBorders/>
            <w:shd w:fill="auto" w:val="clear"/>
            <w:vAlign w:val="center"/>
          </w:tcPr>
          <w:p>
            <w:pPr>
              <w:pStyle w:val="TableContents"/>
              <w:spacing w:before="0" w:after="283"/>
              <w:rPr/>
            </w:pPr>
            <w:r>
              <w:rPr/>
              <w:t> </w:t>
            </w:r>
          </w:p>
        </w:tc>
        <w:tc>
          <w:tcPr>
            <w:tcW w:w="404"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1394"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Interest Rate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our senior notes are fixed-rate notes and thus not subject to market risk. Our variable-rate debt bears interest at LIBOR, prime or the bankers acceptance rate plus the applicable margin. Our variable-rate debt at June 30, 2007 was $887.6 million and is expected to mature in 2007. The average interest rate of 5.8% is based upon rates in effect at June 30, 2007. The carrying values of the variable-rate instruments in our credit facilities approximate fair value primarily because interest rates fluctuate with prevailing market rates, and the credit spread on outstanding borrowings reflects market. </w:t>
      </w:r>
    </w:p>
    <w:p>
      <w:pPr>
        <w:pStyle w:val="TextBody"/>
        <w:spacing w:before="120" w:after="283"/>
        <w:jc w:val="left"/>
        <w:rPr/>
      </w:pPr>
      <w:r>
        <w:rPr/>
        <w:t>     </w:t>
      </w:r>
      <w:r>
        <w:rPr>
          <w:rFonts w:ascii="Times New Roman;Times;serif" w:hAnsi="Times New Roman;Times;serif"/>
          <w:sz w:val="17"/>
        </w:rPr>
        <w:t xml:space="preserve">Additionally, in connection with the Pacific acquisition in 2006, we assumed interest rate swaps with an aggregate notional amount of $80 million. The interest rate swaps are a hedge against changes in the fair value of the 7.125% Senior Notes resulting from market fluctuations to LIBOR. See Note 9 to our Condensed Consolidated Financial Statements for additional information.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Currency Exchange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 Because a significant portion of our Canadian business is conducted in Canadian dollars, we use certain financial instruments to minimize the risks of changes in the exchange rate. These instruments may include forward exchange contracts and options. The fair value of these instruments based on current termination values is approximately $1.8 million as of June 30, 2007. The majority of our open foreign exchange positions as of June 30, 2007 will settle during the remaining six months of 2007.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 </w:t>
      </w:r>
    </w:p>
    <w:p>
      <w:pPr>
        <w:pStyle w:val="TextBody"/>
        <w:spacing w:before="120" w:after="283"/>
        <w:jc w:val="left"/>
        <w:rPr/>
      </w:pPr>
      <w:r>
        <w:rPr/>
        <w:t>     </w:t>
      </w:r>
      <w:r>
        <w:rPr>
          <w:rFonts w:ascii="Times New Roman;Times;serif" w:hAnsi="Times New Roman;Times;serif"/>
          <w:sz w:val="17"/>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June 30, 2007,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spacing w:before="120" w:after="283"/>
        <w:jc w:val="left"/>
        <w:rPr/>
      </w:pPr>
      <w:r>
        <w:rPr/>
        <w:t>     </w:t>
      </w:r>
      <w:r>
        <w:rPr>
          <w:rFonts w:ascii="Times New Roman;Times;serif" w:hAnsi="Times New Roman;Times;serif"/>
          <w:sz w:val="17"/>
        </w:rPr>
        <w:t xml:space="preserve">SEC rules also require an annual evaluation of the effectiveness of our internal control over financial reporting (internal control), and a quarterly evaluation of any changes in our internal control. In the course of such evaluations, we have made changes, and will continue to make changes, to refine and improve our internal control. We are required to disclose any change in our internal control that occurred during the quarter that has materially affected, or is reasonably likely to materially affect, our internal control. As a result of their evaluation of changes in internal control, management identified no changes during the second quarter of 2007 that materially affected, or would be reasonably likely to materially affect, our internal control. </w:t>
      </w:r>
    </w:p>
    <w:p>
      <w:pPr>
        <w:pStyle w:val="TextBody"/>
        <w:spacing w:before="120" w:after="283"/>
        <w:jc w:val="left"/>
        <w:rPr/>
      </w:pPr>
      <w:r>
        <w:rPr/>
        <w:t>     </w:t>
      </w:r>
      <w:r>
        <w:rPr>
          <w:rFonts w:ascii="Times New Roman;Times;serif" w:hAnsi="Times New Roman;Times;serif"/>
          <w:sz w:val="17"/>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spacing w:before="360" w:after="283"/>
        <w:jc w:val="center"/>
        <w:rPr>
          <w:rFonts w:ascii="Times New Roman;Times;serif" w:hAnsi="Times New Roman;Times;serif"/>
          <w:sz w:val="17"/>
        </w:rPr>
      </w:pPr>
      <w:bookmarkStart w:id="15" w:name="113"/>
      <w:bookmarkEnd w:id="15"/>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6" w:name="114"/>
      <w:bookmarkEnd w:id="16"/>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Condensed Consolidated Financial Statements. </w:t>
      </w:r>
    </w:p>
    <w:p>
      <w:pPr>
        <w:pStyle w:val="TextBody"/>
        <w:spacing w:before="240" w:after="283"/>
        <w:jc w:val="left"/>
        <w:rPr>
          <w:rFonts w:ascii="Times New Roman;Times;serif" w:hAnsi="Times New Roman;Times;serif"/>
          <w:sz w:val="17"/>
        </w:rPr>
      </w:pPr>
      <w:bookmarkStart w:id="17" w:name="115"/>
      <w:bookmarkEnd w:id="17"/>
      <w:r>
        <w:rPr>
          <w:rFonts w:ascii="Times New Roman;Times;serif" w:hAnsi="Times New Roman;Times;serif"/>
          <w:b/>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We have adopted certain valuation methodologies that may result in a shift of income, gain, loss and deduction between our general partner and our unitholders. The IRS may challenge this treatment, which could adversely affect the value of our common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 </w:t>
      </w:r>
    </w:p>
    <w:p>
      <w:pPr>
        <w:pStyle w:val="TextBody"/>
        <w:spacing w:before="120" w:after="283"/>
        <w:jc w:val="left"/>
        <w:rPr/>
      </w:pPr>
      <w:r>
        <w:rPr/>
        <w:t>     </w:t>
      </w:r>
      <w:r>
        <w:rPr>
          <w:rFonts w:ascii="Times New Roman;Times;serif" w:hAnsi="Times New Roman;Times;serif"/>
          <w:sz w:val="17"/>
        </w:rPr>
        <w:t xml:space="preserve">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 </w:t>
      </w:r>
    </w:p>
    <w:p>
      <w:pPr>
        <w:pStyle w:val="TextBody"/>
        <w:spacing w:before="120" w:after="283"/>
        <w:jc w:val="left"/>
        <w:rPr/>
      </w:pPr>
      <w:r>
        <w:rPr/>
        <w:t>     </w:t>
      </w:r>
      <w:r>
        <w:rPr>
          <w:rFonts w:ascii="Times New Roman;Times;serif" w:hAnsi="Times New Roman;Times;serif"/>
          <w:sz w:val="17"/>
        </w:rPr>
        <w:t xml:space="preserve">For a discussion regarding additional risk factors, see Item 1A of our 2006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 </w:t>
      </w:r>
    </w:p>
    <w:p>
      <w:pPr>
        <w:pStyle w:val="TextBody"/>
        <w:spacing w:before="240" w:after="283"/>
        <w:jc w:val="left"/>
        <w:rPr>
          <w:rFonts w:ascii="Times New Roman;Times;serif" w:hAnsi="Times New Roman;Times;serif"/>
          <w:sz w:val="17"/>
        </w:rPr>
      </w:pPr>
      <w:bookmarkStart w:id="18" w:name="116"/>
      <w:bookmarkEnd w:id="18"/>
      <w:r>
        <w:rPr>
          <w:rFonts w:ascii="Times New Roman;Times;serif" w:hAnsi="Times New Roman;Times;serif"/>
          <w:b/>
          <w:sz w:val="17"/>
        </w:rPr>
        <w:t>Item 2. UNREGISTERED SALES OF EQUITY SECURITIES AND USE OF PROCEEDS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19" w:name="117"/>
      <w:bookmarkEnd w:id="19"/>
      <w:r>
        <w:rPr>
          <w:rFonts w:ascii="Times New Roman;Times;serif" w:hAnsi="Times New Roman;Times;serif"/>
          <w:b/>
          <w:sz w:val="17"/>
        </w:rPr>
        <w:t>Item 3. DEFAULTS UPON SENIOR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0" w:name="118"/>
      <w:bookmarkEnd w:id="20"/>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240" w:after="283"/>
        <w:jc w:val="left"/>
        <w:rPr>
          <w:rFonts w:ascii="Times New Roman;Times;serif" w:hAnsi="Times New Roman;Times;serif"/>
          <w:sz w:val="17"/>
        </w:rPr>
      </w:pPr>
      <w:bookmarkStart w:id="21" w:name="119"/>
      <w:bookmarkEnd w:id="21"/>
      <w:r>
        <w:rPr>
          <w:rFonts w:ascii="Times New Roman;Times;serif" w:hAnsi="Times New Roman;Times;serif"/>
          <w:b/>
          <w:sz w:val="17"/>
        </w:rPr>
        <w:t>Item 5. OTHER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2" w:name="120"/>
      <w:bookmarkEnd w:id="22"/>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92"/>
        <w:gridCol w:w="214"/>
        <w:gridCol w:w="205"/>
        <w:gridCol w:w="214"/>
        <w:gridCol w:w="8780"/>
      </w:tblGrid>
      <w:tr>
        <w:trPr/>
        <w:tc>
          <w:tcPr>
            <w:tcW w:w="79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vAlign w:val="bottom"/>
          </w:tcPr>
          <w:p>
            <w:pPr>
              <w:pStyle w:val="TableContents"/>
              <w:spacing w:before="0" w:after="283"/>
              <w:rPr/>
            </w:pPr>
            <w:r>
              <w:rPr/>
              <w:t> </w:t>
            </w:r>
          </w:p>
        </w:tc>
      </w:tr>
      <w:tr>
        <w:trPr/>
        <w:tc>
          <w:tcPr>
            <w:tcW w:w="792" w:type="dxa"/>
            <w:tcBorders/>
            <w:shd w:fill="auto" w:val="clear"/>
          </w:tcPr>
          <w:p>
            <w:pPr>
              <w:pStyle w:val="TableContents"/>
              <w:spacing w:before="0" w:after="0"/>
              <w:ind w:left="0" w:right="0" w:hanging="0"/>
              <w:rPr/>
            </w:pPr>
            <w:r>
              <w:rPr/>
              <w:t xml:space="preserve">3.1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3.2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3.3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3.4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3.5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3.6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3.7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3.8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3.9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3.10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3.11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4.2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4.3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4.4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4.5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93"/>
        <w:gridCol w:w="213"/>
        <w:gridCol w:w="206"/>
        <w:gridCol w:w="213"/>
        <w:gridCol w:w="8780"/>
      </w:tblGrid>
      <w:tr>
        <w:trPr/>
        <w:tc>
          <w:tcPr>
            <w:tcW w:w="79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vAlign w:val="bottom"/>
          </w:tcPr>
          <w:p>
            <w:pPr>
              <w:pStyle w:val="TableContents"/>
              <w:spacing w:before="0" w:after="283"/>
              <w:rPr/>
            </w:pPr>
            <w:r>
              <w:rPr/>
              <w:t> </w:t>
            </w:r>
          </w:p>
        </w:tc>
      </w:tr>
      <w:tr>
        <w:trPr/>
        <w:tc>
          <w:tcPr>
            <w:tcW w:w="793" w:type="dxa"/>
            <w:tcBorders/>
            <w:shd w:fill="auto" w:val="clear"/>
          </w:tcPr>
          <w:p>
            <w:pPr>
              <w:pStyle w:val="TableContents"/>
              <w:spacing w:before="0" w:after="0"/>
              <w:ind w:left="0" w:right="0" w:hanging="0"/>
              <w:rPr/>
            </w:pPr>
            <w:r>
              <w:rPr/>
              <w:t xml:space="preserve">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No. 333-121168).</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4.6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4.7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4.8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4.9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4.10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4.11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4.12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4.13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 1 / 8% senior notes due 2014 (incorporated by reference to Exhibit 4.21 to Pacifics Quarterly Report on Form 10-Q for the quarter ended June 30, 2004).</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4.14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 1/8% senior notes due 2014 (incorporated by reference to Exhibit 4.1 to Pacifics Current Report on Form 8-K filed March 9, 2005).</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4.15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 1/8% senior notes due 2014 (incorporated by reference to Exhibit 4.17 to the Annual Report on Form 10-K for the year ended December 31,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4.16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891"/>
        <w:gridCol w:w="211"/>
        <w:gridCol w:w="204"/>
        <w:gridCol w:w="211"/>
        <w:gridCol w:w="8688"/>
      </w:tblGrid>
      <w:tr>
        <w:trPr/>
        <w:tc>
          <w:tcPr>
            <w:tcW w:w="89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vAlign w:val="bottom"/>
          </w:tcPr>
          <w:p>
            <w:pPr>
              <w:pStyle w:val="TableContents"/>
              <w:spacing w:before="0" w:after="283"/>
              <w:rPr/>
            </w:pPr>
            <w:r>
              <w:rPr/>
              <w:t> </w:t>
            </w:r>
          </w:p>
        </w:tc>
      </w:tr>
      <w:tr>
        <w:trPr/>
        <w:tc>
          <w:tcPr>
            <w:tcW w:w="891" w:type="dxa"/>
            <w:tcBorders/>
            <w:shd w:fill="auto" w:val="clear"/>
          </w:tcPr>
          <w:p>
            <w:pPr>
              <w:pStyle w:val="TableContents"/>
              <w:spacing w:before="0" w:after="0"/>
              <w:ind w:left="0" w:right="0" w:hanging="0"/>
              <w:rPr/>
            </w:pPr>
            <w:r>
              <w:rPr/>
              <w:t xml:space="preserve">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4.17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 1/4% senior notes due 2015 (incorporated by reference to Exhibit 4.1 to Pacifics Current Report on Form 8-K filed September 28, 2005).</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4.18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10.1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Joinder and Supplement dated effective June 20, 2007 among the Lenders party thereto, relating to the Restated Credit Facility dated November 19, 2004, as amended.</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10.2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First Amendment dated July 31, 2007 to the Second Amended and Restated Credit Agreement [US/Canada Facilities] (incorporated by reference to Exhibit 10.1 to the Current Report on Form 8-K filed August 6, 2007).</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31.1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31.2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*32.1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Executive Officer pursuant to 18 U.S.C. 1350.</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*32.2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Filed herewith.</w:t>
            </w:r>
          </w:p>
        </w:tc>
      </w:tr>
      <w:tr>
        <w:trPr/>
        <w:tc>
          <w:tcPr>
            <w:tcW w:w="6929" w:type="dxa"/>
            <w:tcBorders/>
            <w:shd w:fill="auto" w:val="clear"/>
            <w:vAlign w:val="center"/>
          </w:tcPr>
          <w:p>
            <w:pPr>
              <w:pStyle w:val="TableContents"/>
              <w:spacing w:before="0" w:after="283"/>
              <w:rPr/>
            </w:pPr>
            <w:r>
              <w:rPr/>
              <w:t> </w:t>
            </w:r>
          </w:p>
        </w:tc>
        <w:tc>
          <w:tcPr>
            <w:tcW w:w="3276" w:type="dxa"/>
            <w:gridSpan w:val="2"/>
            <w:tcBorders/>
            <w:shd w:fill="auto" w:val="clea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Furnished herewith.</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3" w:name="121"/>
      <w:bookmarkEnd w:id="23"/>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3904"/>
        <w:gridCol w:w="116"/>
        <w:gridCol w:w="307"/>
        <w:gridCol w:w="116"/>
        <w:gridCol w:w="4325"/>
        <w:gridCol w:w="116"/>
        <w:gridCol w:w="1321"/>
      </w:tblGrid>
      <w:tr>
        <w:trPr/>
        <w:tc>
          <w:tcPr>
            <w:tcW w:w="390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748" w:type="dxa"/>
            <w:gridSpan w:val="3"/>
            <w:tcBorders/>
            <w:shd w:fill="auto" w:val="clear"/>
          </w:tcPr>
          <w:p>
            <w:pPr>
              <w:pStyle w:val="TableContents"/>
              <w:spacing w:before="0" w:after="283"/>
              <w:jc w:val="left"/>
              <w:rPr/>
            </w:pPr>
            <w:r>
              <w:rPr/>
              <w:t>PLAINS ALL AMERICAN PIPELINE, L.P.</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xml:space="preserve">PLAINS AAP, L.P., its general partner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PLAINS ALL AMERICAN GP LLC, its</w:t>
              <w:br/>
              <w:t>general partner</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Date: August 9, 2007</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pPr>
            <w:r>
              <w:rPr/>
              <w:t>/s/ GREG L. ARMSTRONG</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325" w:type="dxa"/>
            <w:tcBorders>
              <w:top w:val="single" w:sz="2" w:space="0" w:color="000000"/>
            </w:tcBorders>
            <w:shd w:fill="auto" w:val="clear"/>
            <w:tcMar>
              <w:top w:w="28" w:type="dxa"/>
            </w:tcM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pPr>
            <w:r>
              <w:rPr/>
              <w:t xml:space="preserve">Greg L. Armstrong, </w:t>
            </w:r>
            <w:r>
              <w:rPr>
                <w:i/>
              </w:rPr>
              <w:t>Chairman of the Board,</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i/>
              </w:rPr>
            </w:pPr>
            <w:r>
              <w:rPr>
                <w:i/>
              </w:rPr>
              <w:t>Chief Executive Officer and Director (Principal</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i/>
              </w:rPr>
            </w:pPr>
            <w:r>
              <w:rPr>
                <w:i/>
              </w:rPr>
              <w:t>Executive Officer)</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Date: August 9, 2007</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pPr>
            <w:r>
              <w:rPr/>
              <w:t>/s/ PHIL KRAMER</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325" w:type="dxa"/>
            <w:tcBorders>
              <w:top w:val="single" w:sz="2" w:space="0" w:color="000000"/>
            </w:tcBorders>
            <w:shd w:fill="auto" w:val="clear"/>
            <w:tcMar>
              <w:top w:w="28" w:type="dxa"/>
            </w:tcM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pPr>
            <w:r>
              <w:rPr/>
              <w:t xml:space="preserve">Phil Kramer, </w:t>
            </w:r>
            <w:r>
              <w:rPr>
                <w:i/>
              </w:rPr>
              <w:t>Executive Vice President and</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i/>
              </w:rPr>
            </w:pPr>
            <w:r>
              <w:rPr>
                <w:i/>
              </w:rPr>
              <w:t>Chief Financial Officer (Principal Financial</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r>
        <w:trPr/>
        <w:tc>
          <w:tcPr>
            <w:tcW w:w="3904"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325" w:type="dxa"/>
            <w:tcBorders/>
            <w:shd w:fill="auto" w:val="clear"/>
          </w:tcPr>
          <w:p>
            <w:pPr>
              <w:pStyle w:val="TableContents"/>
              <w:spacing w:before="0" w:after="283"/>
              <w:jc w:val="center"/>
              <w:rPr>
                <w:i/>
              </w:rPr>
            </w:pPr>
            <w:r>
              <w:rPr>
                <w:i/>
              </w:rPr>
              <w:t>Officer)</w:t>
            </w:r>
          </w:p>
        </w:tc>
        <w:tc>
          <w:tcPr>
            <w:tcW w:w="116" w:type="dxa"/>
            <w:tcBorders/>
            <w:shd w:fill="auto" w:val="clear"/>
            <w:vAlign w:val="bottom"/>
          </w:tcPr>
          <w:p>
            <w:pPr>
              <w:pStyle w:val="TableContents"/>
              <w:spacing w:before="0" w:after="283"/>
              <w:rPr/>
            </w:pPr>
            <w:r>
              <w:rPr/>
              <w:t> </w:t>
            </w:r>
          </w:p>
        </w:tc>
        <w:tc>
          <w:tcPr>
            <w:tcW w:w="1321"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92"/>
        <w:gridCol w:w="214"/>
        <w:gridCol w:w="205"/>
        <w:gridCol w:w="214"/>
        <w:gridCol w:w="8780"/>
      </w:tblGrid>
      <w:tr>
        <w:trPr/>
        <w:tc>
          <w:tcPr>
            <w:tcW w:w="79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vAlign w:val="bottom"/>
          </w:tcPr>
          <w:p>
            <w:pPr>
              <w:pStyle w:val="TableContents"/>
              <w:spacing w:before="0" w:after="283"/>
              <w:rPr/>
            </w:pPr>
            <w:r>
              <w:rPr/>
              <w:t> </w:t>
            </w:r>
          </w:p>
        </w:tc>
      </w:tr>
      <w:tr>
        <w:trPr/>
        <w:tc>
          <w:tcPr>
            <w:tcW w:w="792" w:type="dxa"/>
            <w:tcBorders/>
            <w:shd w:fill="auto" w:val="clear"/>
          </w:tcPr>
          <w:p>
            <w:pPr>
              <w:pStyle w:val="TableContents"/>
              <w:spacing w:before="0" w:after="0"/>
              <w:ind w:left="0" w:right="0" w:hanging="0"/>
              <w:rPr/>
            </w:pPr>
            <w:r>
              <w:rPr/>
              <w:t xml:space="preserve">3.1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3.2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3.3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3.4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3.5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3.6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3.7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3.8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3.9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3.10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3.11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4.1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4.2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4.3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4.4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792" w:type="dxa"/>
            <w:tcBorders/>
            <w:shd w:fill="auto" w:val="clea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2" w:type="dxa"/>
            <w:tcBorders/>
            <w:shd w:fill="auto" w:val="clear"/>
          </w:tcPr>
          <w:p>
            <w:pPr>
              <w:pStyle w:val="TableContents"/>
              <w:spacing w:before="0" w:after="0"/>
              <w:ind w:left="0" w:right="0" w:hanging="0"/>
              <w:rPr/>
            </w:pPr>
            <w:r>
              <w:rPr/>
              <w:t xml:space="preserve">4.5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jc w:val="center"/>
              <w:rPr/>
            </w:pPr>
            <w:r>
              <w:rPr/>
              <w:t xml:space="preserve"> </w:t>
            </w:r>
          </w:p>
        </w:tc>
        <w:tc>
          <w:tcPr>
            <w:tcW w:w="214"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93"/>
        <w:gridCol w:w="213"/>
        <w:gridCol w:w="206"/>
        <w:gridCol w:w="213"/>
        <w:gridCol w:w="8780"/>
      </w:tblGrid>
      <w:tr>
        <w:trPr/>
        <w:tc>
          <w:tcPr>
            <w:tcW w:w="79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vAlign w:val="bottom"/>
          </w:tcPr>
          <w:p>
            <w:pPr>
              <w:pStyle w:val="TableContents"/>
              <w:spacing w:before="0" w:after="283"/>
              <w:rPr/>
            </w:pPr>
            <w:r>
              <w:rPr/>
              <w:t> </w:t>
            </w:r>
          </w:p>
        </w:tc>
      </w:tr>
      <w:tr>
        <w:trPr/>
        <w:tc>
          <w:tcPr>
            <w:tcW w:w="793" w:type="dxa"/>
            <w:tcBorders/>
            <w:shd w:fill="auto" w:val="clear"/>
          </w:tcPr>
          <w:p>
            <w:pPr>
              <w:pStyle w:val="TableContents"/>
              <w:spacing w:before="0" w:after="0"/>
              <w:ind w:left="0" w:right="0" w:hanging="0"/>
              <w:rPr/>
            </w:pPr>
            <w:r>
              <w:rPr/>
              <w:t xml:space="preserve">4.6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4.7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4.8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4.9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4.10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4.11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4.12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4.13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 1/8% senior notes due 2014 (incorporated by reference to Exhibit 4.21 to Pacifics Quarterly Report on Form 10-Q for the quarter ended June 30, 2004).</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4.14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 1/8% senior notes due 2014 (incorporated by reference to Exhibit 4.1 to Pacifics Current Report on Form 8-K filed March 9, 2005).</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4.15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 1/8% senior notes due 2014 (incorporated by reference to Exhibit 4.17 to the Annual Report on Form 10-K for the year ended December 31, 2006).</w:t>
            </w:r>
          </w:p>
        </w:tc>
      </w:tr>
      <w:tr>
        <w:trPr/>
        <w:tc>
          <w:tcPr>
            <w:tcW w:w="793" w:type="dxa"/>
            <w:tcBorders/>
            <w:shd w:fill="auto" w:val="clear"/>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 </w:t>
            </w:r>
          </w:p>
        </w:tc>
      </w:tr>
      <w:tr>
        <w:trPr/>
        <w:tc>
          <w:tcPr>
            <w:tcW w:w="793" w:type="dxa"/>
            <w:tcBorders/>
            <w:shd w:fill="auto" w:val="clear"/>
          </w:tcPr>
          <w:p>
            <w:pPr>
              <w:pStyle w:val="TableContents"/>
              <w:spacing w:before="0" w:after="0"/>
              <w:ind w:left="0" w:right="0" w:hanging="0"/>
              <w:rPr/>
            </w:pPr>
            <w:r>
              <w:rPr/>
              <w:t xml:space="preserve">4.16 </w:t>
            </w:r>
          </w:p>
        </w:tc>
        <w:tc>
          <w:tcPr>
            <w:tcW w:w="213" w:type="dxa"/>
            <w:tcBorders/>
            <w:shd w:fill="auto" w:val="clear"/>
            <w:vAlign w:val="bottom"/>
          </w:tcPr>
          <w:p>
            <w:pPr>
              <w:pStyle w:val="TableContents"/>
              <w:spacing w:before="0" w:after="283"/>
              <w:rPr/>
            </w:pPr>
            <w:r>
              <w:rPr/>
              <w:t> </w:t>
            </w:r>
          </w:p>
        </w:tc>
        <w:tc>
          <w:tcPr>
            <w:tcW w:w="206" w:type="dxa"/>
            <w:tcBorders/>
            <w:shd w:fill="auto" w:val="clear"/>
          </w:tcPr>
          <w:p>
            <w:pPr>
              <w:pStyle w:val="TableContents"/>
              <w:spacing w:before="0" w:after="283"/>
              <w:jc w:val="center"/>
              <w:rPr/>
            </w:pPr>
            <w:r>
              <w:rPr/>
              <w:t xml:space="preserve"> </w:t>
            </w:r>
          </w:p>
        </w:tc>
        <w:tc>
          <w:tcPr>
            <w:tcW w:w="213" w:type="dxa"/>
            <w:tcBorders/>
            <w:shd w:fill="auto" w:val="clear"/>
            <w:vAlign w:val="bottom"/>
          </w:tcPr>
          <w:p>
            <w:pPr>
              <w:pStyle w:val="TableContents"/>
              <w:spacing w:before="0" w:after="283"/>
              <w:rPr/>
            </w:pPr>
            <w:r>
              <w:rPr/>
              <w:t> </w:t>
            </w:r>
          </w:p>
        </w:tc>
        <w:tc>
          <w:tcPr>
            <w:tcW w:w="8780"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891"/>
        <w:gridCol w:w="211"/>
        <w:gridCol w:w="204"/>
        <w:gridCol w:w="211"/>
        <w:gridCol w:w="8688"/>
      </w:tblGrid>
      <w:tr>
        <w:trPr/>
        <w:tc>
          <w:tcPr>
            <w:tcW w:w="89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vAlign w:val="bottom"/>
          </w:tcPr>
          <w:p>
            <w:pPr>
              <w:pStyle w:val="TableContents"/>
              <w:spacing w:before="0" w:after="283"/>
              <w:rPr/>
            </w:pPr>
            <w:r>
              <w:rPr/>
              <w:t> </w:t>
            </w:r>
          </w:p>
        </w:tc>
      </w:tr>
      <w:tr>
        <w:trPr/>
        <w:tc>
          <w:tcPr>
            <w:tcW w:w="891" w:type="dxa"/>
            <w:tcBorders/>
            <w:shd w:fill="auto" w:val="clear"/>
          </w:tcPr>
          <w:p>
            <w:pPr>
              <w:pStyle w:val="TableContents"/>
              <w:spacing w:before="0" w:after="0"/>
              <w:ind w:left="0" w:right="0" w:hanging="0"/>
              <w:rPr/>
            </w:pPr>
            <w:r>
              <w:rPr/>
              <w:t xml:space="preserve">4.17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4.18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10.1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Joinder and Supplement dated effective June 20, 2007 among the Lenders party thereto, relating to the Restated Credit Facility dated November 19, 2004, as amended.</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10.2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First Amendment dated July 31, 2007 to the Second Amended and Restated Credit Agreement [US/Canada Facilities] (incorporated by reference to Exhibit 10.1 to the Current Report on Form 8-K filed August 6, 2007).</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31.1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31.2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*32.1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Executive Officer pursuant to 18 U.S.C. 1350.</w:t>
            </w:r>
          </w:p>
        </w:tc>
      </w:tr>
      <w:tr>
        <w:trPr/>
        <w:tc>
          <w:tcPr>
            <w:tcW w:w="891"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 </w:t>
            </w:r>
          </w:p>
        </w:tc>
      </w:tr>
      <w:tr>
        <w:trPr/>
        <w:tc>
          <w:tcPr>
            <w:tcW w:w="891" w:type="dxa"/>
            <w:tcBorders/>
            <w:shd w:fill="auto" w:val="clear"/>
          </w:tcPr>
          <w:p>
            <w:pPr>
              <w:pStyle w:val="TableContents"/>
              <w:spacing w:before="0" w:after="0"/>
              <w:ind w:left="0" w:right="0" w:hanging="0"/>
              <w:rPr/>
            </w:pPr>
            <w:r>
              <w:rPr/>
              <w:t xml:space="preserve">*32.2 </w:t>
            </w:r>
          </w:p>
        </w:tc>
        <w:tc>
          <w:tcPr>
            <w:tcW w:w="211"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center"/>
              <w:rPr/>
            </w:pPr>
            <w:r>
              <w:rPr/>
              <w:t xml:space="preserve"> </w:t>
            </w:r>
          </w:p>
        </w:tc>
        <w:tc>
          <w:tcPr>
            <w:tcW w:w="211" w:type="dxa"/>
            <w:tcBorders/>
            <w:shd w:fill="auto" w:val="clear"/>
            <w:vAlign w:val="bottom"/>
          </w:tcPr>
          <w:p>
            <w:pPr>
              <w:pStyle w:val="TableContents"/>
              <w:spacing w:before="0" w:after="283"/>
              <w:rPr/>
            </w:pPr>
            <w:r>
              <w:rPr/>
              <w:t> </w:t>
            </w:r>
          </w:p>
        </w:tc>
        <w:tc>
          <w:tcPr>
            <w:tcW w:w="8688"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Filed herewith.</w:t>
            </w:r>
          </w:p>
        </w:tc>
      </w:tr>
      <w:tr>
        <w:trPr/>
        <w:tc>
          <w:tcPr>
            <w:tcW w:w="6929" w:type="dxa"/>
            <w:tcBorders/>
            <w:shd w:fill="auto" w:val="clear"/>
            <w:vAlign w:val="center"/>
          </w:tcPr>
          <w:p>
            <w:pPr>
              <w:pStyle w:val="TableContents"/>
              <w:spacing w:before="0" w:after="283"/>
              <w:rPr/>
            </w:pPr>
            <w:r>
              <w:rPr/>
              <w:t> </w:t>
            </w:r>
          </w:p>
        </w:tc>
        <w:tc>
          <w:tcPr>
            <w:tcW w:w="3276" w:type="dxa"/>
            <w:gridSpan w:val="2"/>
            <w:tcBorders/>
            <w:shd w:fill="auto" w:val="clea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Furnished herewith.</w:t>
            </w:r>
          </w:p>
        </w:tc>
      </w:tr>
    </w:tbl>
    <w:p>
      <w:pPr>
        <w:pStyle w:val="TextBody"/>
        <w:jc w:val="center"/>
        <w:rPr/>
      </w:pPr>
      <w:r>
        <w:rPr/>
        <w:t xml:space="preserve">  </w:t>
      </w:r>
      <w:r>
        <w:br w:type="page"/>
      </w:r>
    </w:p>
    <w:p>
      <w:pPr>
        <w:pStyle w:val="Heading5"/>
        <w:jc w:val="left"/>
        <w:rPr/>
      </w:pPr>
      <w:bookmarkStart w:id="24" w:name="h48485exv10w1.htm"/>
      <w:bookmarkStart w:id="25" w:name="ksh48485exv10w1"/>
      <w:bookmarkEnd w:id="24"/>
      <w:bookmarkEnd w:id="25"/>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JOINDER AND SUPPLEMENT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Reference is made to that certain Restated Credit Agreement dated as of November 19, 2004, as amended by First Amendment to Restated Credit Agreement dated as of April 20, 2005, Second Amendment to Restated Credit Agreement dated as of May 20, 2005, Third Amendment to Restated Credit Agreement dated as of November 4, 2005 and Fourth Amendment to Restated Credit Agreement dated as of November 16, 2006 (as amended, the </w:t>
      </w:r>
      <w:r>
        <w:rPr>
          <w:rFonts w:ascii="Times New Roman;Times;serif" w:hAnsi="Times New Roman;Times;serif"/>
          <w:sz w:val="17"/>
          <w:u w:val="single"/>
        </w:rPr>
        <w:t>Credit Agreement</w:t>
      </w:r>
      <w:r>
        <w:rPr>
          <w:rFonts w:ascii="Times New Roman;Times;serif" w:hAnsi="Times New Roman;Times;serif"/>
          <w:sz w:val="17"/>
        </w:rPr>
        <w:t>) by and among Plains Marketing, L.P. (</w:t>
      </w:r>
      <w:r>
        <w:rPr>
          <w:rFonts w:ascii="Times New Roman;Times;serif" w:hAnsi="Times New Roman;Times;serif"/>
          <w:sz w:val="17"/>
          <w:u w:val="single"/>
        </w:rPr>
        <w:t>Borrower</w:t>
      </w:r>
      <w:r>
        <w:rPr>
          <w:rFonts w:ascii="Times New Roman;Times;serif" w:hAnsi="Times New Roman;Times;serif"/>
          <w:sz w:val="17"/>
        </w:rPr>
        <w:t xml:space="preserve">), Bank of America, N.A., as Administrative Agent and the Lenders party thereto. Terms defined in the Credit Agreement are used herein with the same meaning. </w:t>
      </w:r>
    </w:p>
    <w:p>
      <w:pPr>
        <w:pStyle w:val="TextBody"/>
        <w:spacing w:before="120" w:after="283"/>
        <w:jc w:val="left"/>
        <w:rPr/>
      </w:pPr>
      <w:r>
        <w:rPr/>
        <w:t>     </w:t>
      </w:r>
      <w:r>
        <w:rPr>
          <w:rFonts w:ascii="Times New Roman;Times;serif" w:hAnsi="Times New Roman;Times;serif"/>
          <w:sz w:val="17"/>
        </w:rPr>
        <w:t xml:space="preserve">WHEREAS, pursuant to Section 2.1(e) of the Credit Agreement, Borrower may with the prior approval of the Administrative Agent, not to be unreasonably withheld, cause from time to time an increase in the Maximum Facility Amount by (a) adding to the Credit Agreement one or more additional Lenders and/or (b) allowing one or more existing Lenders to increase their portion of the Maximum Facility Amount; and </w:t>
      </w:r>
    </w:p>
    <w:p>
      <w:pPr>
        <w:pStyle w:val="TextBody"/>
        <w:spacing w:before="120" w:after="283"/>
        <w:jc w:val="left"/>
        <w:rPr/>
      </w:pPr>
      <w:r>
        <w:rPr/>
        <w:t>     </w:t>
      </w:r>
      <w:r>
        <w:rPr>
          <w:rFonts w:ascii="Times New Roman;Times;serif" w:hAnsi="Times New Roman;Times;serif"/>
          <w:sz w:val="17"/>
        </w:rPr>
        <w:t>WHEREAS, Borrower has proposed, and Administrative Agent has approved, that ING Capital LLC and Mizuho Corporate Bank, Ltd. (each a </w:t>
      </w:r>
      <w:r>
        <w:rPr>
          <w:rFonts w:ascii="Times New Roman;Times;serif" w:hAnsi="Times New Roman;Times;serif"/>
          <w:sz w:val="17"/>
          <w:u w:val="single"/>
        </w:rPr>
        <w:t>New Lender</w:t>
      </w:r>
      <w:r>
        <w:rPr>
          <w:rFonts w:ascii="Times New Roman;Times;serif" w:hAnsi="Times New Roman;Times;serif"/>
          <w:sz w:val="17"/>
        </w:rPr>
        <w:t xml:space="preserve">) become Lenders under the Credit Agreement, and that the other Lenders party hereto increase their Percentage Share of the Maximum Facility Amount, resulting in an aggregate Maximum Facility Amount under the Credit Agreement of $1,200,000,000 as of the date hereof; and </w:t>
      </w:r>
    </w:p>
    <w:p>
      <w:pPr>
        <w:pStyle w:val="TextBody"/>
        <w:spacing w:before="120" w:after="283"/>
        <w:jc w:val="left"/>
        <w:rPr/>
      </w:pPr>
      <w:r>
        <w:rPr/>
        <w:t>     </w:t>
      </w:r>
      <w:r>
        <w:rPr>
          <w:rFonts w:ascii="Times New Roman;Times;serif" w:hAnsi="Times New Roman;Times;serif"/>
          <w:sz w:val="17"/>
        </w:rPr>
        <w:t xml:space="preserve">WHEREAS, the New Lenders desire to become Lenders under the Credit Agreement and provide a portion of the Maximum Facility Amount, and the other Lenders party hereto desire to increase their Percentage Share of the Maximum Facility Amount; </w:t>
      </w:r>
    </w:p>
    <w:p>
      <w:pPr>
        <w:pStyle w:val="TextBody"/>
        <w:spacing w:before="120" w:after="283"/>
        <w:jc w:val="left"/>
        <w:rPr/>
      </w:pPr>
      <w:r>
        <w:rPr/>
        <w:t>     </w:t>
      </w:r>
      <w:r>
        <w:rPr>
          <w:rFonts w:ascii="Times New Roman;Times;serif" w:hAnsi="Times New Roman;Times;serif"/>
          <w:sz w:val="17"/>
        </w:rPr>
        <w:t xml:space="preserve">Accordingly: </w:t>
      </w:r>
    </w:p>
    <w:p>
      <w:pPr>
        <w:pStyle w:val="TextBody"/>
        <w:spacing w:before="120" w:after="283"/>
        <w:jc w:val="left"/>
        <w:rPr/>
      </w:pPr>
      <w:r>
        <w:rPr/>
        <w:t>     </w:t>
      </w:r>
      <w:r>
        <w:rPr>
          <w:rFonts w:ascii="Times New Roman;Times;serif" w:hAnsi="Times New Roman;Times;serif"/>
          <w:sz w:val="17"/>
        </w:rPr>
        <w:t xml:space="preserve">1. Each New Lender hereby agrees to become a Lender under the Credit Agreement and effective as of June 20, 2007 provide a Percentage Share of the Maximum Facility Amount as follows: </w:t>
      </w:r>
    </w:p>
    <w:tbl>
      <w:tblPr>
        <w:tblW w:w="4500" w:type="pct"/>
        <w:jc w:val="center"/>
        <w:tblInd w:w="0" w:type="dxa"/>
        <w:tblCellMar>
          <w:top w:w="0" w:type="dxa"/>
          <w:left w:w="0" w:type="dxa"/>
          <w:bottom w:w="0" w:type="dxa"/>
          <w:right w:w="0" w:type="dxa"/>
        </w:tblCellMar>
      </w:tblPr>
      <w:tblGrid>
        <w:gridCol w:w="3673"/>
        <w:gridCol w:w="1837"/>
        <w:gridCol w:w="3674"/>
      </w:tblGrid>
      <w:tr>
        <w:trPr/>
        <w:tc>
          <w:tcPr>
            <w:tcW w:w="367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r>
      <w:tr>
        <w:trPr/>
        <w:tc>
          <w:tcPr>
            <w:tcW w:w="367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rPr/>
            </w:pPr>
            <w:r>
              <w:rPr/>
              <w:t> </w:t>
            </w:r>
          </w:p>
        </w:tc>
        <w:tc>
          <w:tcPr>
            <w:tcW w:w="3674" w:type="dxa"/>
            <w:tcBorders/>
            <w:shd w:fill="auto" w:val="clear"/>
            <w:vAlign w:val="bottom"/>
          </w:tcPr>
          <w:p>
            <w:pPr>
              <w:pStyle w:val="TableContents"/>
              <w:spacing w:before="0" w:after="283"/>
              <w:jc w:val="center"/>
              <w:rPr/>
            </w:pPr>
            <w:r>
              <w:rPr/>
              <w:t>Percentage Share of</w:t>
            </w:r>
          </w:p>
        </w:tc>
      </w:tr>
      <w:tr>
        <w:trPr/>
        <w:tc>
          <w:tcPr>
            <w:tcW w:w="3673" w:type="dxa"/>
            <w:tcBorders>
              <w:bottom w:val="single" w:sz="2" w:space="0" w:color="000000"/>
            </w:tcBorders>
            <w:shd w:fill="auto" w:val="clear"/>
            <w:tcMar>
              <w:bottom w:w="28" w:type="dxa"/>
            </w:tcMar>
            <w:vAlign w:val="bottom"/>
          </w:tcPr>
          <w:p>
            <w:pPr>
              <w:pStyle w:val="TableContents"/>
              <w:spacing w:before="0" w:after="283"/>
              <w:jc w:val="left"/>
              <w:rPr/>
            </w:pPr>
            <w:r>
              <w:rPr/>
              <w:t>New Lender</w:t>
            </w:r>
          </w:p>
        </w:tc>
        <w:tc>
          <w:tcPr>
            <w:tcW w:w="1837" w:type="dxa"/>
            <w:tcBorders/>
            <w:shd w:fill="auto" w:val="clear"/>
            <w:vAlign w:val="bottom"/>
          </w:tcPr>
          <w:p>
            <w:pPr>
              <w:pStyle w:val="TableContents"/>
              <w:spacing w:before="0" w:after="283"/>
              <w:rPr/>
            </w:pPr>
            <w:r>
              <w:rPr/>
              <w:t> </w:t>
            </w:r>
          </w:p>
        </w:tc>
        <w:tc>
          <w:tcPr>
            <w:tcW w:w="3674" w:type="dxa"/>
            <w:tcBorders>
              <w:bottom w:val="single" w:sz="2" w:space="0" w:color="000000"/>
            </w:tcBorders>
            <w:shd w:fill="auto" w:val="clear"/>
            <w:tcMar>
              <w:bottom w:w="28" w:type="dxa"/>
            </w:tcMar>
            <w:vAlign w:val="bottom"/>
          </w:tcPr>
          <w:p>
            <w:pPr>
              <w:pStyle w:val="TableContents"/>
              <w:spacing w:before="0" w:after="283"/>
              <w:jc w:val="center"/>
              <w:rPr/>
            </w:pPr>
            <w:r>
              <w:rPr/>
              <w:t>Maximum Facility Amount</w:t>
            </w:r>
          </w:p>
        </w:tc>
      </w:tr>
      <w:tr>
        <w:trPr/>
        <w:tc>
          <w:tcPr>
            <w:tcW w:w="3673" w:type="dxa"/>
            <w:tcBorders/>
            <w:shd w:fill="auto" w:val="clear"/>
            <w:vAlign w:val="bottom"/>
          </w:tcPr>
          <w:p>
            <w:pPr>
              <w:pStyle w:val="TableContents"/>
              <w:spacing w:before="0" w:after="0"/>
              <w:ind w:left="225" w:right="0" w:hanging="225"/>
              <w:rPr/>
            </w:pPr>
            <w:r>
              <w:rPr/>
              <w:t>ING Capital LLC</w:t>
            </w:r>
          </w:p>
        </w:tc>
        <w:tc>
          <w:tcPr>
            <w:tcW w:w="1837"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pPr>
            <w:r>
              <w:rPr/>
              <w:t>$50,000,000</w:t>
            </w:r>
          </w:p>
        </w:tc>
      </w:tr>
      <w:tr>
        <w:trPr/>
        <w:tc>
          <w:tcPr>
            <w:tcW w:w="3673" w:type="dxa"/>
            <w:tcBorders/>
            <w:shd w:fill="auto" w:val="clear"/>
            <w:vAlign w:val="bottom"/>
          </w:tcPr>
          <w:p>
            <w:pPr>
              <w:pStyle w:val="TableContents"/>
              <w:spacing w:before="0" w:after="0"/>
              <w:ind w:left="225" w:right="0" w:hanging="225"/>
              <w:rPr/>
            </w:pPr>
            <w:r>
              <w:rPr/>
              <w:t>Mizuho Corporate Bank, Ltd.</w:t>
            </w:r>
          </w:p>
        </w:tc>
        <w:tc>
          <w:tcPr>
            <w:tcW w:w="1837"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pPr>
            <w:r>
              <w:rPr/>
              <w:t>$45,000,000</w:t>
            </w:r>
          </w:p>
        </w:tc>
      </w:tr>
    </w:tbl>
    <w:p>
      <w:pPr>
        <w:pStyle w:val="TextBody"/>
        <w:spacing w:before="120" w:after="283"/>
        <w:jc w:val="left"/>
        <w:rPr/>
      </w:pPr>
      <w:r>
        <w:rPr/>
        <w:t>     </w:t>
      </w:r>
      <w:r>
        <w:rPr>
          <w:rFonts w:ascii="Times New Roman;Times;serif" w:hAnsi="Times New Roman;Times;serif"/>
          <w:sz w:val="17"/>
        </w:rPr>
        <w:t xml:space="preserve">2. Each New Lender (i) confirms that it has received a copy of the Credit Agreement, together with copies of the financial statements referred to in Section 6.2 thereof and such other documents and information as it has deemed appropriate to make its own credit analysis and decision to enter into this Joinder and Supplement; (ii) agrees that it will, independently and without reliance upon Administrative Agent or any other Lender and based on such documents and information as it shall deem appropriate at the time, continue to make its own credit decisions in taking or not taking action under the Credit Agreement; (iii) appoints and authorizes Administrative Agent to take such action as agent on its behalf and to exercise such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powers and discretion under the Credit Agreement as are delegated to Administrative Agent by the terms thereof, together with such powers and discretion as are reasonably incidental thereto; (iv) agrees that it will perform in accordance with their terms all of the obligations that by the terms of the Credit Agreement are required to be performed by it as a Lender; (v) attaches any U.S. Internal Revenue Service or other forms required under Section 10.5, and (vi) attaches an Administrative Questionnaire with respect to such New Lender. </w:t>
      </w:r>
    </w:p>
    <w:p>
      <w:pPr>
        <w:pStyle w:val="TextBody"/>
        <w:spacing w:before="120" w:after="283"/>
        <w:jc w:val="left"/>
        <w:rPr/>
      </w:pPr>
      <w:r>
        <w:rPr/>
        <w:t>     </w:t>
      </w:r>
      <w:r>
        <w:rPr>
          <w:rFonts w:ascii="Times New Roman;Times;serif" w:hAnsi="Times New Roman;Times;serif"/>
          <w:sz w:val="17"/>
        </w:rPr>
        <w:t xml:space="preserve">3. Each existing Lender a party hereto hereby agrees effective as of June 20, 2007 to increase its Percentage Share of the Maximum Facility Amount as follows: </w:t>
      </w:r>
    </w:p>
    <w:tbl>
      <w:tblPr>
        <w:tblW w:w="4750" w:type="pct"/>
        <w:jc w:val="center"/>
        <w:tblInd w:w="0" w:type="dxa"/>
        <w:tblCellMar>
          <w:top w:w="0" w:type="dxa"/>
          <w:left w:w="0" w:type="dxa"/>
          <w:bottom w:w="0" w:type="dxa"/>
          <w:right w:w="0" w:type="dxa"/>
        </w:tblCellMar>
      </w:tblPr>
      <w:tblGrid>
        <w:gridCol w:w="3007"/>
        <w:gridCol w:w="486"/>
        <w:gridCol w:w="1896"/>
        <w:gridCol w:w="486"/>
        <w:gridCol w:w="1460"/>
        <w:gridCol w:w="486"/>
        <w:gridCol w:w="1873"/>
      </w:tblGrid>
      <w:tr>
        <w:trPr/>
        <w:tc>
          <w:tcPr>
            <w:tcW w:w="3007"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96"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73" w:type="dxa"/>
            <w:tcBorders/>
            <w:shd w:fill="auto" w:val="clear"/>
            <w:vAlign w:val="bottom"/>
          </w:tcPr>
          <w:p>
            <w:pPr>
              <w:pStyle w:val="TableContents"/>
              <w:spacing w:before="0" w:after="283"/>
              <w:rPr/>
            </w:pPr>
            <w:r>
              <w:rPr/>
              <w:t> </w:t>
            </w:r>
          </w:p>
        </w:tc>
      </w:tr>
      <w:tr>
        <w:trPr/>
        <w:tc>
          <w:tcPr>
            <w:tcW w:w="3007"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96" w:type="dxa"/>
            <w:tcBorders/>
            <w:shd w:fill="auto" w:val="clear"/>
            <w:vAlign w:val="bottom"/>
          </w:tcPr>
          <w:p>
            <w:pPr>
              <w:pStyle w:val="TableContents"/>
              <w:spacing w:before="0" w:after="283"/>
              <w:jc w:val="center"/>
              <w:rPr/>
            </w:pPr>
            <w:r>
              <w:rPr/>
              <w:t>Existing Percentage</w:t>
            </w:r>
          </w:p>
        </w:tc>
        <w:tc>
          <w:tcPr>
            <w:tcW w:w="486"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73" w:type="dxa"/>
            <w:tcBorders/>
            <w:shd w:fill="auto" w:val="clear"/>
            <w:vAlign w:val="bottom"/>
          </w:tcPr>
          <w:p>
            <w:pPr>
              <w:pStyle w:val="TableContents"/>
              <w:spacing w:before="0" w:after="283"/>
              <w:jc w:val="center"/>
              <w:rPr/>
            </w:pPr>
            <w:r>
              <w:rPr/>
              <w:t>New Percentage</w:t>
            </w:r>
          </w:p>
        </w:tc>
      </w:tr>
      <w:tr>
        <w:trPr/>
        <w:tc>
          <w:tcPr>
            <w:tcW w:w="3007"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96" w:type="dxa"/>
            <w:tcBorders/>
            <w:shd w:fill="auto" w:val="clear"/>
            <w:vAlign w:val="bottom"/>
          </w:tcPr>
          <w:p>
            <w:pPr>
              <w:pStyle w:val="TableContents"/>
              <w:spacing w:before="0" w:after="283"/>
              <w:jc w:val="center"/>
              <w:rPr/>
            </w:pPr>
            <w:r>
              <w:rPr/>
              <w:t>Share of Maximum</w:t>
            </w:r>
          </w:p>
        </w:tc>
        <w:tc>
          <w:tcPr>
            <w:tcW w:w="486"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1873" w:type="dxa"/>
            <w:tcBorders/>
            <w:shd w:fill="auto" w:val="clear"/>
            <w:vAlign w:val="bottom"/>
          </w:tcPr>
          <w:p>
            <w:pPr>
              <w:pStyle w:val="TableContents"/>
              <w:spacing w:before="0" w:after="283"/>
              <w:jc w:val="center"/>
              <w:rPr/>
            </w:pPr>
            <w:r>
              <w:rPr/>
              <w:t>Share of Maximum</w:t>
            </w:r>
          </w:p>
        </w:tc>
      </w:tr>
      <w:tr>
        <w:trPr/>
        <w:tc>
          <w:tcPr>
            <w:tcW w:w="3007" w:type="dxa"/>
            <w:tcBorders>
              <w:bottom w:val="single" w:sz="2" w:space="0" w:color="000000"/>
            </w:tcBorders>
            <w:shd w:fill="auto" w:val="clear"/>
            <w:tcMar>
              <w:bottom w:w="28" w:type="dxa"/>
            </w:tcMar>
            <w:vAlign w:val="bottom"/>
          </w:tcPr>
          <w:p>
            <w:pPr>
              <w:pStyle w:val="TableContents"/>
              <w:spacing w:before="0" w:after="283"/>
              <w:jc w:val="left"/>
              <w:rPr/>
            </w:pPr>
            <w:r>
              <w:rPr/>
              <w:t>Lender</w:t>
            </w:r>
          </w:p>
        </w:tc>
        <w:tc>
          <w:tcPr>
            <w:tcW w:w="486" w:type="dxa"/>
            <w:tcBorders/>
            <w:shd w:fill="auto" w:val="clear"/>
            <w:vAlign w:val="bottom"/>
          </w:tcPr>
          <w:p>
            <w:pPr>
              <w:pStyle w:val="TableContents"/>
              <w:spacing w:before="0" w:after="283"/>
              <w:rPr/>
            </w:pPr>
            <w:r>
              <w:rPr/>
              <w:t> </w:t>
            </w:r>
          </w:p>
        </w:tc>
        <w:tc>
          <w:tcPr>
            <w:tcW w:w="1896" w:type="dxa"/>
            <w:tcBorders>
              <w:bottom w:val="single" w:sz="2" w:space="0" w:color="000000"/>
            </w:tcBorders>
            <w:shd w:fill="auto" w:val="clear"/>
            <w:tcMar>
              <w:bottom w:w="28" w:type="dxa"/>
            </w:tcMar>
            <w:vAlign w:val="bottom"/>
          </w:tcPr>
          <w:p>
            <w:pPr>
              <w:pStyle w:val="TableContents"/>
              <w:spacing w:before="0" w:after="283"/>
              <w:jc w:val="center"/>
              <w:rPr/>
            </w:pPr>
            <w:r>
              <w:rPr/>
              <w:t>Facility Amount</w:t>
            </w:r>
          </w:p>
        </w:tc>
        <w:tc>
          <w:tcPr>
            <w:tcW w:w="486" w:type="dxa"/>
            <w:tcBorders/>
            <w:shd w:fill="auto" w:val="clear"/>
            <w:vAlign w:val="bottom"/>
          </w:tcPr>
          <w:p>
            <w:pPr>
              <w:pStyle w:val="TableContents"/>
              <w:spacing w:before="0" w:after="283"/>
              <w:rPr/>
            </w:pPr>
            <w:r>
              <w:rPr/>
              <w:t> </w:t>
            </w:r>
          </w:p>
        </w:tc>
        <w:tc>
          <w:tcPr>
            <w:tcW w:w="1460" w:type="dxa"/>
            <w:tcBorders>
              <w:bottom w:val="single" w:sz="2" w:space="0" w:color="000000"/>
            </w:tcBorders>
            <w:shd w:fill="auto" w:val="clear"/>
            <w:tcMar>
              <w:bottom w:w="28" w:type="dxa"/>
            </w:tcMar>
            <w:vAlign w:val="bottom"/>
          </w:tcPr>
          <w:p>
            <w:pPr>
              <w:pStyle w:val="TableContents"/>
              <w:spacing w:before="0" w:after="283"/>
              <w:jc w:val="center"/>
              <w:rPr/>
            </w:pPr>
            <w:r>
              <w:rPr/>
              <w:t>Increase</w:t>
            </w:r>
          </w:p>
        </w:tc>
        <w:tc>
          <w:tcPr>
            <w:tcW w:w="486" w:type="dxa"/>
            <w:tcBorders/>
            <w:shd w:fill="auto" w:val="clear"/>
            <w:vAlign w:val="bottom"/>
          </w:tcPr>
          <w:p>
            <w:pPr>
              <w:pStyle w:val="TableContents"/>
              <w:spacing w:before="0" w:after="283"/>
              <w:rPr/>
            </w:pPr>
            <w:r>
              <w:rPr/>
              <w:t> </w:t>
            </w:r>
          </w:p>
        </w:tc>
        <w:tc>
          <w:tcPr>
            <w:tcW w:w="1873" w:type="dxa"/>
            <w:tcBorders>
              <w:bottom w:val="single" w:sz="2" w:space="0" w:color="000000"/>
            </w:tcBorders>
            <w:shd w:fill="auto" w:val="clear"/>
            <w:tcMar>
              <w:bottom w:w="28" w:type="dxa"/>
            </w:tcMar>
            <w:vAlign w:val="bottom"/>
          </w:tcPr>
          <w:p>
            <w:pPr>
              <w:pStyle w:val="TableContents"/>
              <w:spacing w:before="0" w:after="283"/>
              <w:jc w:val="center"/>
              <w:rPr/>
            </w:pPr>
            <w:r>
              <w:rPr/>
              <w:t>Facility Amount</w:t>
            </w:r>
          </w:p>
        </w:tc>
      </w:tr>
      <w:tr>
        <w:trPr/>
        <w:tc>
          <w:tcPr>
            <w:tcW w:w="3007" w:type="dxa"/>
            <w:tcBorders/>
            <w:shd w:fill="CCEEFF" w:val="clear"/>
            <w:vAlign w:val="bottom"/>
          </w:tcPr>
          <w:p>
            <w:pPr>
              <w:pStyle w:val="TableContents"/>
              <w:spacing w:before="0" w:after="0"/>
              <w:ind w:left="225" w:right="0" w:hanging="225"/>
              <w:rPr/>
            </w:pPr>
            <w:r>
              <w:rPr/>
              <w:t>BNP Paribas</w:t>
            </w:r>
          </w:p>
        </w:tc>
        <w:tc>
          <w:tcPr>
            <w:tcW w:w="486" w:type="dxa"/>
            <w:tcBorders/>
            <w:shd w:fill="CCEEFF" w:val="clear"/>
            <w:vAlign w:val="bottom"/>
          </w:tcPr>
          <w:p>
            <w:pPr>
              <w:pStyle w:val="TableContents"/>
              <w:spacing w:before="0" w:after="283"/>
              <w:rPr/>
            </w:pPr>
            <w:r>
              <w:rPr/>
              <w:t> </w:t>
            </w:r>
          </w:p>
        </w:tc>
        <w:tc>
          <w:tcPr>
            <w:tcW w:w="1896" w:type="dxa"/>
            <w:tcBorders/>
            <w:shd w:fill="CCEEFF" w:val="clear"/>
          </w:tcPr>
          <w:p>
            <w:pPr>
              <w:pStyle w:val="TableContents"/>
              <w:spacing w:before="0" w:after="283"/>
              <w:jc w:val="center"/>
              <w:rPr/>
            </w:pPr>
            <w:r>
              <w:rPr/>
              <w:t>$175,000,000.00</w:t>
            </w:r>
          </w:p>
        </w:tc>
        <w:tc>
          <w:tcPr>
            <w:tcW w:w="486" w:type="dxa"/>
            <w:tcBorders/>
            <w:shd w:fill="CCEEFF" w:val="clear"/>
            <w:vAlign w:val="bottom"/>
          </w:tcPr>
          <w:p>
            <w:pPr>
              <w:pStyle w:val="TableContents"/>
              <w:spacing w:before="0" w:after="283"/>
              <w:rPr/>
            </w:pPr>
            <w:r>
              <w:rPr/>
              <w:t> </w:t>
            </w:r>
          </w:p>
        </w:tc>
        <w:tc>
          <w:tcPr>
            <w:tcW w:w="1460" w:type="dxa"/>
            <w:tcBorders/>
            <w:shd w:fill="CCEEFF" w:val="clear"/>
          </w:tcPr>
          <w:p>
            <w:pPr>
              <w:pStyle w:val="TableContents"/>
              <w:spacing w:before="0" w:after="283"/>
              <w:jc w:val="center"/>
              <w:rPr/>
            </w:pPr>
            <w:r>
              <w:rPr/>
              <w:t>$20,000,000</w:t>
            </w:r>
          </w:p>
        </w:tc>
        <w:tc>
          <w:tcPr>
            <w:tcW w:w="486" w:type="dxa"/>
            <w:tcBorders/>
            <w:shd w:fill="CCEEFF" w:val="clear"/>
            <w:vAlign w:val="bottom"/>
          </w:tcPr>
          <w:p>
            <w:pPr>
              <w:pStyle w:val="TableContents"/>
              <w:spacing w:before="0" w:after="283"/>
              <w:rPr/>
            </w:pPr>
            <w:r>
              <w:rPr/>
              <w:t> </w:t>
            </w:r>
          </w:p>
        </w:tc>
        <w:tc>
          <w:tcPr>
            <w:tcW w:w="1873" w:type="dxa"/>
            <w:tcBorders/>
            <w:shd w:fill="CCEEFF" w:val="clear"/>
          </w:tcPr>
          <w:p>
            <w:pPr>
              <w:pStyle w:val="TableContents"/>
              <w:spacing w:before="0" w:after="283"/>
              <w:jc w:val="center"/>
              <w:rPr/>
            </w:pPr>
            <w:r>
              <w:rPr/>
              <w:t>$195,000,000.00</w:t>
            </w:r>
          </w:p>
        </w:tc>
      </w:tr>
      <w:tr>
        <w:trPr/>
        <w:tc>
          <w:tcPr>
            <w:tcW w:w="3007" w:type="dxa"/>
            <w:tcBorders/>
            <w:shd w:fill="auto" w:val="clear"/>
            <w:vAlign w:val="bottom"/>
          </w:tcPr>
          <w:p>
            <w:pPr>
              <w:pStyle w:val="TableContents"/>
              <w:spacing w:before="0" w:after="0"/>
              <w:ind w:left="225" w:right="0" w:hanging="225"/>
              <w:rPr/>
            </w:pPr>
            <w:r>
              <w:rPr/>
              <w:t>Fortis Capital Corp.</w:t>
            </w:r>
          </w:p>
        </w:tc>
        <w:tc>
          <w:tcPr>
            <w:tcW w:w="486" w:type="dxa"/>
            <w:tcBorders/>
            <w:shd w:fill="auto" w:val="clear"/>
            <w:vAlign w:val="bottom"/>
          </w:tcPr>
          <w:p>
            <w:pPr>
              <w:pStyle w:val="TableContents"/>
              <w:spacing w:before="0" w:after="283"/>
              <w:rPr/>
            </w:pPr>
            <w:r>
              <w:rPr/>
              <w:t> </w:t>
            </w:r>
          </w:p>
        </w:tc>
        <w:tc>
          <w:tcPr>
            <w:tcW w:w="1896" w:type="dxa"/>
            <w:tcBorders/>
            <w:shd w:fill="auto" w:val="clear"/>
          </w:tcPr>
          <w:p>
            <w:pPr>
              <w:pStyle w:val="TableContents"/>
              <w:spacing w:before="0" w:after="283"/>
              <w:jc w:val="center"/>
              <w:rPr/>
            </w:pPr>
            <w:r>
              <w:rPr/>
              <w:t>$170,000,000.00</w:t>
            </w:r>
          </w:p>
        </w:tc>
        <w:tc>
          <w:tcPr>
            <w:tcW w:w="486" w:type="dxa"/>
            <w:tcBorders/>
            <w:shd w:fill="auto" w:val="clear"/>
            <w:vAlign w:val="bottom"/>
          </w:tcPr>
          <w:p>
            <w:pPr>
              <w:pStyle w:val="TableContents"/>
              <w:spacing w:before="0" w:after="283"/>
              <w:rPr/>
            </w:pPr>
            <w:r>
              <w:rPr/>
              <w:t> </w:t>
            </w:r>
          </w:p>
        </w:tc>
        <w:tc>
          <w:tcPr>
            <w:tcW w:w="1460" w:type="dxa"/>
            <w:tcBorders/>
            <w:shd w:fill="auto" w:val="clear"/>
          </w:tcPr>
          <w:p>
            <w:pPr>
              <w:pStyle w:val="TableContents"/>
              <w:spacing w:before="0" w:after="283"/>
              <w:jc w:val="center"/>
              <w:rPr/>
            </w:pPr>
            <w:r>
              <w:rPr/>
              <w:t>$25,000,000</w:t>
            </w:r>
          </w:p>
        </w:tc>
        <w:tc>
          <w:tcPr>
            <w:tcW w:w="486" w:type="dxa"/>
            <w:tcBorders/>
            <w:shd w:fill="auto" w:val="clear"/>
            <w:vAlign w:val="bottom"/>
          </w:tcPr>
          <w:p>
            <w:pPr>
              <w:pStyle w:val="TableContents"/>
              <w:spacing w:before="0" w:after="283"/>
              <w:rPr/>
            </w:pPr>
            <w:r>
              <w:rPr/>
              <w:t> </w:t>
            </w:r>
          </w:p>
        </w:tc>
        <w:tc>
          <w:tcPr>
            <w:tcW w:w="1873" w:type="dxa"/>
            <w:tcBorders/>
            <w:shd w:fill="auto" w:val="clear"/>
          </w:tcPr>
          <w:p>
            <w:pPr>
              <w:pStyle w:val="TableContents"/>
              <w:spacing w:before="0" w:after="283"/>
              <w:jc w:val="center"/>
              <w:rPr/>
            </w:pPr>
            <w:r>
              <w:rPr/>
              <w:t>$195,000,000.00</w:t>
            </w:r>
          </w:p>
        </w:tc>
      </w:tr>
      <w:tr>
        <w:trPr/>
        <w:tc>
          <w:tcPr>
            <w:tcW w:w="3007" w:type="dxa"/>
            <w:tcBorders/>
            <w:shd w:fill="CCEEFF" w:val="clear"/>
            <w:vAlign w:val="bottom"/>
          </w:tcPr>
          <w:p>
            <w:pPr>
              <w:pStyle w:val="TableContents"/>
              <w:spacing w:before="0" w:after="0"/>
              <w:ind w:left="225" w:right="0" w:hanging="225"/>
              <w:rPr/>
            </w:pPr>
            <w:r>
              <w:rPr/>
              <w:t>Societe Generale</w:t>
            </w:r>
          </w:p>
        </w:tc>
        <w:tc>
          <w:tcPr>
            <w:tcW w:w="486" w:type="dxa"/>
            <w:tcBorders/>
            <w:shd w:fill="CCEEFF" w:val="clear"/>
            <w:vAlign w:val="bottom"/>
          </w:tcPr>
          <w:p>
            <w:pPr>
              <w:pStyle w:val="TableContents"/>
              <w:spacing w:before="0" w:after="283"/>
              <w:rPr/>
            </w:pPr>
            <w:r>
              <w:rPr/>
              <w:t> </w:t>
            </w:r>
          </w:p>
        </w:tc>
        <w:tc>
          <w:tcPr>
            <w:tcW w:w="1896" w:type="dxa"/>
            <w:tcBorders/>
            <w:shd w:fill="CCEEFF" w:val="clear"/>
          </w:tcPr>
          <w:p>
            <w:pPr>
              <w:pStyle w:val="TableContents"/>
              <w:spacing w:before="0" w:after="283"/>
              <w:jc w:val="center"/>
              <w:rPr/>
            </w:pPr>
            <w:r>
              <w:rPr/>
              <w:t>$100,000,000.00</w:t>
            </w:r>
          </w:p>
        </w:tc>
        <w:tc>
          <w:tcPr>
            <w:tcW w:w="486" w:type="dxa"/>
            <w:tcBorders/>
            <w:shd w:fill="CCEEFF" w:val="clear"/>
            <w:vAlign w:val="bottom"/>
          </w:tcPr>
          <w:p>
            <w:pPr>
              <w:pStyle w:val="TableContents"/>
              <w:spacing w:before="0" w:after="283"/>
              <w:rPr/>
            </w:pPr>
            <w:r>
              <w:rPr/>
              <w:t> </w:t>
            </w:r>
          </w:p>
        </w:tc>
        <w:tc>
          <w:tcPr>
            <w:tcW w:w="1460" w:type="dxa"/>
            <w:tcBorders/>
            <w:shd w:fill="CCEEFF" w:val="clear"/>
          </w:tcPr>
          <w:p>
            <w:pPr>
              <w:pStyle w:val="TableContents"/>
              <w:spacing w:before="0" w:after="283"/>
              <w:jc w:val="center"/>
              <w:rPr/>
            </w:pPr>
            <w:r>
              <w:rPr/>
              <w:t>$20,000,000</w:t>
            </w:r>
          </w:p>
        </w:tc>
        <w:tc>
          <w:tcPr>
            <w:tcW w:w="486" w:type="dxa"/>
            <w:tcBorders/>
            <w:shd w:fill="CCEEFF" w:val="clear"/>
            <w:vAlign w:val="bottom"/>
          </w:tcPr>
          <w:p>
            <w:pPr>
              <w:pStyle w:val="TableContents"/>
              <w:spacing w:before="0" w:after="283"/>
              <w:rPr/>
            </w:pPr>
            <w:r>
              <w:rPr/>
              <w:t> </w:t>
            </w:r>
          </w:p>
        </w:tc>
        <w:tc>
          <w:tcPr>
            <w:tcW w:w="1873" w:type="dxa"/>
            <w:tcBorders/>
            <w:shd w:fill="CCEEFF" w:val="clear"/>
          </w:tcPr>
          <w:p>
            <w:pPr>
              <w:pStyle w:val="TableContents"/>
              <w:spacing w:before="0" w:after="283"/>
              <w:jc w:val="center"/>
              <w:rPr/>
            </w:pPr>
            <w:r>
              <w:rPr/>
              <w:t>$120,000,000.00</w:t>
            </w:r>
          </w:p>
        </w:tc>
      </w:tr>
      <w:tr>
        <w:trPr/>
        <w:tc>
          <w:tcPr>
            <w:tcW w:w="3007" w:type="dxa"/>
            <w:tcBorders/>
            <w:shd w:fill="auto" w:val="clear"/>
            <w:vAlign w:val="bottom"/>
          </w:tcPr>
          <w:p>
            <w:pPr>
              <w:pStyle w:val="TableContents"/>
              <w:spacing w:before="0" w:after="0"/>
              <w:ind w:left="225" w:right="0" w:hanging="225"/>
              <w:rPr/>
            </w:pPr>
            <w:r>
              <w:rPr/>
              <w:t>JPMorgan Chase Bank</w:t>
            </w:r>
          </w:p>
        </w:tc>
        <w:tc>
          <w:tcPr>
            <w:tcW w:w="486" w:type="dxa"/>
            <w:tcBorders/>
            <w:shd w:fill="auto" w:val="clear"/>
            <w:vAlign w:val="bottom"/>
          </w:tcPr>
          <w:p>
            <w:pPr>
              <w:pStyle w:val="TableContents"/>
              <w:spacing w:before="0" w:after="283"/>
              <w:rPr/>
            </w:pPr>
            <w:r>
              <w:rPr/>
              <w:t> </w:t>
            </w:r>
          </w:p>
        </w:tc>
        <w:tc>
          <w:tcPr>
            <w:tcW w:w="1896" w:type="dxa"/>
            <w:tcBorders/>
            <w:shd w:fill="auto" w:val="clear"/>
          </w:tcPr>
          <w:p>
            <w:pPr>
              <w:pStyle w:val="TableContents"/>
              <w:spacing w:before="0" w:after="283"/>
              <w:jc w:val="center"/>
              <w:rPr/>
            </w:pPr>
            <w:r>
              <w:rPr/>
              <w:t>$75,000,000.00</w:t>
            </w:r>
          </w:p>
        </w:tc>
        <w:tc>
          <w:tcPr>
            <w:tcW w:w="486" w:type="dxa"/>
            <w:tcBorders/>
            <w:shd w:fill="auto" w:val="clear"/>
            <w:vAlign w:val="bottom"/>
          </w:tcPr>
          <w:p>
            <w:pPr>
              <w:pStyle w:val="TableContents"/>
              <w:spacing w:before="0" w:after="283"/>
              <w:rPr/>
            </w:pPr>
            <w:r>
              <w:rPr/>
              <w:t> </w:t>
            </w:r>
          </w:p>
        </w:tc>
        <w:tc>
          <w:tcPr>
            <w:tcW w:w="1460" w:type="dxa"/>
            <w:tcBorders/>
            <w:shd w:fill="auto" w:val="clear"/>
          </w:tcPr>
          <w:p>
            <w:pPr>
              <w:pStyle w:val="TableContents"/>
              <w:spacing w:before="0" w:after="283"/>
              <w:jc w:val="center"/>
              <w:rPr/>
            </w:pPr>
            <w:r>
              <w:rPr/>
              <w:t>$20,000,000</w:t>
            </w:r>
          </w:p>
        </w:tc>
        <w:tc>
          <w:tcPr>
            <w:tcW w:w="486" w:type="dxa"/>
            <w:tcBorders/>
            <w:shd w:fill="auto" w:val="clear"/>
            <w:vAlign w:val="bottom"/>
          </w:tcPr>
          <w:p>
            <w:pPr>
              <w:pStyle w:val="TableContents"/>
              <w:spacing w:before="0" w:after="283"/>
              <w:rPr/>
            </w:pPr>
            <w:r>
              <w:rPr/>
              <w:t> </w:t>
            </w:r>
          </w:p>
        </w:tc>
        <w:tc>
          <w:tcPr>
            <w:tcW w:w="1873" w:type="dxa"/>
            <w:tcBorders/>
            <w:shd w:fill="auto" w:val="clear"/>
          </w:tcPr>
          <w:p>
            <w:pPr>
              <w:pStyle w:val="TableContents"/>
              <w:spacing w:before="0" w:after="283"/>
              <w:jc w:val="center"/>
              <w:rPr/>
            </w:pPr>
            <w:r>
              <w:rPr/>
              <w:t>$95,000,000.00</w:t>
            </w:r>
          </w:p>
        </w:tc>
      </w:tr>
      <w:tr>
        <w:trPr/>
        <w:tc>
          <w:tcPr>
            <w:tcW w:w="3007" w:type="dxa"/>
            <w:tcBorders/>
            <w:shd w:fill="CCEEFF" w:val="clear"/>
            <w:vAlign w:val="bottom"/>
          </w:tcPr>
          <w:p>
            <w:pPr>
              <w:pStyle w:val="TableContents"/>
              <w:spacing w:before="0" w:after="0"/>
              <w:ind w:left="225" w:right="0" w:hanging="225"/>
              <w:rPr/>
            </w:pPr>
            <w:r>
              <w:rPr/>
              <w:t>Commerzbank AG, New York</w:t>
            </w:r>
          </w:p>
        </w:tc>
        <w:tc>
          <w:tcPr>
            <w:tcW w:w="486" w:type="dxa"/>
            <w:tcBorders/>
            <w:shd w:fill="CCEEFF" w:val="clear"/>
            <w:vAlign w:val="bottom"/>
          </w:tcPr>
          <w:p>
            <w:pPr>
              <w:pStyle w:val="TableContents"/>
              <w:spacing w:before="0" w:after="283"/>
              <w:rPr/>
            </w:pPr>
            <w:r>
              <w:rPr/>
              <w:t> </w:t>
            </w:r>
          </w:p>
        </w:tc>
        <w:tc>
          <w:tcPr>
            <w:tcW w:w="1896" w:type="dxa"/>
            <w:tcBorders/>
            <w:shd w:fill="CCEEFF" w:val="clear"/>
          </w:tcPr>
          <w:p>
            <w:pPr>
              <w:pStyle w:val="TableContents"/>
              <w:spacing w:before="0" w:after="283"/>
              <w:jc w:val="center"/>
              <w:rPr/>
            </w:pPr>
            <w:r>
              <w:rPr/>
              <w:t>$55,000,000.00</w:t>
            </w:r>
          </w:p>
        </w:tc>
        <w:tc>
          <w:tcPr>
            <w:tcW w:w="486" w:type="dxa"/>
            <w:tcBorders/>
            <w:shd w:fill="CCEEFF" w:val="clear"/>
            <w:vAlign w:val="bottom"/>
          </w:tcPr>
          <w:p>
            <w:pPr>
              <w:pStyle w:val="TableContents"/>
              <w:spacing w:before="0" w:after="283"/>
              <w:rPr/>
            </w:pPr>
            <w:r>
              <w:rPr/>
              <w:t> </w:t>
            </w:r>
          </w:p>
        </w:tc>
        <w:tc>
          <w:tcPr>
            <w:tcW w:w="1460" w:type="dxa"/>
            <w:tcBorders/>
            <w:shd w:fill="CCEEFF" w:val="clear"/>
          </w:tcPr>
          <w:p>
            <w:pPr>
              <w:pStyle w:val="TableContents"/>
              <w:spacing w:before="0" w:after="283"/>
              <w:jc w:val="center"/>
              <w:rPr/>
            </w:pPr>
            <w:r>
              <w:rPr/>
              <w:t>$20,000,000</w:t>
            </w:r>
          </w:p>
        </w:tc>
        <w:tc>
          <w:tcPr>
            <w:tcW w:w="486" w:type="dxa"/>
            <w:tcBorders/>
            <w:shd w:fill="CCEEFF" w:val="clear"/>
            <w:vAlign w:val="bottom"/>
          </w:tcPr>
          <w:p>
            <w:pPr>
              <w:pStyle w:val="TableContents"/>
              <w:spacing w:before="0" w:after="283"/>
              <w:rPr/>
            </w:pPr>
            <w:r>
              <w:rPr/>
              <w:t> </w:t>
            </w:r>
          </w:p>
        </w:tc>
        <w:tc>
          <w:tcPr>
            <w:tcW w:w="1873" w:type="dxa"/>
            <w:tcBorders/>
            <w:shd w:fill="CCEEFF" w:val="clear"/>
          </w:tcPr>
          <w:p>
            <w:pPr>
              <w:pStyle w:val="TableContents"/>
              <w:spacing w:before="0" w:after="283"/>
              <w:jc w:val="center"/>
              <w:rPr/>
            </w:pPr>
            <w:r>
              <w:rPr/>
              <w:t>$75,000,000.00</w:t>
            </w:r>
          </w:p>
        </w:tc>
      </w:tr>
      <w:tr>
        <w:trPr/>
        <w:tc>
          <w:tcPr>
            <w:tcW w:w="3007" w:type="dxa"/>
            <w:tcBorders/>
            <w:shd w:fill="auto" w:val="clear"/>
            <w:vAlign w:val="bottom"/>
          </w:tcPr>
          <w:p>
            <w:pPr>
              <w:pStyle w:val="TableContents"/>
              <w:spacing w:before="0" w:after="0"/>
              <w:ind w:left="225" w:right="0" w:hanging="225"/>
              <w:rPr/>
            </w:pPr>
            <w:r>
              <w:rPr/>
              <w:t>and Grand Cayman Branches</w:t>
            </w:r>
          </w:p>
        </w:tc>
        <w:tc>
          <w:tcPr>
            <w:tcW w:w="486" w:type="dxa"/>
            <w:tcBorders/>
            <w:shd w:fill="auto" w:val="clear"/>
            <w:vAlign w:val="bottom"/>
          </w:tcPr>
          <w:p>
            <w:pPr>
              <w:pStyle w:val="TableContents"/>
              <w:spacing w:before="0" w:after="283"/>
              <w:rPr/>
            </w:pPr>
            <w:r>
              <w:rPr/>
              <w:t> </w:t>
            </w:r>
          </w:p>
        </w:tc>
        <w:tc>
          <w:tcPr>
            <w:tcW w:w="1896" w:type="dxa"/>
            <w:tcBorders/>
            <w:shd w:fill="auto" w:val="clear"/>
          </w:tcPr>
          <w:p>
            <w:pPr>
              <w:pStyle w:val="TableContents"/>
              <w:spacing w:before="0" w:after="283"/>
              <w:jc w:val="center"/>
              <w:rPr/>
            </w:pPr>
            <w:r>
              <w:rPr/>
              <w:t> </w:t>
            </w:r>
          </w:p>
        </w:tc>
        <w:tc>
          <w:tcPr>
            <w:tcW w:w="486" w:type="dxa"/>
            <w:tcBorders/>
            <w:shd w:fill="auto" w:val="clear"/>
            <w:vAlign w:val="bottom"/>
          </w:tcPr>
          <w:p>
            <w:pPr>
              <w:pStyle w:val="TableContents"/>
              <w:spacing w:before="0" w:after="283"/>
              <w:rPr/>
            </w:pPr>
            <w:r>
              <w:rPr/>
              <w:t> </w:t>
            </w:r>
          </w:p>
        </w:tc>
        <w:tc>
          <w:tcPr>
            <w:tcW w:w="1460" w:type="dxa"/>
            <w:tcBorders/>
            <w:shd w:fill="auto" w:val="clear"/>
          </w:tcPr>
          <w:p>
            <w:pPr>
              <w:pStyle w:val="TableContents"/>
              <w:spacing w:before="0" w:after="283"/>
              <w:jc w:val="center"/>
              <w:rPr/>
            </w:pPr>
            <w:r>
              <w:rPr/>
              <w:t> </w:t>
            </w:r>
          </w:p>
        </w:tc>
        <w:tc>
          <w:tcPr>
            <w:tcW w:w="486" w:type="dxa"/>
            <w:tcBorders/>
            <w:shd w:fill="auto" w:val="clear"/>
            <w:vAlign w:val="bottom"/>
          </w:tcPr>
          <w:p>
            <w:pPr>
              <w:pStyle w:val="TableContents"/>
              <w:spacing w:before="0" w:after="283"/>
              <w:rPr/>
            </w:pPr>
            <w:r>
              <w:rPr/>
              <w:t> </w:t>
            </w:r>
          </w:p>
        </w:tc>
        <w:tc>
          <w:tcPr>
            <w:tcW w:w="1873" w:type="dxa"/>
            <w:tcBorders/>
            <w:shd w:fill="auto" w:val="clear"/>
          </w:tcPr>
          <w:p>
            <w:pPr>
              <w:pStyle w:val="TableContents"/>
              <w:spacing w:before="0" w:after="283"/>
              <w:jc w:val="center"/>
              <w:rPr/>
            </w:pPr>
            <w:r>
              <w:rPr/>
              <w:t> </w:t>
            </w:r>
          </w:p>
        </w:tc>
      </w:tr>
    </w:tbl>
    <w:p>
      <w:pPr>
        <w:pStyle w:val="TextBody"/>
        <w:spacing w:before="120" w:after="283"/>
        <w:jc w:val="left"/>
        <w:rPr/>
      </w:pPr>
      <w:r>
        <w:rPr/>
        <w:t>     </w:t>
      </w:r>
      <w:r>
        <w:rPr>
          <w:rFonts w:ascii="Times New Roman;Times;serif" w:hAnsi="Times New Roman;Times;serif"/>
          <w:sz w:val="17"/>
        </w:rPr>
        <w:t xml:space="preserve">4. Following the execution of this Joinder and Supplement, it will be delivered to Administrative Agent for acceptance and recording. The effective date for this Joinder and Supplement (the Effective Date) shall be the date hereof, and upon such effectiveness each New Lender shall be a Lender under the Credit Agreement and, to the extent provided herein and in the Credit Agreement, have the rights and obligations of a Lender thereunder, the Percentage Share of the Maximum Facility Amount of each other Lender a party hereto shall be increased as set forth herein, and the Percentage Shares of the Maximum Facility Amount and Percentage Shares of each Lender shall be as set forth on Schedule II attached hereto. </w:t>
      </w:r>
    </w:p>
    <w:p>
      <w:pPr>
        <w:pStyle w:val="TextBody"/>
        <w:spacing w:before="120" w:after="283"/>
        <w:jc w:val="left"/>
        <w:rPr/>
      </w:pPr>
      <w:r>
        <w:rPr/>
        <w:t>     </w:t>
      </w:r>
      <w:r>
        <w:rPr>
          <w:rFonts w:ascii="Times New Roman;Times;serif" w:hAnsi="Times New Roman;Times;serif"/>
          <w:sz w:val="17"/>
        </w:rPr>
        <w:t xml:space="preserve">5. Each New Lender hereby approves the following Financing Requests, and each other Lender party hereto hereby confirms that it has previously approved such Financing Requests, which specify a funding date of June 20, 2007 (except as to the Financing Request in clause (b) below, which is to be funded in July 2007), and each New Lender and each other Lender party hereto hereby agrees that such approval shall apply with respect to its portion of the Maximum Facility Amount agreed to hereby: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Financing Request-Initial dated May 1, 2007 with respect to a Delivery Month of June, 2007 and an Initial Financing Request of $677,300,000 and related Financing Request-Final dated June 5, 2007 with Final Financing Request of $693,800,000.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Financing Request-Initial dated June 5, 2007 with respect to a Delivery Month of July, 2007 and an Initial Financing Request of $761,200,000.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Special Financing Request 2007 #10.2 dated June 5, 2007 totaling $7,000,000.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Special Financing Request 2007 #11.2 dated June 5, 2007 totaling $28,000,000.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Special Financing Request 2007 #12.2 dated June 5, 2007 totaling $59,700,000.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Special Financing Request 2007 #13.2 dated June 5, 2007 totaling $22,700,000.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(g)</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Special Financing Request 2007 #14.2 dated June 5, 2007 totaling $26,700,000.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(h)</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Special Financing Request 2007 #15.1 dated June 5, 2007 totaling $29,900,000.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Special Financing Request 2007 #16.1 dated June 5, 2007 totaling $19,800,000.</w:t>
            </w:r>
          </w:p>
        </w:tc>
      </w:tr>
    </w:tbl>
    <w:p>
      <w:pPr>
        <w:pStyle w:val="TextBody"/>
        <w:spacing w:before="120" w:after="283"/>
        <w:jc w:val="left"/>
        <w:rPr/>
      </w:pPr>
      <w:r>
        <w:rPr/>
        <w:t>     </w:t>
      </w:r>
      <w:r>
        <w:rPr>
          <w:rFonts w:ascii="Times New Roman;Times;serif" w:hAnsi="Times New Roman;Times;serif"/>
          <w:sz w:val="17"/>
        </w:rPr>
        <w:t xml:space="preserve">6. This Joinder and Supplement shall be governed by, and construed in accordance with, the Laws of the State of New York. </w:t>
      </w:r>
    </w:p>
    <w:p>
      <w:pPr>
        <w:pStyle w:val="TextBody"/>
        <w:spacing w:before="120" w:after="283"/>
        <w:jc w:val="left"/>
        <w:rPr/>
      </w:pPr>
      <w:r>
        <w:rPr/>
        <w:t>     </w:t>
      </w:r>
      <w:r>
        <w:rPr>
          <w:rFonts w:ascii="Times New Roman;Times;serif" w:hAnsi="Times New Roman;Times;serif"/>
          <w:sz w:val="17"/>
        </w:rPr>
        <w:t xml:space="preserve">7. This Joinder and Supplement may be executed in any number of counterparts and by different parties hereto in separate counterparts, each of which when so executed shall be deemed to be an original and all of which taken together shall constitute one and the same agreement.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[REMAINDER OF PAGE INTENTIONALLY LEFT BLANK]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each New Lender and each other Lender a party hereto has caused this Agreement to be executed by its officers thereunto duly authorized as of the date specified thereon.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ING CAPITAL LLC, a New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Cheryl Labelle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Cheryl Labelle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MIZUHO CORPORATE BANK, LTD.,</w:t>
              <w:br/>
              <w:t>a New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Raymond Ventura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Raymond Ventura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Deputy General Manager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BNP PARIBAS, Lender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Edward K. Chin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Edward K. Chin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72"/>
        <w:gridCol w:w="348"/>
        <w:gridCol w:w="594"/>
        <w:gridCol w:w="3747"/>
        <w:gridCol w:w="1344"/>
      </w:tblGrid>
      <w:tr>
        <w:trPr/>
        <w:tc>
          <w:tcPr>
            <w:tcW w:w="4172"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vAlign w:val="center"/>
          </w:tcPr>
          <w:p>
            <w:pPr>
              <w:pStyle w:val="TableContents"/>
              <w:spacing w:before="0" w:after="283"/>
              <w:rPr/>
            </w:pPr>
            <w:r>
              <w:rPr/>
              <w:t> </w:t>
            </w:r>
          </w:p>
        </w:tc>
        <w:tc>
          <w:tcPr>
            <w:tcW w:w="3747" w:type="dxa"/>
            <w:tcBorders/>
            <w:shd w:fill="auto" w:val="clear"/>
            <w:vAlign w:val="center"/>
          </w:tcPr>
          <w:p>
            <w:pPr>
              <w:pStyle w:val="TableContents"/>
              <w:spacing w:before="0" w:after="283"/>
              <w:rPr/>
            </w:pPr>
            <w:r>
              <w:rPr/>
              <w:t>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tcPr>
          <w:p>
            <w:pPr>
              <w:pStyle w:val="TableContents"/>
              <w:spacing w:before="0" w:after="283"/>
              <w:jc w:val="left"/>
              <w:rPr/>
            </w:pPr>
            <w:r>
              <w:rPr/>
              <w:t> </w:t>
            </w:r>
          </w:p>
        </w:tc>
        <w:tc>
          <w:tcPr>
            <w:tcW w:w="4689" w:type="dxa"/>
            <w:gridSpan w:val="3"/>
            <w:tcBorders/>
            <w:shd w:fill="auto" w:val="clear"/>
            <w:vAlign w:val="center"/>
          </w:tcPr>
          <w:p>
            <w:pPr>
              <w:pStyle w:val="TableContents"/>
              <w:spacing w:before="0" w:after="283"/>
              <w:jc w:val="left"/>
              <w:rPr/>
            </w:pPr>
            <w:r>
              <w:rPr/>
              <w:t>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tcPr>
          <w:p>
            <w:pPr>
              <w:pStyle w:val="TableContents"/>
              <w:spacing w:before="0" w:after="283"/>
              <w:rPr/>
            </w:pPr>
            <w:r>
              <w:rPr/>
              <w:t>By:  </w:t>
            </w:r>
          </w:p>
        </w:tc>
        <w:tc>
          <w:tcPr>
            <w:tcW w:w="4341" w:type="dxa"/>
            <w:gridSpan w:val="2"/>
            <w:tcBorders>
              <w:bottom w:val="single" w:sz="2" w:space="0" w:color="000000"/>
            </w:tcBorders>
            <w:shd w:fill="auto" w:val="clear"/>
            <w:tcMar>
              <w:bottom w:w="28" w:type="dxa"/>
            </w:tcMar>
            <w:vAlign w:val="center"/>
          </w:tcPr>
          <w:p>
            <w:pPr>
              <w:pStyle w:val="TableContents"/>
              <w:spacing w:before="0" w:after="283"/>
              <w:jc w:val="left"/>
              <w:rPr/>
            </w:pPr>
            <w:r>
              <w:rPr/>
              <w:t>/s/ Jordan Nenoff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Name:  </w:t>
            </w:r>
          </w:p>
        </w:tc>
        <w:tc>
          <w:tcPr>
            <w:tcW w:w="3747" w:type="dxa"/>
            <w:tcBorders/>
            <w:shd w:fill="auto" w:val="clear"/>
            <w:vAlign w:val="center"/>
          </w:tcPr>
          <w:p>
            <w:pPr>
              <w:pStyle w:val="TableContents"/>
              <w:spacing w:before="0" w:after="283"/>
              <w:jc w:val="left"/>
              <w:rPr/>
            </w:pPr>
            <w:r>
              <w:rPr/>
              <w:t>Jordan Nenoff </w:t>
            </w:r>
          </w:p>
        </w:tc>
        <w:tc>
          <w:tcPr>
            <w:tcW w:w="1344" w:type="dxa"/>
            <w:tcBorders/>
            <w:shd w:fill="auto" w:val="clear"/>
            <w:vAlign w:val="center"/>
          </w:tcPr>
          <w:p>
            <w:pPr>
              <w:pStyle w:val="TableContents"/>
              <w:spacing w:before="0" w:after="283"/>
              <w:rPr/>
            </w:pPr>
            <w:r>
              <w:rPr/>
              <w:t> </w:t>
            </w:r>
          </w:p>
        </w:tc>
      </w:tr>
      <w:tr>
        <w:trPr/>
        <w:tc>
          <w:tcPr>
            <w:tcW w:w="4172" w:type="dxa"/>
            <w:tcBorders/>
            <w:shd w:fill="auto" w:val="clear"/>
            <w:vAlign w:val="center"/>
          </w:tcPr>
          <w:p>
            <w:pPr>
              <w:pStyle w:val="TableContents"/>
              <w:spacing w:before="0" w:after="283"/>
              <w:jc w:val="left"/>
              <w:rPr/>
            </w:pPr>
            <w:r>
              <w:rPr/>
              <w:t> </w:t>
            </w:r>
          </w:p>
        </w:tc>
        <w:tc>
          <w:tcPr>
            <w:tcW w:w="348" w:type="dxa"/>
            <w:tcBorders/>
            <w:shd w:fill="auto" w:val="clear"/>
            <w:vAlign w:val="center"/>
          </w:tcPr>
          <w:p>
            <w:pPr>
              <w:pStyle w:val="TableContents"/>
              <w:spacing w:before="0" w:after="283"/>
              <w:rPr/>
            </w:pPr>
            <w:r>
              <w:rPr/>
              <w:t> </w:t>
            </w:r>
          </w:p>
        </w:tc>
        <w:tc>
          <w:tcPr>
            <w:tcW w:w="594" w:type="dxa"/>
            <w:tcBorders/>
            <w:shd w:fill="auto" w:val="clear"/>
          </w:tcPr>
          <w:p>
            <w:pPr>
              <w:pStyle w:val="TableContents"/>
              <w:spacing w:before="0" w:after="283"/>
              <w:rPr/>
            </w:pPr>
            <w:r>
              <w:rPr/>
              <w:t>Title:  </w:t>
            </w:r>
          </w:p>
        </w:tc>
        <w:tc>
          <w:tcPr>
            <w:tcW w:w="3747" w:type="dxa"/>
            <w:tcBorders/>
            <w:shd w:fill="auto" w:val="clear"/>
            <w:vAlign w:val="center"/>
          </w:tcPr>
          <w:p>
            <w:pPr>
              <w:pStyle w:val="TableContents"/>
              <w:spacing w:before="0" w:after="283"/>
              <w:jc w:val="left"/>
              <w:rPr/>
            </w:pPr>
            <w:r>
              <w:rPr/>
              <w:t>Director </w:t>
            </w:r>
          </w:p>
        </w:tc>
        <w:tc>
          <w:tcPr>
            <w:tcW w:w="134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FORTIS CAPITAL CORP., Lender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Chad Clark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Chad Clark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Sr.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Irene C. Rummel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Irene C. Rummel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Senior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96"/>
        <w:gridCol w:w="353"/>
        <w:gridCol w:w="607"/>
        <w:gridCol w:w="3961"/>
        <w:gridCol w:w="1288"/>
      </w:tblGrid>
      <w:tr>
        <w:trPr/>
        <w:tc>
          <w:tcPr>
            <w:tcW w:w="3996"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961" w:type="dxa"/>
            <w:tcBorders/>
            <w:shd w:fill="auto" w:val="clear"/>
            <w:vAlign w:val="center"/>
          </w:tcPr>
          <w:p>
            <w:pPr>
              <w:pStyle w:val="TableContents"/>
              <w:spacing w:before="0" w:after="283"/>
              <w:rPr/>
            </w:pPr>
            <w:r>
              <w:rPr/>
              <w:t> </w:t>
            </w:r>
          </w:p>
        </w:tc>
        <w:tc>
          <w:tcPr>
            <w:tcW w:w="1288" w:type="dxa"/>
            <w:tcBorders/>
            <w:shd w:fill="auto" w:val="clear"/>
            <w:vAlign w:val="center"/>
          </w:tcPr>
          <w:p>
            <w:pPr>
              <w:pStyle w:val="TableContents"/>
              <w:spacing w:before="0" w:after="283"/>
              <w:rPr/>
            </w:pPr>
            <w:r>
              <w:rPr/>
              <w:t> </w:t>
            </w:r>
          </w:p>
        </w:tc>
      </w:tr>
      <w:tr>
        <w:trPr/>
        <w:tc>
          <w:tcPr>
            <w:tcW w:w="3996" w:type="dxa"/>
            <w:tcBorders/>
            <w:shd w:fill="auto" w:val="clear"/>
          </w:tcPr>
          <w:p>
            <w:pPr>
              <w:pStyle w:val="TableContents"/>
              <w:spacing w:before="0" w:after="283"/>
              <w:jc w:val="left"/>
              <w:rPr/>
            </w:pPr>
            <w:r>
              <w:rPr/>
              <w:t> </w:t>
            </w:r>
          </w:p>
        </w:tc>
        <w:tc>
          <w:tcPr>
            <w:tcW w:w="4921" w:type="dxa"/>
            <w:gridSpan w:val="3"/>
            <w:tcBorders/>
            <w:shd w:fill="auto" w:val="clear"/>
            <w:vAlign w:val="center"/>
          </w:tcPr>
          <w:p>
            <w:pPr>
              <w:pStyle w:val="TableContents"/>
              <w:spacing w:before="0" w:after="283"/>
              <w:jc w:val="left"/>
              <w:rPr/>
            </w:pPr>
            <w:r>
              <w:rPr/>
              <w:t>SOCIETE GENERALE, Lender</w:t>
              <w:br/>
              <w:t> </w:t>
            </w:r>
          </w:p>
        </w:tc>
        <w:tc>
          <w:tcPr>
            <w:tcW w:w="1288" w:type="dxa"/>
            <w:tcBorders/>
            <w:shd w:fill="auto" w:val="clear"/>
            <w:vAlign w:val="center"/>
          </w:tcPr>
          <w:p>
            <w:pPr>
              <w:pStyle w:val="TableContents"/>
              <w:spacing w:before="0" w:after="283"/>
              <w:rPr/>
            </w:pPr>
            <w:r>
              <w:rPr/>
              <w:t> </w:t>
            </w:r>
          </w:p>
        </w:tc>
      </w:tr>
      <w:tr>
        <w:trPr/>
        <w:tc>
          <w:tcPr>
            <w:tcW w:w="3996" w:type="dxa"/>
            <w:tcBorders/>
            <w:shd w:fill="auto" w:val="clear"/>
            <w:vAlign w:val="center"/>
          </w:tcPr>
          <w:p>
            <w:pPr>
              <w:pStyle w:val="TableContents"/>
              <w:spacing w:before="0" w:after="283"/>
              <w:jc w:val="left"/>
              <w:rPr/>
            </w:pPr>
            <w:r>
              <w:rPr/>
              <w:t> </w:t>
            </w:r>
          </w:p>
        </w:tc>
        <w:tc>
          <w:tcPr>
            <w:tcW w:w="353" w:type="dxa"/>
            <w:tcBorders/>
            <w:shd w:fill="auto" w:val="clear"/>
          </w:tcPr>
          <w:p>
            <w:pPr>
              <w:pStyle w:val="TableContents"/>
              <w:spacing w:before="0" w:after="283"/>
              <w:rPr/>
            </w:pPr>
            <w:r>
              <w:rPr/>
              <w:t>By:  </w:t>
            </w:r>
          </w:p>
        </w:tc>
        <w:tc>
          <w:tcPr>
            <w:tcW w:w="4568" w:type="dxa"/>
            <w:gridSpan w:val="2"/>
            <w:tcBorders>
              <w:bottom w:val="single" w:sz="2" w:space="0" w:color="000000"/>
            </w:tcBorders>
            <w:shd w:fill="auto" w:val="clear"/>
            <w:tcMar>
              <w:bottom w:w="28" w:type="dxa"/>
            </w:tcMar>
            <w:vAlign w:val="center"/>
          </w:tcPr>
          <w:p>
            <w:pPr>
              <w:pStyle w:val="TableContents"/>
              <w:spacing w:before="0" w:after="283"/>
              <w:jc w:val="left"/>
              <w:rPr/>
            </w:pPr>
            <w:r>
              <w:rPr/>
              <w:t>/s/ Chung-Taek Oh  </w:t>
            </w:r>
          </w:p>
        </w:tc>
        <w:tc>
          <w:tcPr>
            <w:tcW w:w="1288" w:type="dxa"/>
            <w:tcBorders/>
            <w:shd w:fill="auto" w:val="clear"/>
            <w:vAlign w:val="center"/>
          </w:tcPr>
          <w:p>
            <w:pPr>
              <w:pStyle w:val="TableContents"/>
              <w:spacing w:before="0" w:after="283"/>
              <w:rPr/>
            </w:pPr>
            <w:r>
              <w:rPr/>
              <w:t> </w:t>
            </w:r>
          </w:p>
        </w:tc>
      </w:tr>
      <w:tr>
        <w:trPr/>
        <w:tc>
          <w:tcPr>
            <w:tcW w:w="3996"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t>Name:  </w:t>
            </w:r>
          </w:p>
        </w:tc>
        <w:tc>
          <w:tcPr>
            <w:tcW w:w="3961" w:type="dxa"/>
            <w:tcBorders/>
            <w:shd w:fill="auto" w:val="clear"/>
            <w:vAlign w:val="center"/>
          </w:tcPr>
          <w:p>
            <w:pPr>
              <w:pStyle w:val="TableContents"/>
              <w:spacing w:before="0" w:after="283"/>
              <w:jc w:val="left"/>
              <w:rPr/>
            </w:pPr>
            <w:r>
              <w:rPr/>
              <w:t>Chung-Taek Oh </w:t>
            </w:r>
          </w:p>
        </w:tc>
        <w:tc>
          <w:tcPr>
            <w:tcW w:w="1288" w:type="dxa"/>
            <w:tcBorders/>
            <w:shd w:fill="auto" w:val="clear"/>
            <w:vAlign w:val="center"/>
          </w:tcPr>
          <w:p>
            <w:pPr>
              <w:pStyle w:val="TableContents"/>
              <w:spacing w:before="0" w:after="283"/>
              <w:rPr/>
            </w:pPr>
            <w:r>
              <w:rPr/>
              <w:t> </w:t>
            </w:r>
          </w:p>
        </w:tc>
      </w:tr>
      <w:tr>
        <w:trPr/>
        <w:tc>
          <w:tcPr>
            <w:tcW w:w="3996"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t>Title:  </w:t>
            </w:r>
          </w:p>
        </w:tc>
        <w:tc>
          <w:tcPr>
            <w:tcW w:w="3961" w:type="dxa"/>
            <w:tcBorders/>
            <w:shd w:fill="auto" w:val="clear"/>
            <w:vAlign w:val="center"/>
          </w:tcPr>
          <w:p>
            <w:pPr>
              <w:pStyle w:val="TableContents"/>
              <w:spacing w:before="0" w:after="283"/>
              <w:jc w:val="left"/>
              <w:rPr/>
            </w:pPr>
            <w:r>
              <w:rPr/>
              <w:t>Vice President </w:t>
            </w:r>
          </w:p>
        </w:tc>
        <w:tc>
          <w:tcPr>
            <w:tcW w:w="128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Barbara Paulsen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Barbara Paulsen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Director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55"/>
        <w:gridCol w:w="352"/>
        <w:gridCol w:w="603"/>
        <w:gridCol w:w="3888"/>
        <w:gridCol w:w="1307"/>
      </w:tblGrid>
      <w:tr>
        <w:trPr/>
        <w:tc>
          <w:tcPr>
            <w:tcW w:w="4055"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rPr/>
            </w:pPr>
            <w:r>
              <w:rPr/>
              <w:t> </w:t>
            </w:r>
          </w:p>
        </w:tc>
        <w:tc>
          <w:tcPr>
            <w:tcW w:w="3888"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tcPr>
          <w:p>
            <w:pPr>
              <w:pStyle w:val="TableContents"/>
              <w:spacing w:before="0" w:after="283"/>
              <w:jc w:val="left"/>
              <w:rPr/>
            </w:pPr>
            <w:r>
              <w:rPr/>
              <w:t> </w:t>
            </w:r>
          </w:p>
        </w:tc>
        <w:tc>
          <w:tcPr>
            <w:tcW w:w="4843" w:type="dxa"/>
            <w:gridSpan w:val="3"/>
            <w:tcBorders/>
            <w:shd w:fill="auto" w:val="clear"/>
            <w:vAlign w:val="center"/>
          </w:tcPr>
          <w:p>
            <w:pPr>
              <w:pStyle w:val="TableContents"/>
              <w:spacing w:before="0" w:after="283"/>
              <w:jc w:val="left"/>
              <w:rPr/>
            </w:pPr>
            <w:r>
              <w:rPr/>
              <w:t>JPMORGAN CHASE BANK, N.A., Lender</w:t>
              <w:br/>
              <w:t>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tcPr>
          <w:p>
            <w:pPr>
              <w:pStyle w:val="TableContents"/>
              <w:spacing w:before="0" w:after="283"/>
              <w:rPr/>
            </w:pPr>
            <w:r>
              <w:rPr/>
              <w:t>By:  </w:t>
            </w:r>
          </w:p>
        </w:tc>
        <w:tc>
          <w:tcPr>
            <w:tcW w:w="4491" w:type="dxa"/>
            <w:gridSpan w:val="2"/>
            <w:tcBorders>
              <w:bottom w:val="single" w:sz="2" w:space="0" w:color="000000"/>
            </w:tcBorders>
            <w:shd w:fill="auto" w:val="clear"/>
            <w:tcMar>
              <w:bottom w:w="28" w:type="dxa"/>
            </w:tcMar>
            <w:vAlign w:val="center"/>
          </w:tcPr>
          <w:p>
            <w:pPr>
              <w:pStyle w:val="TableContents"/>
              <w:spacing w:before="0" w:after="283"/>
              <w:jc w:val="left"/>
              <w:rPr/>
            </w:pPr>
            <w:r>
              <w:rPr/>
              <w:t>/s/ 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Name:  </w:t>
            </w:r>
          </w:p>
        </w:tc>
        <w:tc>
          <w:tcPr>
            <w:tcW w:w="3888" w:type="dxa"/>
            <w:tcBorders/>
            <w:shd w:fill="auto" w:val="clear"/>
            <w:vAlign w:val="center"/>
          </w:tcPr>
          <w:p>
            <w:pPr>
              <w:pStyle w:val="TableContents"/>
              <w:spacing w:before="0" w:after="283"/>
              <w:jc w:val="left"/>
              <w:rPr/>
            </w:pPr>
            <w:r>
              <w:rPr/>
              <w:t>Tara Narasiman </w:t>
            </w:r>
          </w:p>
        </w:tc>
        <w:tc>
          <w:tcPr>
            <w:tcW w:w="1307" w:type="dxa"/>
            <w:tcBorders/>
            <w:shd w:fill="auto" w:val="clear"/>
            <w:vAlign w:val="center"/>
          </w:tcPr>
          <w:p>
            <w:pPr>
              <w:pStyle w:val="TableContents"/>
              <w:spacing w:before="0" w:after="283"/>
              <w:rPr/>
            </w:pPr>
            <w:r>
              <w:rPr/>
              <w:t> </w:t>
            </w:r>
          </w:p>
        </w:tc>
      </w:tr>
      <w:tr>
        <w:trPr/>
        <w:tc>
          <w:tcPr>
            <w:tcW w:w="4055" w:type="dxa"/>
            <w:tcBorders/>
            <w:shd w:fill="auto" w:val="clear"/>
            <w:vAlign w:val="center"/>
          </w:tcPr>
          <w:p>
            <w:pPr>
              <w:pStyle w:val="TableContents"/>
              <w:spacing w:before="0" w:after="283"/>
              <w:jc w:val="left"/>
              <w:rPr/>
            </w:pPr>
            <w:r>
              <w:rPr/>
              <w:t> </w:t>
            </w:r>
          </w:p>
        </w:tc>
        <w:tc>
          <w:tcPr>
            <w:tcW w:w="352" w:type="dxa"/>
            <w:tcBorders/>
            <w:shd w:fill="auto" w:val="clear"/>
            <w:vAlign w:val="center"/>
          </w:tcPr>
          <w:p>
            <w:pPr>
              <w:pStyle w:val="TableContents"/>
              <w:spacing w:before="0" w:after="283"/>
              <w:rPr/>
            </w:pPr>
            <w:r>
              <w:rPr/>
              <w:t> </w:t>
            </w:r>
          </w:p>
        </w:tc>
        <w:tc>
          <w:tcPr>
            <w:tcW w:w="603" w:type="dxa"/>
            <w:tcBorders/>
            <w:shd w:fill="auto" w:val="clear"/>
          </w:tcPr>
          <w:p>
            <w:pPr>
              <w:pStyle w:val="TableContents"/>
              <w:spacing w:before="0" w:after="283"/>
              <w:rPr/>
            </w:pPr>
            <w:r>
              <w:rPr/>
              <w:t>Title:  </w:t>
            </w:r>
          </w:p>
        </w:tc>
        <w:tc>
          <w:tcPr>
            <w:tcW w:w="3888" w:type="dxa"/>
            <w:tcBorders/>
            <w:shd w:fill="auto" w:val="clear"/>
            <w:vAlign w:val="center"/>
          </w:tcPr>
          <w:p>
            <w:pPr>
              <w:pStyle w:val="TableContents"/>
              <w:spacing w:before="0" w:after="283"/>
              <w:jc w:val="left"/>
              <w:rPr/>
            </w:pPr>
            <w:r>
              <w:rPr/>
              <w:t>Associate </w:t>
            </w:r>
          </w:p>
        </w:tc>
        <w:tc>
          <w:tcPr>
            <w:tcW w:w="130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4"/>
        <w:gridCol w:w="408"/>
        <w:gridCol w:w="602"/>
        <w:gridCol w:w="3807"/>
        <w:gridCol w:w="1314"/>
      </w:tblGrid>
      <w:tr>
        <w:trPr/>
        <w:tc>
          <w:tcPr>
            <w:tcW w:w="4074" w:type="dxa"/>
            <w:tcBorders/>
            <w:shd w:fill="auto" w:val="clear"/>
            <w:vAlign w:val="cente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vAlign w:val="center"/>
          </w:tcPr>
          <w:p>
            <w:pPr>
              <w:pStyle w:val="TableContents"/>
              <w:spacing w:before="0" w:after="283"/>
              <w:rPr/>
            </w:pPr>
            <w:r>
              <w:rPr/>
              <w:t> </w:t>
            </w:r>
          </w:p>
        </w:tc>
        <w:tc>
          <w:tcPr>
            <w:tcW w:w="3807"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tcPr>
          <w:p>
            <w:pPr>
              <w:pStyle w:val="TableContents"/>
              <w:spacing w:before="0" w:after="283"/>
              <w:jc w:val="left"/>
              <w:rPr/>
            </w:pPr>
            <w:r>
              <w:rPr/>
              <w:t> </w:t>
            </w:r>
          </w:p>
        </w:tc>
        <w:tc>
          <w:tcPr>
            <w:tcW w:w="4817" w:type="dxa"/>
            <w:gridSpan w:val="3"/>
            <w:tcBorders/>
            <w:shd w:fill="auto" w:val="clear"/>
            <w:vAlign w:val="center"/>
          </w:tcPr>
          <w:p>
            <w:pPr>
              <w:pStyle w:val="TableContents"/>
              <w:spacing w:before="0" w:after="283"/>
              <w:jc w:val="left"/>
              <w:rPr/>
            </w:pPr>
            <w:r>
              <w:rPr/>
              <w:t>COMMERZBANK AG, NEW YORK AND GRAND CAYMAN BRANCHES, Lender</w:t>
              <w:br/>
              <w:t>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tcPr>
          <w:p>
            <w:pPr>
              <w:pStyle w:val="TableContents"/>
              <w:spacing w:before="0" w:after="283"/>
              <w:rPr/>
            </w:pPr>
            <w:r>
              <w:rPr/>
              <w:t>By:  </w:t>
            </w:r>
          </w:p>
        </w:tc>
        <w:tc>
          <w:tcPr>
            <w:tcW w:w="4409" w:type="dxa"/>
            <w:gridSpan w:val="2"/>
            <w:tcBorders>
              <w:bottom w:val="single" w:sz="2" w:space="0" w:color="000000"/>
            </w:tcBorders>
            <w:shd w:fill="auto" w:val="clear"/>
            <w:tcMar>
              <w:bottom w:w="28" w:type="dxa"/>
            </w:tcMar>
            <w:vAlign w:val="center"/>
          </w:tcPr>
          <w:p>
            <w:pPr>
              <w:pStyle w:val="TableContents"/>
              <w:spacing w:before="0" w:after="283"/>
              <w:jc w:val="left"/>
              <w:rPr/>
            </w:pPr>
            <w:r>
              <w:rPr/>
              <w:t>/s/ Andrew Campbell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Name:  </w:t>
            </w:r>
          </w:p>
        </w:tc>
        <w:tc>
          <w:tcPr>
            <w:tcW w:w="3807" w:type="dxa"/>
            <w:tcBorders/>
            <w:shd w:fill="auto" w:val="clear"/>
            <w:vAlign w:val="center"/>
          </w:tcPr>
          <w:p>
            <w:pPr>
              <w:pStyle w:val="TableContents"/>
              <w:spacing w:before="0" w:after="283"/>
              <w:jc w:val="left"/>
              <w:rPr/>
            </w:pPr>
            <w:r>
              <w:rPr/>
              <w:t>Andrew Campbell </w:t>
            </w:r>
          </w:p>
        </w:tc>
        <w:tc>
          <w:tcPr>
            <w:tcW w:w="1314" w:type="dxa"/>
            <w:tcBorders/>
            <w:shd w:fill="auto" w:val="clear"/>
            <w:vAlign w:val="center"/>
          </w:tcPr>
          <w:p>
            <w:pPr>
              <w:pStyle w:val="TableContents"/>
              <w:spacing w:before="0" w:after="283"/>
              <w:rPr/>
            </w:pPr>
            <w:r>
              <w:rPr/>
              <w:t> </w:t>
            </w:r>
          </w:p>
        </w:tc>
      </w:tr>
      <w:tr>
        <w:trPr/>
        <w:tc>
          <w:tcPr>
            <w:tcW w:w="4074" w:type="dxa"/>
            <w:tcBorders/>
            <w:shd w:fill="auto" w:val="clear"/>
            <w:vAlign w:val="center"/>
          </w:tcPr>
          <w:p>
            <w:pPr>
              <w:pStyle w:val="TableContents"/>
              <w:spacing w:before="0" w:after="283"/>
              <w:jc w:val="left"/>
              <w:rPr/>
            </w:pPr>
            <w:r>
              <w:rPr/>
              <w:t> </w:t>
            </w:r>
          </w:p>
        </w:tc>
        <w:tc>
          <w:tcPr>
            <w:tcW w:w="408" w:type="dxa"/>
            <w:tcBorders/>
            <w:shd w:fill="auto" w:val="clear"/>
            <w:vAlign w:val="center"/>
          </w:tcPr>
          <w:p>
            <w:pPr>
              <w:pStyle w:val="TableContents"/>
              <w:spacing w:before="0" w:after="283"/>
              <w:rPr/>
            </w:pPr>
            <w:r>
              <w:rPr/>
              <w:t> </w:t>
            </w:r>
          </w:p>
        </w:tc>
        <w:tc>
          <w:tcPr>
            <w:tcW w:w="602" w:type="dxa"/>
            <w:tcBorders/>
            <w:shd w:fill="auto" w:val="clear"/>
          </w:tcPr>
          <w:p>
            <w:pPr>
              <w:pStyle w:val="TableContents"/>
              <w:spacing w:before="0" w:after="283"/>
              <w:rPr/>
            </w:pPr>
            <w:r>
              <w:rPr/>
              <w:t>Title:  </w:t>
            </w:r>
          </w:p>
        </w:tc>
        <w:tc>
          <w:tcPr>
            <w:tcW w:w="3807" w:type="dxa"/>
            <w:tcBorders/>
            <w:shd w:fill="auto" w:val="clear"/>
            <w:vAlign w:val="center"/>
          </w:tcPr>
          <w:p>
            <w:pPr>
              <w:pStyle w:val="TableContents"/>
              <w:spacing w:before="0" w:after="283"/>
              <w:jc w:val="left"/>
              <w:rPr/>
            </w:pPr>
            <w:r>
              <w:rPr/>
              <w:t>Senior Vice President </w:t>
            </w:r>
          </w:p>
        </w:tc>
        <w:tc>
          <w:tcPr>
            <w:tcW w:w="13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Barbara Stacks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Barbara Stacks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Assistant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Accepted this 15th day of June,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BANK OF AMERICA, N.A., Administrative Agent </w:t>
      </w:r>
    </w:p>
    <w:tbl>
      <w:tblPr>
        <w:tblW w:w="5000" w:type="pct"/>
        <w:jc w:val="center"/>
        <w:tblInd w:w="0" w:type="dxa"/>
        <w:tblCellMar>
          <w:top w:w="0" w:type="dxa"/>
          <w:left w:w="0" w:type="dxa"/>
          <w:bottom w:w="0" w:type="dxa"/>
          <w:right w:w="0" w:type="dxa"/>
        </w:tblCellMar>
      </w:tblPr>
      <w:tblGrid>
        <w:gridCol w:w="309"/>
        <w:gridCol w:w="230"/>
        <w:gridCol w:w="3860"/>
        <w:gridCol w:w="323"/>
        <w:gridCol w:w="5483"/>
      </w:tblGrid>
      <w:tr>
        <w:trPr/>
        <w:tc>
          <w:tcPr>
            <w:tcW w:w="30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5483" w:type="dxa"/>
            <w:tcBorders/>
            <w:shd w:fill="auto" w:val="clear"/>
            <w:vAlign w:val="bottom"/>
          </w:tcPr>
          <w:p>
            <w:pPr>
              <w:pStyle w:val="TableContents"/>
              <w:spacing w:before="0" w:after="283"/>
              <w:rPr/>
            </w:pPr>
            <w:r>
              <w:rPr/>
              <w:t> </w:t>
            </w:r>
          </w:p>
        </w:tc>
      </w:tr>
      <w:tr>
        <w:trPr/>
        <w:tc>
          <w:tcPr>
            <w:tcW w:w="309" w:type="dxa"/>
            <w:tcBorders/>
            <w:shd w:fill="auto" w:val="clear"/>
          </w:tcPr>
          <w:p>
            <w:pPr>
              <w:pStyle w:val="TableContents"/>
              <w:spacing w:before="0" w:after="0"/>
              <w:ind w:left="0" w:right="0" w:hanging="0"/>
              <w:rPr/>
            </w:pPr>
            <w:r>
              <w:rPr/>
              <w:t xml:space="preserve">By: </w:t>
            </w:r>
          </w:p>
        </w:tc>
        <w:tc>
          <w:tcPr>
            <w:tcW w:w="230" w:type="dxa"/>
            <w:tcBorders/>
            <w:shd w:fill="auto" w:val="clear"/>
            <w:vAlign w:val="bottom"/>
          </w:tcPr>
          <w:p>
            <w:pPr>
              <w:pStyle w:val="TableContents"/>
              <w:spacing w:before="0" w:after="283"/>
              <w:rPr/>
            </w:pPr>
            <w:r>
              <w:rPr/>
              <w:t> </w:t>
            </w:r>
          </w:p>
        </w:tc>
        <w:tc>
          <w:tcPr>
            <w:tcW w:w="3860" w:type="dxa"/>
            <w:tcBorders/>
            <w:shd w:fill="auto" w:val="clear"/>
          </w:tcPr>
          <w:p>
            <w:pPr>
              <w:pStyle w:val="TableContents"/>
              <w:spacing w:before="0" w:after="283"/>
              <w:jc w:val="left"/>
              <w:rPr/>
            </w:pPr>
            <w:r>
              <w:rPr/>
              <w:t xml:space="preserve">/s/ Christen A. Lacey </w:t>
            </w:r>
          </w:p>
        </w:tc>
        <w:tc>
          <w:tcPr>
            <w:tcW w:w="323" w:type="dxa"/>
            <w:tcBorders/>
            <w:shd w:fill="auto" w:val="clear"/>
            <w:vAlign w:val="bottom"/>
          </w:tcPr>
          <w:p>
            <w:pPr>
              <w:pStyle w:val="TableContents"/>
              <w:spacing w:before="0" w:after="283"/>
              <w:rPr/>
            </w:pPr>
            <w:r>
              <w:rPr/>
              <w:t> </w:t>
            </w:r>
          </w:p>
        </w:tc>
        <w:tc>
          <w:tcPr>
            <w:tcW w:w="5483" w:type="dxa"/>
            <w:tcBorders/>
            <w:shd w:fill="auto" w:val="clear"/>
          </w:tcPr>
          <w:p>
            <w:pPr>
              <w:pStyle w:val="TableContents"/>
              <w:spacing w:before="0" w:after="283"/>
              <w:jc w:val="left"/>
              <w:rPr/>
            </w:pPr>
            <w:r>
              <w:rPr/>
              <w:t> </w:t>
            </w:r>
          </w:p>
        </w:tc>
      </w:tr>
      <w:tr>
        <w:trPr/>
        <w:tc>
          <w:tcPr>
            <w:tcW w:w="309" w:type="dxa"/>
            <w:tcBorders/>
            <w:shd w:fill="auto" w:val="clear"/>
          </w:tcPr>
          <w:p>
            <w:pPr>
              <w:pStyle w:val="TableContents"/>
              <w:spacing w:before="0" w:after="0"/>
              <w:ind w:left="0" w:right="0" w:hanging="0"/>
              <w:rPr/>
            </w:pPr>
            <w:r>
              <w:rPr/>
              <w:t xml:space="preserve">  </w:t>
            </w:r>
          </w:p>
        </w:tc>
        <w:tc>
          <w:tcPr>
            <w:tcW w:w="230" w:type="dxa"/>
            <w:tcBorders/>
            <w:shd w:fill="auto" w:val="clear"/>
            <w:vAlign w:val="center"/>
          </w:tcPr>
          <w:p>
            <w:pPr>
              <w:pStyle w:val="TableContents"/>
              <w:spacing w:before="0" w:after="283"/>
              <w:rPr/>
            </w:pPr>
            <w:r>
              <w:rPr/>
              <w:t> </w:t>
            </w:r>
          </w:p>
        </w:tc>
        <w:tc>
          <w:tcPr>
            <w:tcW w:w="3860" w:type="dxa"/>
            <w:tcBorders>
              <w:top w:val="single" w:sz="2" w:space="0" w:color="000000"/>
            </w:tcBorders>
            <w:shd w:fill="auto" w:val="clear"/>
            <w:tcMar>
              <w:top w:w="28" w:type="dxa"/>
            </w:tcMar>
          </w:tcPr>
          <w:p>
            <w:pPr>
              <w:pStyle w:val="TableContents"/>
              <w:spacing w:before="0" w:after="283"/>
              <w:jc w:val="left"/>
              <w:rPr/>
            </w:pPr>
            <w:r>
              <w:rPr/>
              <w:t> </w:t>
            </w:r>
          </w:p>
        </w:tc>
        <w:tc>
          <w:tcPr>
            <w:tcW w:w="323" w:type="dxa"/>
            <w:tcBorders/>
            <w:shd w:fill="auto" w:val="clear"/>
            <w:vAlign w:val="center"/>
          </w:tcPr>
          <w:p>
            <w:pPr>
              <w:pStyle w:val="TableContents"/>
              <w:spacing w:before="0" w:after="283"/>
              <w:rPr/>
            </w:pPr>
            <w:r>
              <w:rPr/>
              <w:t> </w:t>
            </w:r>
          </w:p>
        </w:tc>
        <w:tc>
          <w:tcPr>
            <w:tcW w:w="5483" w:type="dxa"/>
            <w:tcBorders/>
            <w:shd w:fill="auto" w:val="clear"/>
          </w:tcPr>
          <w:p>
            <w:pPr>
              <w:pStyle w:val="TableContents"/>
              <w:spacing w:before="0" w:after="283"/>
              <w:jc w:val="left"/>
              <w:rPr/>
            </w:pPr>
            <w:r>
              <w:rPr/>
              <w:t> </w:t>
            </w:r>
          </w:p>
        </w:tc>
      </w:tr>
      <w:tr>
        <w:trPr/>
        <w:tc>
          <w:tcPr>
            <w:tcW w:w="309" w:type="dxa"/>
            <w:tcBorders/>
            <w:shd w:fill="auto" w:val="clear"/>
          </w:tcPr>
          <w:p>
            <w:pPr>
              <w:pStyle w:val="TableContents"/>
              <w:spacing w:before="0" w:after="0"/>
              <w:ind w:left="0" w:right="0" w:hanging="0"/>
              <w:rPr/>
            </w:pPr>
            <w:r>
              <w:rPr/>
              <w:t xml:space="preserve">  </w:t>
            </w:r>
          </w:p>
        </w:tc>
        <w:tc>
          <w:tcPr>
            <w:tcW w:w="230" w:type="dxa"/>
            <w:tcBorders/>
            <w:shd w:fill="auto" w:val="clear"/>
            <w:vAlign w:val="bottom"/>
          </w:tcPr>
          <w:p>
            <w:pPr>
              <w:pStyle w:val="TableContents"/>
              <w:spacing w:before="0" w:after="283"/>
              <w:rPr/>
            </w:pPr>
            <w:r>
              <w:rPr/>
              <w:t> </w:t>
            </w:r>
          </w:p>
        </w:tc>
        <w:tc>
          <w:tcPr>
            <w:tcW w:w="3860" w:type="dxa"/>
            <w:tcBorders/>
            <w:shd w:fill="auto" w:val="clear"/>
          </w:tcPr>
          <w:p>
            <w:pPr>
              <w:pStyle w:val="TableContents"/>
              <w:spacing w:before="0" w:after="283"/>
              <w:jc w:val="left"/>
              <w:rPr/>
            </w:pPr>
            <w:r>
              <w:rPr/>
              <w:t>Christen A. Lacey, Principal</w:t>
            </w:r>
          </w:p>
        </w:tc>
        <w:tc>
          <w:tcPr>
            <w:tcW w:w="323" w:type="dxa"/>
            <w:tcBorders/>
            <w:shd w:fill="auto" w:val="clear"/>
            <w:vAlign w:val="bottom"/>
          </w:tcPr>
          <w:p>
            <w:pPr>
              <w:pStyle w:val="TableContents"/>
              <w:spacing w:before="0" w:after="283"/>
              <w:rPr/>
            </w:pPr>
            <w:r>
              <w:rPr/>
              <w:t> </w:t>
            </w:r>
          </w:p>
        </w:tc>
        <w:tc>
          <w:tcPr>
            <w:tcW w:w="5483" w:type="dxa"/>
            <w:tcBorders/>
            <w:shd w:fill="auto" w:val="clea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Plains Marketing hereby approves (i) each of ING Capital LLC and Mizuho Corporate Bank, Ltd. as new Lenders and (ii) the increased Percentage Shares of the Maximum Facility Amount for each of BNP Paribas, Fortis Capital Corp., Societe Generale, JPMorgan Chase Bank and Commerzbank AG, New York and Grand Cayman Branches, as of this ___day of June, 2007, and agrees to pay to Administrative Agent for the account of such Lenders the following fees: </w:t>
      </w:r>
    </w:p>
    <w:tbl>
      <w:tblPr>
        <w:tblW w:w="4750" w:type="pct"/>
        <w:jc w:val="center"/>
        <w:tblInd w:w="0" w:type="dxa"/>
        <w:tblCellMar>
          <w:top w:w="0" w:type="dxa"/>
          <w:left w:w="0" w:type="dxa"/>
          <w:bottom w:w="0" w:type="dxa"/>
          <w:right w:w="0" w:type="dxa"/>
        </w:tblCellMar>
      </w:tblPr>
      <w:tblGrid>
        <w:gridCol w:w="6446"/>
        <w:gridCol w:w="1152"/>
        <w:gridCol w:w="643"/>
        <w:gridCol w:w="883"/>
        <w:gridCol w:w="570"/>
      </w:tblGrid>
      <w:tr>
        <w:trPr/>
        <w:tc>
          <w:tcPr>
            <w:tcW w:w="6446"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rPr/>
            </w:pPr>
            <w:r>
              <w:rPr/>
              <w:t> </w:t>
            </w:r>
          </w:p>
        </w:tc>
        <w:tc>
          <w:tcPr>
            <w:tcW w:w="643"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r>
      <w:tr>
        <w:trPr/>
        <w:tc>
          <w:tcPr>
            <w:tcW w:w="6446" w:type="dxa"/>
            <w:tcBorders>
              <w:bottom w:val="single" w:sz="2" w:space="0" w:color="000000"/>
            </w:tcBorders>
            <w:shd w:fill="auto" w:val="clear"/>
            <w:tcMar>
              <w:bottom w:w="28" w:type="dxa"/>
            </w:tcMar>
            <w:vAlign w:val="bottom"/>
          </w:tcPr>
          <w:p>
            <w:pPr>
              <w:pStyle w:val="TableContents"/>
              <w:spacing w:before="0" w:after="283"/>
              <w:jc w:val="left"/>
              <w:rPr/>
            </w:pPr>
            <w:r>
              <w:rPr/>
              <w:t>Lender</w:t>
            </w:r>
          </w:p>
        </w:tc>
        <w:tc>
          <w:tcPr>
            <w:tcW w:w="1152" w:type="dxa"/>
            <w:tcBorders/>
            <w:shd w:fill="auto" w:val="clear"/>
            <w:vAlign w:val="bottom"/>
          </w:tcPr>
          <w:p>
            <w:pPr>
              <w:pStyle w:val="TableContents"/>
              <w:spacing w:before="0" w:after="283"/>
              <w:rPr/>
            </w:pPr>
            <w:r>
              <w:rPr/>
              <w:t> </w:t>
            </w:r>
          </w:p>
        </w:tc>
        <w:tc>
          <w:tcPr>
            <w:tcW w:w="2096" w:type="dxa"/>
            <w:gridSpan w:val="3"/>
            <w:tcBorders>
              <w:bottom w:val="single" w:sz="2" w:space="0" w:color="000000"/>
            </w:tcBorders>
            <w:shd w:fill="auto" w:val="clear"/>
            <w:tcMar>
              <w:bottom w:w="28" w:type="dxa"/>
            </w:tcMar>
            <w:vAlign w:val="bottom"/>
          </w:tcPr>
          <w:p>
            <w:pPr>
              <w:pStyle w:val="TableContents"/>
              <w:spacing w:before="0" w:after="283"/>
              <w:jc w:val="center"/>
              <w:rPr/>
            </w:pPr>
            <w:r>
              <w:rPr/>
              <w:t>Fee</w:t>
            </w:r>
          </w:p>
        </w:tc>
      </w:tr>
      <w:tr>
        <w:trPr/>
        <w:tc>
          <w:tcPr>
            <w:tcW w:w="6446" w:type="dxa"/>
            <w:tcBorders/>
            <w:shd w:fill="CCEEFF" w:val="clear"/>
          </w:tcPr>
          <w:p>
            <w:pPr>
              <w:pStyle w:val="TableContents"/>
              <w:spacing w:before="0" w:after="0"/>
              <w:ind w:left="0" w:right="0" w:hanging="0"/>
              <w:rPr/>
            </w:pPr>
            <w:r>
              <w:rPr/>
              <w:t xml:space="preserve">ING Capital LLC </w:t>
            </w:r>
          </w:p>
        </w:tc>
        <w:tc>
          <w:tcPr>
            <w:tcW w:w="1152" w:type="dxa"/>
            <w:tcBorders/>
            <w:shd w:fill="CCEEFF" w:val="clear"/>
            <w:vAlign w:val="bottom"/>
          </w:tcPr>
          <w:p>
            <w:pPr>
              <w:pStyle w:val="TableContents"/>
              <w:spacing w:before="0" w:after="283"/>
              <w:rPr/>
            </w:pPr>
            <w:r>
              <w:rPr/>
              <w:t> </w:t>
            </w:r>
          </w:p>
        </w:tc>
        <w:tc>
          <w:tcPr>
            <w:tcW w:w="643" w:type="dxa"/>
            <w:tcBorders/>
            <w:shd w:fill="CCEEFF" w:val="clear"/>
          </w:tcPr>
          <w:p>
            <w:pPr>
              <w:pStyle w:val="TableContents"/>
              <w:spacing w:before="0" w:after="283"/>
              <w:jc w:val="right"/>
              <w:rPr/>
            </w:pPr>
            <w:r>
              <w:rPr/>
              <w:t>$</w:t>
            </w:r>
          </w:p>
        </w:tc>
        <w:tc>
          <w:tcPr>
            <w:tcW w:w="883" w:type="dxa"/>
            <w:tcBorders/>
            <w:shd w:fill="CCEEFF" w:val="clear"/>
          </w:tcPr>
          <w:p>
            <w:pPr>
              <w:pStyle w:val="TableContents"/>
              <w:spacing w:before="0" w:after="283"/>
              <w:jc w:val="right"/>
              <w:rPr/>
            </w:pPr>
            <w:r>
              <w:rPr/>
              <w:t>5,000.00</w:t>
            </w:r>
          </w:p>
        </w:tc>
        <w:tc>
          <w:tcPr>
            <w:tcW w:w="570" w:type="dxa"/>
            <w:tcBorders/>
            <w:shd w:fill="CCEEFF" w:val="clear"/>
          </w:tcPr>
          <w:p>
            <w:pPr>
              <w:pStyle w:val="TableContents"/>
              <w:spacing w:before="0" w:after="283"/>
              <w:rPr/>
            </w:pPr>
            <w:r>
              <w:rPr/>
              <w:t> </w:t>
            </w:r>
          </w:p>
        </w:tc>
      </w:tr>
      <w:tr>
        <w:trPr/>
        <w:tc>
          <w:tcPr>
            <w:tcW w:w="6446" w:type="dxa"/>
            <w:tcBorders/>
            <w:shd w:fill="auto" w:val="clear"/>
          </w:tcPr>
          <w:p>
            <w:pPr>
              <w:pStyle w:val="TableContents"/>
              <w:spacing w:before="0" w:after="0"/>
              <w:ind w:left="0" w:right="0" w:hanging="0"/>
              <w:rPr/>
            </w:pPr>
            <w:r>
              <w:rPr/>
              <w:t xml:space="preserve">Mizuho Corporate Bank, Ltd. </w:t>
            </w:r>
          </w:p>
        </w:tc>
        <w:tc>
          <w:tcPr>
            <w:tcW w:w="1152" w:type="dxa"/>
            <w:tcBorders/>
            <w:shd w:fill="auto" w:val="clear"/>
            <w:vAlign w:val="bottom"/>
          </w:tcPr>
          <w:p>
            <w:pPr>
              <w:pStyle w:val="TableContents"/>
              <w:spacing w:before="0" w:after="283"/>
              <w:rPr/>
            </w:pPr>
            <w:r>
              <w:rPr/>
              <w:t> </w:t>
            </w:r>
          </w:p>
        </w:tc>
        <w:tc>
          <w:tcPr>
            <w:tcW w:w="643" w:type="dxa"/>
            <w:tcBorders/>
            <w:shd w:fill="auto" w:val="clear"/>
          </w:tcPr>
          <w:p>
            <w:pPr>
              <w:pStyle w:val="TableContents"/>
              <w:spacing w:before="0" w:after="283"/>
              <w:jc w:val="right"/>
              <w:rPr/>
            </w:pPr>
            <w:r>
              <w:rPr/>
              <w:t>$</w:t>
            </w:r>
          </w:p>
        </w:tc>
        <w:tc>
          <w:tcPr>
            <w:tcW w:w="883" w:type="dxa"/>
            <w:tcBorders/>
            <w:shd w:fill="auto" w:val="clear"/>
          </w:tcPr>
          <w:p>
            <w:pPr>
              <w:pStyle w:val="TableContents"/>
              <w:spacing w:before="0" w:after="283"/>
              <w:jc w:val="right"/>
              <w:rPr/>
            </w:pPr>
            <w:r>
              <w:rPr/>
              <w:t>4,500.00</w:t>
            </w:r>
          </w:p>
        </w:tc>
        <w:tc>
          <w:tcPr>
            <w:tcW w:w="570" w:type="dxa"/>
            <w:tcBorders/>
            <w:shd w:fill="auto" w:val="clear"/>
          </w:tcPr>
          <w:p>
            <w:pPr>
              <w:pStyle w:val="TableContents"/>
              <w:spacing w:before="0" w:after="283"/>
              <w:rPr/>
            </w:pPr>
            <w:r>
              <w:rPr/>
              <w:t> </w:t>
            </w:r>
          </w:p>
        </w:tc>
      </w:tr>
      <w:tr>
        <w:trPr/>
        <w:tc>
          <w:tcPr>
            <w:tcW w:w="6446" w:type="dxa"/>
            <w:tcBorders/>
            <w:shd w:fill="CCEEFF" w:val="clear"/>
          </w:tcPr>
          <w:p>
            <w:pPr>
              <w:pStyle w:val="TableContents"/>
              <w:spacing w:before="0" w:after="0"/>
              <w:ind w:left="0" w:right="0" w:hanging="0"/>
              <w:rPr/>
            </w:pPr>
            <w:r>
              <w:rPr/>
              <w:t xml:space="preserve">BNP Paribas </w:t>
            </w:r>
          </w:p>
        </w:tc>
        <w:tc>
          <w:tcPr>
            <w:tcW w:w="1152" w:type="dxa"/>
            <w:tcBorders/>
            <w:shd w:fill="CCEEFF" w:val="clear"/>
            <w:vAlign w:val="bottom"/>
          </w:tcPr>
          <w:p>
            <w:pPr>
              <w:pStyle w:val="TableContents"/>
              <w:spacing w:before="0" w:after="283"/>
              <w:rPr/>
            </w:pPr>
            <w:r>
              <w:rPr/>
              <w:t> </w:t>
            </w:r>
          </w:p>
        </w:tc>
        <w:tc>
          <w:tcPr>
            <w:tcW w:w="643" w:type="dxa"/>
            <w:tcBorders/>
            <w:shd w:fill="CCEEFF" w:val="clear"/>
          </w:tcPr>
          <w:p>
            <w:pPr>
              <w:pStyle w:val="TableContents"/>
              <w:spacing w:before="0" w:after="283"/>
              <w:jc w:val="right"/>
              <w:rPr/>
            </w:pPr>
            <w:r>
              <w:rPr/>
              <w:t>$</w:t>
            </w:r>
          </w:p>
        </w:tc>
        <w:tc>
          <w:tcPr>
            <w:tcW w:w="883" w:type="dxa"/>
            <w:tcBorders/>
            <w:shd w:fill="CCEEFF" w:val="clear"/>
          </w:tcPr>
          <w:p>
            <w:pPr>
              <w:pStyle w:val="TableContents"/>
              <w:spacing w:before="0" w:after="283"/>
              <w:jc w:val="right"/>
              <w:rPr/>
            </w:pPr>
            <w:r>
              <w:rPr/>
              <w:t>2,000.00</w:t>
            </w:r>
          </w:p>
        </w:tc>
        <w:tc>
          <w:tcPr>
            <w:tcW w:w="570" w:type="dxa"/>
            <w:tcBorders/>
            <w:shd w:fill="CCEEFF" w:val="clear"/>
          </w:tcPr>
          <w:p>
            <w:pPr>
              <w:pStyle w:val="TableContents"/>
              <w:spacing w:before="0" w:after="283"/>
              <w:rPr/>
            </w:pPr>
            <w:r>
              <w:rPr/>
              <w:t> </w:t>
            </w:r>
          </w:p>
        </w:tc>
      </w:tr>
      <w:tr>
        <w:trPr/>
        <w:tc>
          <w:tcPr>
            <w:tcW w:w="6446" w:type="dxa"/>
            <w:tcBorders/>
            <w:shd w:fill="auto" w:val="clear"/>
          </w:tcPr>
          <w:p>
            <w:pPr>
              <w:pStyle w:val="TableContents"/>
              <w:spacing w:before="0" w:after="0"/>
              <w:ind w:left="0" w:right="0" w:hanging="0"/>
              <w:rPr/>
            </w:pPr>
            <w:r>
              <w:rPr/>
              <w:t xml:space="preserve">Fortis Capital Corp. </w:t>
            </w:r>
          </w:p>
        </w:tc>
        <w:tc>
          <w:tcPr>
            <w:tcW w:w="1152" w:type="dxa"/>
            <w:tcBorders/>
            <w:shd w:fill="auto" w:val="clear"/>
            <w:vAlign w:val="bottom"/>
          </w:tcPr>
          <w:p>
            <w:pPr>
              <w:pStyle w:val="TableContents"/>
              <w:spacing w:before="0" w:after="283"/>
              <w:rPr/>
            </w:pPr>
            <w:r>
              <w:rPr/>
              <w:t> </w:t>
            </w:r>
          </w:p>
        </w:tc>
        <w:tc>
          <w:tcPr>
            <w:tcW w:w="643" w:type="dxa"/>
            <w:tcBorders/>
            <w:shd w:fill="auto" w:val="clear"/>
          </w:tcPr>
          <w:p>
            <w:pPr>
              <w:pStyle w:val="TableContents"/>
              <w:spacing w:before="0" w:after="283"/>
              <w:jc w:val="right"/>
              <w:rPr/>
            </w:pPr>
            <w:r>
              <w:rPr/>
              <w:t>$</w:t>
            </w:r>
          </w:p>
        </w:tc>
        <w:tc>
          <w:tcPr>
            <w:tcW w:w="883" w:type="dxa"/>
            <w:tcBorders/>
            <w:shd w:fill="auto" w:val="clear"/>
          </w:tcPr>
          <w:p>
            <w:pPr>
              <w:pStyle w:val="TableContents"/>
              <w:spacing w:before="0" w:after="283"/>
              <w:jc w:val="right"/>
              <w:rPr/>
            </w:pPr>
            <w:r>
              <w:rPr/>
              <w:t>2,500.00</w:t>
            </w:r>
          </w:p>
        </w:tc>
        <w:tc>
          <w:tcPr>
            <w:tcW w:w="570" w:type="dxa"/>
            <w:tcBorders/>
            <w:shd w:fill="auto" w:val="clear"/>
          </w:tcPr>
          <w:p>
            <w:pPr>
              <w:pStyle w:val="TableContents"/>
              <w:spacing w:before="0" w:after="283"/>
              <w:rPr/>
            </w:pPr>
            <w:r>
              <w:rPr/>
              <w:t> </w:t>
            </w:r>
          </w:p>
        </w:tc>
      </w:tr>
      <w:tr>
        <w:trPr/>
        <w:tc>
          <w:tcPr>
            <w:tcW w:w="6446" w:type="dxa"/>
            <w:tcBorders/>
            <w:shd w:fill="CCEEFF" w:val="clear"/>
          </w:tcPr>
          <w:p>
            <w:pPr>
              <w:pStyle w:val="TableContents"/>
              <w:spacing w:before="0" w:after="0"/>
              <w:ind w:left="0" w:right="0" w:hanging="0"/>
              <w:rPr/>
            </w:pPr>
            <w:r>
              <w:rPr/>
              <w:t xml:space="preserve">Societe Generale </w:t>
            </w:r>
          </w:p>
        </w:tc>
        <w:tc>
          <w:tcPr>
            <w:tcW w:w="1152" w:type="dxa"/>
            <w:tcBorders/>
            <w:shd w:fill="CCEEFF" w:val="clear"/>
            <w:vAlign w:val="bottom"/>
          </w:tcPr>
          <w:p>
            <w:pPr>
              <w:pStyle w:val="TableContents"/>
              <w:spacing w:before="0" w:after="283"/>
              <w:rPr/>
            </w:pPr>
            <w:r>
              <w:rPr/>
              <w:t> </w:t>
            </w:r>
          </w:p>
        </w:tc>
        <w:tc>
          <w:tcPr>
            <w:tcW w:w="643" w:type="dxa"/>
            <w:tcBorders/>
            <w:shd w:fill="CCEEFF" w:val="clear"/>
          </w:tcPr>
          <w:p>
            <w:pPr>
              <w:pStyle w:val="TableContents"/>
              <w:spacing w:before="0" w:after="283"/>
              <w:jc w:val="right"/>
              <w:rPr/>
            </w:pPr>
            <w:r>
              <w:rPr/>
              <w:t>$</w:t>
            </w:r>
          </w:p>
        </w:tc>
        <w:tc>
          <w:tcPr>
            <w:tcW w:w="883" w:type="dxa"/>
            <w:tcBorders/>
            <w:shd w:fill="CCEEFF" w:val="clear"/>
          </w:tcPr>
          <w:p>
            <w:pPr>
              <w:pStyle w:val="TableContents"/>
              <w:spacing w:before="0" w:after="283"/>
              <w:jc w:val="right"/>
              <w:rPr/>
            </w:pPr>
            <w:r>
              <w:rPr/>
              <w:t>2,000.00</w:t>
            </w:r>
          </w:p>
        </w:tc>
        <w:tc>
          <w:tcPr>
            <w:tcW w:w="570" w:type="dxa"/>
            <w:tcBorders/>
            <w:shd w:fill="CCEEFF" w:val="clear"/>
          </w:tcPr>
          <w:p>
            <w:pPr>
              <w:pStyle w:val="TableContents"/>
              <w:spacing w:before="0" w:after="283"/>
              <w:rPr/>
            </w:pPr>
            <w:r>
              <w:rPr/>
              <w:t> </w:t>
            </w:r>
          </w:p>
        </w:tc>
      </w:tr>
      <w:tr>
        <w:trPr/>
        <w:tc>
          <w:tcPr>
            <w:tcW w:w="6446" w:type="dxa"/>
            <w:tcBorders/>
            <w:shd w:fill="auto" w:val="clear"/>
          </w:tcPr>
          <w:p>
            <w:pPr>
              <w:pStyle w:val="TableContents"/>
              <w:spacing w:before="0" w:after="0"/>
              <w:ind w:left="0" w:right="0" w:hanging="0"/>
              <w:rPr/>
            </w:pPr>
            <w:r>
              <w:rPr/>
              <w:t xml:space="preserve">JPMorgan Chase Bank </w:t>
            </w:r>
          </w:p>
        </w:tc>
        <w:tc>
          <w:tcPr>
            <w:tcW w:w="1152" w:type="dxa"/>
            <w:tcBorders/>
            <w:shd w:fill="auto" w:val="clear"/>
            <w:vAlign w:val="bottom"/>
          </w:tcPr>
          <w:p>
            <w:pPr>
              <w:pStyle w:val="TableContents"/>
              <w:spacing w:before="0" w:after="283"/>
              <w:rPr/>
            </w:pPr>
            <w:r>
              <w:rPr/>
              <w:t> </w:t>
            </w:r>
          </w:p>
        </w:tc>
        <w:tc>
          <w:tcPr>
            <w:tcW w:w="643" w:type="dxa"/>
            <w:tcBorders/>
            <w:shd w:fill="auto" w:val="clear"/>
          </w:tcPr>
          <w:p>
            <w:pPr>
              <w:pStyle w:val="TableContents"/>
              <w:spacing w:before="0" w:after="283"/>
              <w:jc w:val="right"/>
              <w:rPr/>
            </w:pPr>
            <w:r>
              <w:rPr/>
              <w:t>$</w:t>
            </w:r>
          </w:p>
        </w:tc>
        <w:tc>
          <w:tcPr>
            <w:tcW w:w="883" w:type="dxa"/>
            <w:tcBorders/>
            <w:shd w:fill="auto" w:val="clear"/>
          </w:tcPr>
          <w:p>
            <w:pPr>
              <w:pStyle w:val="TableContents"/>
              <w:spacing w:before="0" w:after="283"/>
              <w:jc w:val="right"/>
              <w:rPr/>
            </w:pPr>
            <w:r>
              <w:rPr/>
              <w:t>2,000.00</w:t>
            </w:r>
          </w:p>
        </w:tc>
        <w:tc>
          <w:tcPr>
            <w:tcW w:w="570" w:type="dxa"/>
            <w:tcBorders/>
            <w:shd w:fill="auto" w:val="clear"/>
          </w:tcPr>
          <w:p>
            <w:pPr>
              <w:pStyle w:val="TableContents"/>
              <w:spacing w:before="0" w:after="283"/>
              <w:rPr/>
            </w:pPr>
            <w:r>
              <w:rPr/>
              <w:t> </w:t>
            </w:r>
          </w:p>
        </w:tc>
      </w:tr>
      <w:tr>
        <w:trPr/>
        <w:tc>
          <w:tcPr>
            <w:tcW w:w="6446" w:type="dxa"/>
            <w:tcBorders/>
            <w:shd w:fill="CCEEFF" w:val="clear"/>
          </w:tcPr>
          <w:p>
            <w:pPr>
              <w:pStyle w:val="TableContents"/>
              <w:spacing w:before="0" w:after="0"/>
              <w:ind w:left="0" w:right="0" w:hanging="0"/>
              <w:rPr/>
            </w:pPr>
            <w:r>
              <w:rPr/>
              <w:t xml:space="preserve">Commerzbank AG, New York </w:t>
            </w:r>
          </w:p>
        </w:tc>
        <w:tc>
          <w:tcPr>
            <w:tcW w:w="1152" w:type="dxa"/>
            <w:tcBorders/>
            <w:shd w:fill="CCEEFF" w:val="clear"/>
            <w:vAlign w:val="bottom"/>
          </w:tcPr>
          <w:p>
            <w:pPr>
              <w:pStyle w:val="TableContents"/>
              <w:spacing w:before="0" w:after="283"/>
              <w:rPr/>
            </w:pPr>
            <w:r>
              <w:rPr/>
              <w:t> </w:t>
            </w:r>
          </w:p>
        </w:tc>
        <w:tc>
          <w:tcPr>
            <w:tcW w:w="643" w:type="dxa"/>
            <w:tcBorders/>
            <w:shd w:fill="CCEEFF" w:val="clear"/>
          </w:tcPr>
          <w:p>
            <w:pPr>
              <w:pStyle w:val="TableContents"/>
              <w:spacing w:before="0" w:after="283"/>
              <w:jc w:val="right"/>
              <w:rPr/>
            </w:pPr>
            <w:r>
              <w:rPr/>
              <w:t>$</w:t>
            </w:r>
          </w:p>
        </w:tc>
        <w:tc>
          <w:tcPr>
            <w:tcW w:w="883" w:type="dxa"/>
            <w:tcBorders/>
            <w:shd w:fill="CCEEFF" w:val="clear"/>
          </w:tcPr>
          <w:p>
            <w:pPr>
              <w:pStyle w:val="TableContents"/>
              <w:spacing w:before="0" w:after="283"/>
              <w:jc w:val="right"/>
              <w:rPr/>
            </w:pPr>
            <w:r>
              <w:rPr/>
              <w:t>2,000.00</w:t>
            </w:r>
          </w:p>
        </w:tc>
        <w:tc>
          <w:tcPr>
            <w:tcW w:w="570" w:type="dxa"/>
            <w:tcBorders/>
            <w:shd w:fill="CCEEFF" w:val="clear"/>
          </w:tcPr>
          <w:p>
            <w:pPr>
              <w:pStyle w:val="TableContents"/>
              <w:spacing w:before="0" w:after="283"/>
              <w:rPr/>
            </w:pPr>
            <w:r>
              <w:rPr/>
              <w:t> </w:t>
            </w:r>
          </w:p>
        </w:tc>
      </w:tr>
      <w:tr>
        <w:trPr/>
        <w:tc>
          <w:tcPr>
            <w:tcW w:w="6446" w:type="dxa"/>
            <w:tcBorders/>
            <w:shd w:fill="auto" w:val="clear"/>
          </w:tcPr>
          <w:p>
            <w:pPr>
              <w:pStyle w:val="TableContents"/>
              <w:spacing w:before="0" w:after="0"/>
              <w:ind w:left="0" w:right="0" w:hanging="0"/>
              <w:rPr/>
            </w:pPr>
            <w:r>
              <w:rPr/>
              <w:t>and Grand Cayman Branches</w:t>
            </w:r>
          </w:p>
        </w:tc>
        <w:tc>
          <w:tcPr>
            <w:tcW w:w="1152" w:type="dxa"/>
            <w:tcBorders/>
            <w:shd w:fill="auto" w:val="clear"/>
            <w:vAlign w:val="bottom"/>
          </w:tcPr>
          <w:p>
            <w:pPr>
              <w:pStyle w:val="TableContents"/>
              <w:spacing w:before="0" w:after="283"/>
              <w:rPr/>
            </w:pPr>
            <w:r>
              <w:rPr/>
              <w:t> </w:t>
            </w:r>
          </w:p>
        </w:tc>
        <w:tc>
          <w:tcPr>
            <w:tcW w:w="643" w:type="dxa"/>
            <w:tcBorders/>
            <w:shd w:fill="auto" w:val="clear"/>
          </w:tcPr>
          <w:p>
            <w:pPr>
              <w:pStyle w:val="TableContents"/>
              <w:spacing w:before="0" w:after="283"/>
              <w:jc w:val="right"/>
              <w:rPr/>
            </w:pPr>
            <w:r>
              <w:rPr/>
              <w:t> </w:t>
            </w:r>
          </w:p>
        </w:tc>
        <w:tc>
          <w:tcPr>
            <w:tcW w:w="883" w:type="dxa"/>
            <w:tcBorders/>
            <w:shd w:fill="auto" w:val="clear"/>
          </w:tcPr>
          <w:p>
            <w:pPr>
              <w:pStyle w:val="TableContents"/>
              <w:spacing w:before="0" w:after="283"/>
              <w:jc w:val="right"/>
              <w:rPr/>
            </w:pPr>
            <w:r>
              <w:rPr/>
              <w:t> </w:t>
            </w:r>
          </w:p>
        </w:tc>
        <w:tc>
          <w:tcPr>
            <w:tcW w:w="570" w:type="dxa"/>
            <w:tcBorders/>
            <w:shd w:fill="auto" w:val="clea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Plains Marketing hereby represents and warrants that no Event of Default has occurred which is continuing. </w:t>
      </w:r>
    </w:p>
    <w:tbl>
      <w:tblPr>
        <w:tblW w:w="5000" w:type="pct"/>
        <w:jc w:val="center"/>
        <w:tblInd w:w="0" w:type="dxa"/>
        <w:tblCellMar>
          <w:top w:w="0" w:type="dxa"/>
          <w:left w:w="0" w:type="dxa"/>
          <w:bottom w:w="0" w:type="dxa"/>
          <w:right w:w="0" w:type="dxa"/>
        </w:tblCellMar>
      </w:tblPr>
      <w:tblGrid>
        <w:gridCol w:w="444"/>
        <w:gridCol w:w="228"/>
        <w:gridCol w:w="4006"/>
        <w:gridCol w:w="317"/>
        <w:gridCol w:w="5210"/>
      </w:tblGrid>
      <w:tr>
        <w:trPr/>
        <w:tc>
          <w:tcPr>
            <w:tcW w:w="44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006"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210" w:type="dxa"/>
            <w:tcBorders/>
            <w:shd w:fill="auto" w:val="clear"/>
            <w:vAlign w:val="bottom"/>
          </w:tcPr>
          <w:p>
            <w:pPr>
              <w:pStyle w:val="TableContents"/>
              <w:spacing w:before="0" w:after="283"/>
              <w:rPr/>
            </w:pPr>
            <w:r>
              <w:rPr/>
              <w:t> </w:t>
            </w:r>
          </w:p>
        </w:tc>
      </w:tr>
      <w:tr>
        <w:trPr/>
        <w:tc>
          <w:tcPr>
            <w:tcW w:w="4678" w:type="dxa"/>
            <w:gridSpan w:val="3"/>
            <w:tcBorders/>
            <w:shd w:fill="auto" w:val="clear"/>
          </w:tcPr>
          <w:p>
            <w:pPr>
              <w:pStyle w:val="TableContents"/>
              <w:spacing w:before="0" w:after="283"/>
              <w:jc w:val="left"/>
              <w:rPr/>
            </w:pPr>
            <w:r>
              <w:rPr/>
              <w:t>PLAINS MARKETING, L.P.</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r>
        <w:trPr/>
        <w:tc>
          <w:tcPr>
            <w:tcW w:w="444" w:type="dxa"/>
            <w:tcBorders/>
            <w:shd w:fill="auto" w:val="clear"/>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283"/>
              <w:rPr/>
            </w:pPr>
            <w:r>
              <w:rPr/>
              <w:t> </w:t>
            </w:r>
          </w:p>
        </w:tc>
        <w:tc>
          <w:tcPr>
            <w:tcW w:w="4006" w:type="dxa"/>
            <w:tcBorders/>
            <w:shd w:fill="auto" w:val="clear"/>
          </w:tcPr>
          <w:p>
            <w:pPr>
              <w:pStyle w:val="TableContents"/>
              <w:spacing w:before="0" w:after="283"/>
              <w:jc w:val="left"/>
              <w:rPr/>
            </w:pPr>
            <w:r>
              <w:rPr/>
              <w:t> </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r>
        <w:trPr/>
        <w:tc>
          <w:tcPr>
            <w:tcW w:w="444" w:type="dxa"/>
            <w:tcBorders/>
            <w:shd w:fill="auto" w:val="clear"/>
          </w:tcPr>
          <w:p>
            <w:pPr>
              <w:pStyle w:val="TableContents"/>
              <w:spacing w:before="0" w:after="0"/>
              <w:ind w:left="0" w:right="0" w:hanging="0"/>
              <w:rPr/>
            </w:pPr>
            <w:r>
              <w:rPr/>
              <w:t xml:space="preserve">By: </w:t>
            </w:r>
          </w:p>
        </w:tc>
        <w:tc>
          <w:tcPr>
            <w:tcW w:w="228" w:type="dxa"/>
            <w:tcBorders/>
            <w:shd w:fill="auto" w:val="clear"/>
            <w:vAlign w:val="bottom"/>
          </w:tcPr>
          <w:p>
            <w:pPr>
              <w:pStyle w:val="TableContents"/>
              <w:spacing w:before="0" w:after="283"/>
              <w:rPr/>
            </w:pPr>
            <w:r>
              <w:rPr/>
              <w:t> </w:t>
            </w:r>
          </w:p>
        </w:tc>
        <w:tc>
          <w:tcPr>
            <w:tcW w:w="4006" w:type="dxa"/>
            <w:tcBorders/>
            <w:shd w:fill="auto" w:val="clear"/>
          </w:tcPr>
          <w:p>
            <w:pPr>
              <w:pStyle w:val="TableContents"/>
              <w:spacing w:before="0" w:after="283"/>
              <w:jc w:val="left"/>
              <w:rPr/>
            </w:pPr>
            <w:r>
              <w:rPr/>
              <w:t xml:space="preserve">Plains Marketing GP, Inc., General Partner </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r>
        <w:trPr/>
        <w:tc>
          <w:tcPr>
            <w:tcW w:w="444" w:type="dxa"/>
            <w:tcBorders/>
            <w:shd w:fill="auto" w:val="clear"/>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283"/>
              <w:rPr/>
            </w:pPr>
            <w:r>
              <w:rPr/>
              <w:t> </w:t>
            </w:r>
          </w:p>
        </w:tc>
        <w:tc>
          <w:tcPr>
            <w:tcW w:w="4006" w:type="dxa"/>
            <w:tcBorders/>
            <w:shd w:fill="auto" w:val="clear"/>
          </w:tcPr>
          <w:p>
            <w:pPr>
              <w:pStyle w:val="TableContents"/>
              <w:spacing w:before="0" w:after="283"/>
              <w:jc w:val="left"/>
              <w:rPr/>
            </w:pPr>
            <w:r>
              <w:rPr/>
              <w:t> </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r>
        <w:trPr/>
        <w:tc>
          <w:tcPr>
            <w:tcW w:w="444" w:type="dxa"/>
            <w:tcBorders/>
            <w:shd w:fill="auto" w:val="clear"/>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283"/>
              <w:rPr/>
            </w:pPr>
            <w:r>
              <w:rPr/>
              <w:t> </w:t>
            </w:r>
          </w:p>
        </w:tc>
        <w:tc>
          <w:tcPr>
            <w:tcW w:w="4006" w:type="dxa"/>
            <w:tcBorders/>
            <w:shd w:fill="auto" w:val="clear"/>
          </w:tcPr>
          <w:p>
            <w:pPr>
              <w:pStyle w:val="TableContents"/>
              <w:spacing w:before="0" w:after="283"/>
              <w:jc w:val="left"/>
              <w:rPr/>
            </w:pPr>
            <w:r>
              <w:rPr/>
              <w:t> </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r>
        <w:trPr/>
        <w:tc>
          <w:tcPr>
            <w:tcW w:w="444" w:type="dxa"/>
            <w:tcBorders/>
            <w:shd w:fill="auto" w:val="clear"/>
          </w:tcPr>
          <w:p>
            <w:pPr>
              <w:pStyle w:val="TableContents"/>
              <w:spacing w:before="0" w:after="0"/>
              <w:ind w:left="0" w:right="0" w:hanging="0"/>
              <w:rPr/>
            </w:pPr>
            <w:r>
              <w:rPr/>
              <w:t xml:space="preserve">By: </w:t>
            </w:r>
          </w:p>
        </w:tc>
        <w:tc>
          <w:tcPr>
            <w:tcW w:w="228" w:type="dxa"/>
            <w:tcBorders/>
            <w:shd w:fill="auto" w:val="clear"/>
            <w:vAlign w:val="bottom"/>
          </w:tcPr>
          <w:p>
            <w:pPr>
              <w:pStyle w:val="TableContents"/>
              <w:spacing w:before="0" w:after="283"/>
              <w:rPr/>
            </w:pPr>
            <w:r>
              <w:rPr/>
              <w:t> </w:t>
            </w:r>
          </w:p>
        </w:tc>
        <w:tc>
          <w:tcPr>
            <w:tcW w:w="4006" w:type="dxa"/>
            <w:tcBorders/>
            <w:shd w:fill="auto" w:val="clear"/>
          </w:tcPr>
          <w:p>
            <w:pPr>
              <w:pStyle w:val="TableContents"/>
              <w:spacing w:before="0" w:after="0"/>
              <w:jc w:val="left"/>
              <w:rPr/>
            </w:pPr>
            <w:r>
              <w:rPr/>
              <w:t xml:space="preserve">/s/ Al Swanson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Al Swanson, Vice President and Treasurer </w:t>
            </w:r>
          </w:p>
        </w:tc>
        <w:tc>
          <w:tcPr>
            <w:tcW w:w="317" w:type="dxa"/>
            <w:tcBorders/>
            <w:shd w:fill="auto" w:val="clear"/>
            <w:vAlign w:val="bottom"/>
          </w:tcPr>
          <w:p>
            <w:pPr>
              <w:pStyle w:val="TableContents"/>
              <w:spacing w:before="0" w:after="283"/>
              <w:rPr/>
            </w:pPr>
            <w:r>
              <w:rPr/>
              <w:t> </w:t>
            </w:r>
          </w:p>
        </w:tc>
        <w:tc>
          <w:tcPr>
            <w:tcW w:w="521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SCHEDULE II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LENDER SCHEDULE </w:t>
      </w:r>
    </w:p>
    <w:tbl>
      <w:tblPr>
        <w:tblW w:w="5000" w:type="pct"/>
        <w:jc w:val="center"/>
        <w:tblInd w:w="0" w:type="dxa"/>
        <w:tblCellMar>
          <w:top w:w="0" w:type="dxa"/>
          <w:left w:w="0" w:type="dxa"/>
          <w:bottom w:w="0" w:type="dxa"/>
          <w:right w:w="0" w:type="dxa"/>
        </w:tblCellMar>
      </w:tblPr>
      <w:tblGrid>
        <w:gridCol w:w="5778"/>
        <w:gridCol w:w="365"/>
        <w:gridCol w:w="182"/>
        <w:gridCol w:w="1773"/>
        <w:gridCol w:w="112"/>
        <w:gridCol w:w="365"/>
        <w:gridCol w:w="112"/>
        <w:gridCol w:w="1273"/>
        <w:gridCol w:w="245"/>
      </w:tblGrid>
      <w:tr>
        <w:trPr/>
        <w:tc>
          <w:tcPr>
            <w:tcW w:w="577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577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955" w:type="dxa"/>
            <w:gridSpan w:val="2"/>
            <w:tcBorders/>
            <w:shd w:fill="auto" w:val="clear"/>
            <w:vAlign w:val="bottom"/>
          </w:tcPr>
          <w:p>
            <w:pPr>
              <w:pStyle w:val="TableContents"/>
              <w:spacing w:before="0" w:after="283"/>
              <w:jc w:val="center"/>
              <w:rPr/>
            </w:pPr>
            <w:r>
              <w:rPr/>
              <w:t>Percentage Share of</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 </w:t>
            </w:r>
          </w:p>
        </w:tc>
        <w:tc>
          <w:tcPr>
            <w:tcW w:w="245" w:type="dxa"/>
            <w:tcBorders/>
            <w:shd w:fill="auto" w:val="clear"/>
            <w:vAlign w:val="bottom"/>
          </w:tcPr>
          <w:p>
            <w:pPr>
              <w:pStyle w:val="TableContents"/>
              <w:spacing w:before="0" w:after="283"/>
              <w:rPr/>
            </w:pPr>
            <w:r>
              <w:rPr/>
              <w:t> </w:t>
            </w:r>
          </w:p>
        </w:tc>
      </w:tr>
      <w:tr>
        <w:trPr/>
        <w:tc>
          <w:tcPr>
            <w:tcW w:w="577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955" w:type="dxa"/>
            <w:gridSpan w:val="2"/>
            <w:tcBorders/>
            <w:shd w:fill="auto" w:val="clear"/>
            <w:vAlign w:val="bottom"/>
          </w:tcPr>
          <w:p>
            <w:pPr>
              <w:pStyle w:val="TableContents"/>
              <w:spacing w:before="0" w:after="283"/>
              <w:jc w:val="center"/>
              <w:rPr/>
            </w:pPr>
            <w:r>
              <w:rPr/>
              <w:t>Maximum Facility</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jc w:val="center"/>
              <w:rPr/>
            </w:pPr>
            <w:r>
              <w:rPr/>
              <w:t>Percentage</w:t>
            </w:r>
          </w:p>
        </w:tc>
        <w:tc>
          <w:tcPr>
            <w:tcW w:w="245" w:type="dxa"/>
            <w:tcBorders/>
            <w:shd w:fill="auto" w:val="clear"/>
            <w:vAlign w:val="bottom"/>
          </w:tcPr>
          <w:p>
            <w:pPr>
              <w:pStyle w:val="TableContents"/>
              <w:spacing w:before="0" w:after="283"/>
              <w:rPr/>
            </w:pPr>
            <w:r>
              <w:rPr/>
              <w:t> </w:t>
            </w:r>
          </w:p>
        </w:tc>
      </w:tr>
      <w:tr>
        <w:trPr/>
        <w:tc>
          <w:tcPr>
            <w:tcW w:w="5778" w:type="dxa"/>
            <w:tcBorders>
              <w:bottom w:val="single" w:sz="2" w:space="0" w:color="000000"/>
            </w:tcBorders>
            <w:shd w:fill="auto" w:val="clear"/>
            <w:tcMar>
              <w:bottom w:w="28" w:type="dxa"/>
            </w:tcMar>
            <w:vAlign w:val="bottom"/>
          </w:tcPr>
          <w:p>
            <w:pPr>
              <w:pStyle w:val="TableContents"/>
              <w:spacing w:before="0" w:after="283"/>
              <w:jc w:val="left"/>
              <w:rPr/>
            </w:pPr>
            <w:r>
              <w:rPr/>
              <w:t>Lender</w:t>
            </w:r>
          </w:p>
        </w:tc>
        <w:tc>
          <w:tcPr>
            <w:tcW w:w="365" w:type="dxa"/>
            <w:tcBorders/>
            <w:shd w:fill="auto" w:val="clear"/>
            <w:vAlign w:val="bottom"/>
          </w:tcPr>
          <w:p>
            <w:pPr>
              <w:pStyle w:val="TableContents"/>
              <w:spacing w:before="0" w:after="283"/>
              <w:rPr/>
            </w:pPr>
            <w:r>
              <w:rPr/>
              <w:t> </w:t>
            </w:r>
          </w:p>
        </w:tc>
        <w:tc>
          <w:tcPr>
            <w:tcW w:w="1955" w:type="dxa"/>
            <w:gridSpan w:val="2"/>
            <w:tcBorders>
              <w:bottom w:val="single" w:sz="2" w:space="0" w:color="000000"/>
            </w:tcBorders>
            <w:shd w:fill="auto" w:val="clear"/>
            <w:tcMar>
              <w:bottom w:w="28" w:type="dxa"/>
            </w:tcMar>
            <w:vAlign w:val="bottom"/>
          </w:tcPr>
          <w:p>
            <w:pPr>
              <w:pStyle w:val="TableContents"/>
              <w:spacing w:before="0" w:after="283"/>
              <w:jc w:val="center"/>
              <w:rPr/>
            </w:pPr>
            <w:r>
              <w:rPr/>
              <w:t>Amount</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385" w:type="dxa"/>
            <w:gridSpan w:val="2"/>
            <w:tcBorders>
              <w:bottom w:val="single" w:sz="2" w:space="0" w:color="000000"/>
            </w:tcBorders>
            <w:shd w:fill="auto" w:val="clear"/>
            <w:tcMar>
              <w:bottom w:w="28" w:type="dxa"/>
            </w:tcMar>
            <w:vAlign w:val="bottom"/>
          </w:tcPr>
          <w:p>
            <w:pPr>
              <w:pStyle w:val="TableContents"/>
              <w:spacing w:before="0" w:after="283"/>
              <w:jc w:val="center"/>
              <w:rPr/>
            </w:pPr>
            <w:r>
              <w:rPr/>
              <w:t>Share1</w:t>
            </w:r>
          </w:p>
        </w:tc>
        <w:tc>
          <w:tcPr>
            <w:tcW w:w="245" w:type="dxa"/>
            <w:tcBorders/>
            <w:shd w:fill="auto" w:val="clear"/>
            <w:vAlign w:val="bottom"/>
          </w:tcPr>
          <w:p>
            <w:pPr>
              <w:pStyle w:val="TableContents"/>
              <w:spacing w:before="0" w:after="283"/>
              <w:rPr/>
            </w:pPr>
            <w:r>
              <w:rPr/>
              <w:t> </w:t>
            </w:r>
          </w:p>
        </w:tc>
      </w:tr>
      <w:tr>
        <w:trPr/>
        <w:tc>
          <w:tcPr>
            <w:tcW w:w="5778" w:type="dxa"/>
            <w:tcBorders/>
            <w:shd w:fill="CCEEFF" w:val="clear"/>
            <w:vAlign w:val="bottom"/>
          </w:tcPr>
          <w:p>
            <w:pPr>
              <w:pStyle w:val="TableContents"/>
              <w:spacing w:before="0" w:after="0"/>
              <w:ind w:left="225" w:right="0" w:hanging="225"/>
              <w:rPr/>
            </w:pPr>
            <w:r>
              <w:rPr/>
              <w:t>Bank of America, N.A.</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110,000,000.00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9.166667</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BNP Paribas</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195,000,000.00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16.250000</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Fortis Capital Corp.</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195,000,000.00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16.250000</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Societe Generale</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120,000,000.00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10.000000</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Wachovia Bank, National Association</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75,000,000.00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6.250000</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JPMorgan Chase Bank, N.A.</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95,000,000.00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7.916667</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Commerzbank AG, New York and Grand Cayman Branches</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75,000,000.00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6.250000</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The Bank of Nova Scotia</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100,000,000.00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8.333333</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SunTrust Bank</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55,000,000.00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4.583333</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Bank of Scotland</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15,000,000.00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1.250000</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Wells Fargo Bank, N.A.</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35,000,000.00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2.916667</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DnB NOR Bank ASA</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35,000,000.00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2.916667</w:t>
            </w:r>
          </w:p>
        </w:tc>
        <w:tc>
          <w:tcPr>
            <w:tcW w:w="245" w:type="dxa"/>
            <w:tcBorders/>
            <w:shd w:fill="auto" w:val="clear"/>
            <w:vAlign w:val="bottom"/>
          </w:tcPr>
          <w:p>
            <w:pPr>
              <w:pStyle w:val="TableContents"/>
              <w:spacing w:before="0" w:after="283"/>
              <w:rPr/>
            </w:pPr>
            <w:r>
              <w:rPr/>
              <w:t>%</w:t>
            </w:r>
          </w:p>
        </w:tc>
      </w:tr>
      <w:tr>
        <w:trPr/>
        <w:tc>
          <w:tcPr>
            <w:tcW w:w="5778" w:type="dxa"/>
            <w:tcBorders/>
            <w:shd w:fill="CCEEFF" w:val="clear"/>
            <w:vAlign w:val="bottom"/>
          </w:tcPr>
          <w:p>
            <w:pPr>
              <w:pStyle w:val="TableContents"/>
              <w:spacing w:before="0" w:after="0"/>
              <w:ind w:left="225" w:right="0" w:hanging="225"/>
              <w:rPr/>
            </w:pPr>
            <w:r>
              <w:rPr/>
              <w:t>ING Capital LLC</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50,000,000.00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4.166667</w:t>
            </w:r>
          </w:p>
        </w:tc>
        <w:tc>
          <w:tcPr>
            <w:tcW w:w="245" w:type="dxa"/>
            <w:tcBorders/>
            <w:shd w:fill="CCEEFF" w:val="clear"/>
            <w:vAlign w:val="bottom"/>
          </w:tcPr>
          <w:p>
            <w:pPr>
              <w:pStyle w:val="TableContents"/>
              <w:spacing w:before="0" w:after="283"/>
              <w:rPr/>
            </w:pPr>
            <w:r>
              <w:rPr/>
              <w:t>%</w:t>
            </w:r>
          </w:p>
        </w:tc>
      </w:tr>
      <w:tr>
        <w:trPr/>
        <w:tc>
          <w:tcPr>
            <w:tcW w:w="5778" w:type="dxa"/>
            <w:tcBorders/>
            <w:shd w:fill="auto" w:val="clear"/>
            <w:vAlign w:val="bottom"/>
          </w:tcPr>
          <w:p>
            <w:pPr>
              <w:pStyle w:val="TableContents"/>
              <w:spacing w:before="0" w:after="0"/>
              <w:ind w:left="225" w:right="0" w:hanging="225"/>
              <w:rPr/>
            </w:pPr>
            <w:r>
              <w:rPr/>
              <w:t>Mizuho Corporate Bank, Ltd.</w:t>
            </w:r>
          </w:p>
        </w:tc>
        <w:tc>
          <w:tcPr>
            <w:tcW w:w="36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773" w:type="dxa"/>
            <w:tcBorders/>
            <w:shd w:fill="auto" w:val="clear"/>
            <w:vAlign w:val="bottom"/>
          </w:tcPr>
          <w:p>
            <w:pPr>
              <w:pStyle w:val="TableContents"/>
              <w:spacing w:before="0" w:after="283"/>
              <w:jc w:val="right"/>
              <w:rPr/>
            </w:pPr>
            <w:r>
              <w:rPr/>
              <w:t>45,000,000.00</w:t>
            </w:r>
          </w:p>
        </w:tc>
        <w:tc>
          <w:tcPr>
            <w:tcW w:w="11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273" w:type="dxa"/>
            <w:tcBorders/>
            <w:shd w:fill="auto" w:val="clear"/>
            <w:vAlign w:val="bottom"/>
          </w:tcPr>
          <w:p>
            <w:pPr>
              <w:pStyle w:val="TableContents"/>
              <w:spacing w:before="0" w:after="283"/>
              <w:jc w:val="right"/>
              <w:rPr/>
            </w:pPr>
            <w:r>
              <w:rPr/>
              <w:t>3.750000</w:t>
            </w:r>
          </w:p>
        </w:tc>
        <w:tc>
          <w:tcPr>
            <w:tcW w:w="245" w:type="dxa"/>
            <w:tcBorders/>
            <w:shd w:fill="auto" w:val="clear"/>
            <w:vAlign w:val="bottom"/>
          </w:tcPr>
          <w:p>
            <w:pPr>
              <w:pStyle w:val="TableContents"/>
              <w:spacing w:before="0" w:after="283"/>
              <w:rPr/>
            </w:pPr>
            <w:r>
              <w:rPr/>
              <w:t>%</w:t>
            </w:r>
          </w:p>
        </w:tc>
      </w:tr>
      <w:tr>
        <w:trPr/>
        <w:tc>
          <w:tcPr>
            <w:tcW w:w="10205" w:type="dxa"/>
            <w:gridSpan w:val="9"/>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5778" w:type="dxa"/>
            <w:tcBorders/>
            <w:shd w:fill="CCEEFF" w:val="clear"/>
            <w:vAlign w:val="bottom"/>
          </w:tcPr>
          <w:p>
            <w:pPr>
              <w:pStyle w:val="TableContents"/>
              <w:spacing w:before="0" w:after="0"/>
              <w:ind w:left="450" w:right="0" w:hanging="225"/>
              <w:rPr/>
            </w:pPr>
            <w:r>
              <w:rPr/>
              <w:t>TOTALS</w:t>
            </w:r>
          </w:p>
        </w:tc>
        <w:tc>
          <w:tcPr>
            <w:tcW w:w="365"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773" w:type="dxa"/>
            <w:tcBorders/>
            <w:shd w:fill="CCEEFF" w:val="clear"/>
            <w:vAlign w:val="bottom"/>
          </w:tcPr>
          <w:p>
            <w:pPr>
              <w:pStyle w:val="TableContents"/>
              <w:spacing w:before="0" w:after="283"/>
              <w:jc w:val="right"/>
              <w:rPr/>
            </w:pPr>
            <w:r>
              <w:rPr/>
              <w:t>1,200,000,000.00</w:t>
            </w:r>
          </w:p>
        </w:tc>
        <w:tc>
          <w:tcPr>
            <w:tcW w:w="112"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3" w:type="dxa"/>
            <w:tcBorders/>
            <w:shd w:fill="CCEEFF" w:val="clear"/>
            <w:vAlign w:val="bottom"/>
          </w:tcPr>
          <w:p>
            <w:pPr>
              <w:pStyle w:val="TableContents"/>
              <w:spacing w:before="0" w:after="283"/>
              <w:jc w:val="right"/>
              <w:rPr/>
            </w:pPr>
            <w:r>
              <w:rPr/>
              <w:t>100.000000</w:t>
            </w:r>
          </w:p>
        </w:tc>
        <w:tc>
          <w:tcPr>
            <w:tcW w:w="245" w:type="dxa"/>
            <w:tcBorders/>
            <w:shd w:fill="CCEEFF" w:val="clear"/>
            <w:vAlign w:val="bottom"/>
          </w:tcPr>
          <w:p>
            <w:pPr>
              <w:pStyle w:val="TableContents"/>
              <w:spacing w:before="0" w:after="283"/>
              <w:rPr/>
            </w:pPr>
            <w:r>
              <w:rPr/>
              <w: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1Rounded to six decimal places </w:t>
      </w:r>
    </w:p>
    <w:p>
      <w:pPr>
        <w:pStyle w:val="TextBody"/>
        <w:jc w:val="center"/>
        <w:rPr>
          <w:rFonts w:ascii="Times New Roman;Times;serif" w:hAnsi="Times New Roman;Times;serif"/>
          <w:sz w:val="17"/>
        </w:rPr>
      </w:pPr>
      <w:r>
        <w:rPr>
          <w:rFonts w:ascii="Times New Roman;Times;serif" w:hAnsi="Times New Roman;Times;serif"/>
          <w:sz w:val="17"/>
        </w:rPr>
        <w:t xml:space="preserve">7 </w:t>
      </w:r>
      <w:r>
        <w:br w:type="page"/>
      </w:r>
    </w:p>
    <w:p>
      <w:pPr>
        <w:pStyle w:val="Heading5"/>
        <w:jc w:val="left"/>
        <w:rPr/>
      </w:pPr>
      <w:bookmarkStart w:id="26" w:name="h48485exv31w1.htm"/>
      <w:bookmarkStart w:id="27" w:name="ksh48485exv31w1"/>
      <w:bookmarkEnd w:id="26"/>
      <w:bookmarkEnd w:id="2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EXECUTIVE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Plains All American Pipeline, L.P.;</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9, 2007 </w:t>
      </w:r>
    </w:p>
    <w:tbl>
      <w:tblPr>
        <w:tblW w:w="5000" w:type="pct"/>
        <w:jc w:val="center"/>
        <w:tblInd w:w="0" w:type="dxa"/>
        <w:tblCellMar>
          <w:top w:w="0" w:type="dxa"/>
          <w:left w:w="0" w:type="dxa"/>
          <w:bottom w:w="0" w:type="dxa"/>
          <w:right w:w="0" w:type="dxa"/>
        </w:tblCellMar>
      </w:tblPr>
      <w:tblGrid>
        <w:gridCol w:w="4082"/>
        <w:gridCol w:w="203"/>
        <w:gridCol w:w="5920"/>
      </w:tblGrid>
      <w:tr>
        <w:trPr/>
        <w:tc>
          <w:tcPr>
            <w:tcW w:w="408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5920" w:type="dxa"/>
            <w:tcBorders/>
            <w:shd w:fill="auto" w:val="clear"/>
            <w:vAlign w:val="bottom"/>
          </w:tcPr>
          <w:p>
            <w:pPr>
              <w:pStyle w:val="TableContents"/>
              <w:spacing w:before="0" w:after="283"/>
              <w:rPr/>
            </w:pPr>
            <w:r>
              <w:rPr/>
              <w:t> </w:t>
            </w:r>
          </w:p>
        </w:tc>
      </w:tr>
      <w:tr>
        <w:trPr/>
        <w:tc>
          <w:tcPr>
            <w:tcW w:w="4082" w:type="dxa"/>
            <w:tcBorders/>
            <w:shd w:fill="auto" w:val="clear"/>
          </w:tcPr>
          <w:p>
            <w:pPr>
              <w:pStyle w:val="TableContents"/>
              <w:spacing w:before="0" w:after="0"/>
              <w:ind w:left="0" w:right="0" w:hanging="0"/>
              <w:rPr/>
            </w:pPr>
            <w:r>
              <w:rPr/>
              <w:t xml:space="preserve">/s/ </w:t>
            </w:r>
            <w:r>
              <w:rPr>
                <w:smallCaps/>
              </w:rPr>
              <w:t>Greg L. Armstrong</w:t>
            </w:r>
            <w:r>
              <w:rPr/>
              <w:t xml:space="preserve"> </w:t>
            </w:r>
          </w:p>
        </w:tc>
        <w:tc>
          <w:tcPr>
            <w:tcW w:w="203"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Greg L. Armstrong </w:t>
            </w:r>
          </w:p>
        </w:tc>
        <w:tc>
          <w:tcPr>
            <w:tcW w:w="203"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i/>
              </w:rPr>
            </w:pPr>
            <w:r>
              <w:rPr>
                <w:i/>
              </w:rPr>
              <w:t>Chief Executive Officer</w:t>
            </w:r>
          </w:p>
        </w:tc>
        <w:tc>
          <w:tcPr>
            <w:tcW w:w="203"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28" w:name="h48485exv31w2.htm"/>
      <w:bookmarkStart w:id="29" w:name="ksh48485exv31w2"/>
      <w:bookmarkEnd w:id="28"/>
      <w:bookmarkEnd w:id="2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FINANCIAL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Plains All American Pipeline, L.P.;</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9, 2007 </w:t>
      </w:r>
    </w:p>
    <w:tbl>
      <w:tblPr>
        <w:tblW w:w="5000" w:type="pct"/>
        <w:jc w:val="center"/>
        <w:tblInd w:w="0" w:type="dxa"/>
        <w:tblCellMar>
          <w:top w:w="0" w:type="dxa"/>
          <w:left w:w="0" w:type="dxa"/>
          <w:bottom w:w="0" w:type="dxa"/>
          <w:right w:w="0" w:type="dxa"/>
        </w:tblCellMar>
      </w:tblPr>
      <w:tblGrid>
        <w:gridCol w:w="4081"/>
        <w:gridCol w:w="203"/>
        <w:gridCol w:w="5921"/>
      </w:tblGrid>
      <w:tr>
        <w:trPr/>
        <w:tc>
          <w:tcPr>
            <w:tcW w:w="408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5921" w:type="dxa"/>
            <w:tcBorders/>
            <w:shd w:fill="auto" w:val="clear"/>
            <w:vAlign w:val="bottom"/>
          </w:tcPr>
          <w:p>
            <w:pPr>
              <w:pStyle w:val="TableContents"/>
              <w:spacing w:before="0" w:after="283"/>
              <w:rPr/>
            </w:pPr>
            <w:r>
              <w:rPr/>
              <w:t> </w:t>
            </w:r>
          </w:p>
        </w:tc>
      </w:tr>
      <w:tr>
        <w:trPr/>
        <w:tc>
          <w:tcPr>
            <w:tcW w:w="4081" w:type="dxa"/>
            <w:tcBorders/>
            <w:shd w:fill="auto" w:val="clear"/>
          </w:tcPr>
          <w:p>
            <w:pPr>
              <w:pStyle w:val="TableContents"/>
              <w:spacing w:before="0" w:after="0"/>
              <w:ind w:left="0" w:right="0" w:hanging="0"/>
              <w:rPr/>
            </w:pPr>
            <w:r>
              <w:rPr/>
              <w:t xml:space="preserve">/s/ </w:t>
            </w:r>
            <w:r>
              <w:rPr>
                <w:smallCaps/>
              </w:rPr>
              <w:t>Phil Kramer</w:t>
            </w:r>
            <w:r>
              <w:rPr/>
              <w:t xml:space="preserve"> </w:t>
            </w:r>
          </w:p>
        </w:tc>
        <w:tc>
          <w:tcPr>
            <w:tcW w:w="203" w:type="dxa"/>
            <w:tcBorders/>
            <w:shd w:fill="auto" w:val="clear"/>
            <w:vAlign w:val="bottom"/>
          </w:tcPr>
          <w:p>
            <w:pPr>
              <w:pStyle w:val="TableContents"/>
              <w:spacing w:before="0" w:after="283"/>
              <w:rPr/>
            </w:pPr>
            <w:r>
              <w:rPr/>
              <w:t> </w:t>
            </w:r>
          </w:p>
        </w:tc>
        <w:tc>
          <w:tcPr>
            <w:tcW w:w="5921" w:type="dxa"/>
            <w:tcBorders/>
            <w:shd w:fill="auto" w:val="clear"/>
          </w:tcPr>
          <w:p>
            <w:pPr>
              <w:pStyle w:val="TableContents"/>
              <w:spacing w:before="0" w:after="283"/>
              <w:jc w:val="left"/>
              <w:rPr/>
            </w:pPr>
            <w:r>
              <w:rPr/>
              <w:t> </w:t>
            </w:r>
          </w:p>
        </w:tc>
      </w:tr>
      <w:tr>
        <w:trPr/>
        <w:tc>
          <w:tcPr>
            <w:tcW w:w="4081"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Phil Kramer </w:t>
            </w:r>
          </w:p>
        </w:tc>
        <w:tc>
          <w:tcPr>
            <w:tcW w:w="203" w:type="dxa"/>
            <w:tcBorders/>
            <w:shd w:fill="auto" w:val="clear"/>
            <w:vAlign w:val="bottom"/>
          </w:tcPr>
          <w:p>
            <w:pPr>
              <w:pStyle w:val="TableContents"/>
              <w:spacing w:before="0" w:after="283"/>
              <w:rPr/>
            </w:pPr>
            <w:r>
              <w:rPr/>
              <w:t> </w:t>
            </w:r>
          </w:p>
        </w:tc>
        <w:tc>
          <w:tcPr>
            <w:tcW w:w="5921" w:type="dxa"/>
            <w:tcBorders/>
            <w:shd w:fill="auto" w:val="clear"/>
          </w:tcPr>
          <w:p>
            <w:pPr>
              <w:pStyle w:val="TableContents"/>
              <w:spacing w:before="0" w:after="283"/>
              <w:jc w:val="left"/>
              <w:rPr/>
            </w:pPr>
            <w:r>
              <w:rPr/>
              <w:t> </w:t>
            </w:r>
          </w:p>
        </w:tc>
      </w:tr>
      <w:tr>
        <w:trPr/>
        <w:tc>
          <w:tcPr>
            <w:tcW w:w="4081" w:type="dxa"/>
            <w:tcBorders/>
            <w:shd w:fill="auto" w:val="clear"/>
          </w:tcPr>
          <w:p>
            <w:pPr>
              <w:pStyle w:val="TableContents"/>
              <w:spacing w:before="0" w:after="0"/>
              <w:ind w:left="0" w:right="0" w:hanging="0"/>
              <w:rPr>
                <w:i/>
              </w:rPr>
            </w:pPr>
            <w:r>
              <w:rPr>
                <w:i/>
              </w:rPr>
              <w:t>Chief Financial Officer</w:t>
            </w:r>
          </w:p>
        </w:tc>
        <w:tc>
          <w:tcPr>
            <w:tcW w:w="203" w:type="dxa"/>
            <w:tcBorders/>
            <w:shd w:fill="auto" w:val="clear"/>
            <w:vAlign w:val="bottom"/>
          </w:tcPr>
          <w:p>
            <w:pPr>
              <w:pStyle w:val="TableContents"/>
              <w:spacing w:before="0" w:after="283"/>
              <w:rPr/>
            </w:pPr>
            <w:r>
              <w:rPr/>
              <w:t> </w:t>
            </w:r>
          </w:p>
        </w:tc>
        <w:tc>
          <w:tcPr>
            <w:tcW w:w="5921"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30" w:name="h48485exv32w1.htm"/>
      <w:bookmarkStart w:id="31" w:name="ksh48485exv32w1"/>
      <w:bookmarkEnd w:id="30"/>
      <w:bookmarkEnd w:id="3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EXECUTIVE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Chief Executive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June 30,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center"/>
        <w:tblInd w:w="0" w:type="dxa"/>
        <w:tblCellMar>
          <w:top w:w="0" w:type="dxa"/>
          <w:left w:w="0" w:type="dxa"/>
          <w:bottom w:w="0" w:type="dxa"/>
          <w:right w:w="0" w:type="dxa"/>
        </w:tblCellMar>
      </w:tblPr>
      <w:tblGrid>
        <w:gridCol w:w="4082"/>
        <w:gridCol w:w="306"/>
        <w:gridCol w:w="4083"/>
        <w:gridCol w:w="306"/>
        <w:gridCol w:w="1428"/>
      </w:tblGrid>
      <w:tr>
        <w:trPr/>
        <w:tc>
          <w:tcPr>
            <w:tcW w:w="4082"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408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pPr>
            <w:r>
              <w:rPr/>
              <w:t> </w:t>
            </w:r>
          </w:p>
        </w:tc>
      </w:tr>
      <w:tr>
        <w:trPr/>
        <w:tc>
          <w:tcPr>
            <w:tcW w:w="4082" w:type="dxa"/>
            <w:tcBorders/>
            <w:shd w:fill="auto" w:val="clear"/>
          </w:tcPr>
          <w:p>
            <w:pPr>
              <w:pStyle w:val="TableContents"/>
              <w:spacing w:before="0" w:after="0"/>
              <w:ind w:left="0" w:right="0" w:hanging="0"/>
              <w:rPr/>
            </w:pPr>
            <w:r>
              <w:rPr/>
              <w:t xml:space="preserve">  </w:t>
            </w:r>
          </w:p>
        </w:tc>
        <w:tc>
          <w:tcPr>
            <w:tcW w:w="306"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 xml:space="preserve">/s/ </w:t>
            </w:r>
            <w:r>
              <w:rPr>
                <w:smallCaps/>
              </w:rPr>
              <w:t>Greg L. Armstrong</w:t>
            </w:r>
            <w:r>
              <w:rPr/>
              <w:t xml:space="preserve"> </w:t>
            </w:r>
          </w:p>
        </w:tc>
        <w:tc>
          <w:tcPr>
            <w:tcW w:w="306"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  </w:t>
            </w:r>
          </w:p>
        </w:tc>
        <w:tc>
          <w:tcPr>
            <w:tcW w:w="306" w:type="dxa"/>
            <w:tcBorders/>
            <w:shd w:fill="auto" w:val="clear"/>
            <w:vAlign w:val="center"/>
          </w:tcPr>
          <w:p>
            <w:pPr>
              <w:pStyle w:val="TableContents"/>
              <w:spacing w:before="0" w:after="283"/>
              <w:rPr/>
            </w:pPr>
            <w:r>
              <w:rPr/>
              <w:t> </w:t>
            </w:r>
          </w:p>
        </w:tc>
        <w:tc>
          <w:tcPr>
            <w:tcW w:w="4083" w:type="dxa"/>
            <w:tcBorders>
              <w:top w:val="single" w:sz="2" w:space="0" w:color="000000"/>
            </w:tcBorders>
            <w:shd w:fill="auto" w:val="clear"/>
            <w:tcMar>
              <w:top w:w="28" w:type="dxa"/>
            </w:tcMar>
          </w:tcPr>
          <w:p>
            <w:pPr>
              <w:pStyle w:val="TableContents"/>
              <w:spacing w:before="0" w:after="283"/>
              <w:jc w:val="left"/>
              <w:rPr/>
            </w:pPr>
            <w:r>
              <w:rPr/>
              <w:t> </w:t>
            </w:r>
          </w:p>
        </w:tc>
        <w:tc>
          <w:tcPr>
            <w:tcW w:w="306" w:type="dxa"/>
            <w:tcBorders/>
            <w:shd w:fill="auto" w:val="clear"/>
            <w:vAlign w:val="center"/>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  </w:t>
            </w:r>
          </w:p>
        </w:tc>
        <w:tc>
          <w:tcPr>
            <w:tcW w:w="306"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Name: Greg L. Armstrong</w:t>
            </w:r>
          </w:p>
        </w:tc>
        <w:tc>
          <w:tcPr>
            <w:tcW w:w="306"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r>
        <w:trPr/>
        <w:tc>
          <w:tcPr>
            <w:tcW w:w="4082" w:type="dxa"/>
            <w:tcBorders/>
            <w:shd w:fill="auto" w:val="clear"/>
          </w:tcPr>
          <w:p>
            <w:pPr>
              <w:pStyle w:val="TableContents"/>
              <w:spacing w:before="0" w:after="0"/>
              <w:ind w:left="0" w:right="0" w:hanging="0"/>
              <w:rPr/>
            </w:pPr>
            <w:r>
              <w:rPr/>
              <w:t xml:space="preserve">  </w:t>
            </w:r>
          </w:p>
        </w:tc>
        <w:tc>
          <w:tcPr>
            <w:tcW w:w="306" w:type="dxa"/>
            <w:tcBorders/>
            <w:shd w:fill="auto" w:val="clear"/>
            <w:vAlign w:val="bottom"/>
          </w:tcPr>
          <w:p>
            <w:pPr>
              <w:pStyle w:val="TableContents"/>
              <w:spacing w:before="0" w:after="283"/>
              <w:rPr/>
            </w:pPr>
            <w:r>
              <w:rPr/>
              <w:t> </w:t>
            </w:r>
          </w:p>
        </w:tc>
        <w:tc>
          <w:tcPr>
            <w:tcW w:w="4083" w:type="dxa"/>
            <w:tcBorders/>
            <w:shd w:fill="auto" w:val="clear"/>
          </w:tcPr>
          <w:p>
            <w:pPr>
              <w:pStyle w:val="TableContents"/>
              <w:spacing w:before="0" w:after="283"/>
              <w:jc w:val="left"/>
              <w:rPr/>
            </w:pPr>
            <w:r>
              <w:rPr/>
              <w:t>Date: August 9, 2007</w:t>
            </w:r>
          </w:p>
        </w:tc>
        <w:tc>
          <w:tcPr>
            <w:tcW w:w="306"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32" w:name="h48485exv32w2.htm"/>
      <w:bookmarkStart w:id="33" w:name="ksh48485exv32w2"/>
      <w:bookmarkEnd w:id="32"/>
      <w:bookmarkEnd w:id="3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FINANCIAL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Chief Financial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June 30,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center"/>
        <w:tblInd w:w="0" w:type="dxa"/>
        <w:tblCellMar>
          <w:top w:w="0" w:type="dxa"/>
          <w:left w:w="0" w:type="dxa"/>
          <w:bottom w:w="0" w:type="dxa"/>
          <w:right w:w="0" w:type="dxa"/>
        </w:tblCellMar>
      </w:tblPr>
      <w:tblGrid>
        <w:gridCol w:w="4085"/>
        <w:gridCol w:w="303"/>
        <w:gridCol w:w="4086"/>
        <w:gridCol w:w="303"/>
        <w:gridCol w:w="1428"/>
      </w:tblGrid>
      <w:tr>
        <w:trPr/>
        <w:tc>
          <w:tcPr>
            <w:tcW w:w="408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408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pPr>
            <w:r>
              <w:rPr/>
              <w:t> </w:t>
            </w:r>
          </w:p>
        </w:tc>
      </w:tr>
      <w:tr>
        <w:trPr/>
        <w:tc>
          <w:tcPr>
            <w:tcW w:w="4085" w:type="dxa"/>
            <w:tcBorders/>
            <w:shd w:fill="auto" w:val="clear"/>
          </w:tcPr>
          <w:p>
            <w:pPr>
              <w:pStyle w:val="TableContents"/>
              <w:spacing w:before="0" w:after="0"/>
              <w:ind w:left="0" w:right="0" w:hanging="0"/>
              <w:rPr/>
            </w:pPr>
            <w:r>
              <w:rPr/>
              <w:t xml:space="preserve">  </w:t>
            </w:r>
          </w:p>
        </w:tc>
        <w:tc>
          <w:tcPr>
            <w:tcW w:w="303"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 xml:space="preserve">/s/ </w:t>
            </w:r>
            <w:r>
              <w:rPr>
                <w:smallCaps/>
              </w:rPr>
              <w:t>Phil Kramer</w:t>
            </w:r>
            <w:r>
              <w:rPr/>
              <w:t xml:space="preserve"> </w:t>
            </w:r>
          </w:p>
        </w:tc>
        <w:tc>
          <w:tcPr>
            <w:tcW w:w="303"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r>
        <w:trPr/>
        <w:tc>
          <w:tcPr>
            <w:tcW w:w="4085" w:type="dxa"/>
            <w:tcBorders/>
            <w:shd w:fill="auto" w:val="clear"/>
          </w:tcPr>
          <w:p>
            <w:pPr>
              <w:pStyle w:val="TableContents"/>
              <w:spacing w:before="0" w:after="0"/>
              <w:ind w:left="0" w:right="0" w:hanging="0"/>
              <w:rPr/>
            </w:pPr>
            <w:r>
              <w:rPr/>
              <w:t xml:space="preserve">  </w:t>
            </w:r>
          </w:p>
        </w:tc>
        <w:tc>
          <w:tcPr>
            <w:tcW w:w="303"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Phil Kramer </w:t>
            </w:r>
          </w:p>
        </w:tc>
        <w:tc>
          <w:tcPr>
            <w:tcW w:w="303"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r>
        <w:trPr/>
        <w:tc>
          <w:tcPr>
            <w:tcW w:w="4085" w:type="dxa"/>
            <w:tcBorders/>
            <w:shd w:fill="auto" w:val="clear"/>
          </w:tcPr>
          <w:p>
            <w:pPr>
              <w:pStyle w:val="TableContents"/>
              <w:spacing w:before="0" w:after="0"/>
              <w:ind w:left="0" w:right="0" w:hanging="0"/>
              <w:rPr/>
            </w:pPr>
            <w:r>
              <w:rPr/>
              <w:t xml:space="preserve">  </w:t>
            </w:r>
          </w:p>
        </w:tc>
        <w:tc>
          <w:tcPr>
            <w:tcW w:w="303" w:type="dxa"/>
            <w:tcBorders/>
            <w:shd w:fill="auto" w:val="clear"/>
            <w:vAlign w:val="bottom"/>
          </w:tcPr>
          <w:p>
            <w:pPr>
              <w:pStyle w:val="TableContents"/>
              <w:spacing w:before="0" w:after="283"/>
              <w:rPr/>
            </w:pPr>
            <w:r>
              <w:rPr/>
              <w:t> </w:t>
            </w:r>
          </w:p>
        </w:tc>
        <w:tc>
          <w:tcPr>
            <w:tcW w:w="4086" w:type="dxa"/>
            <w:tcBorders/>
            <w:shd w:fill="auto" w:val="clear"/>
          </w:tcPr>
          <w:p>
            <w:pPr>
              <w:pStyle w:val="TableContents"/>
              <w:spacing w:before="0" w:after="283"/>
              <w:jc w:val="left"/>
              <w:rPr/>
            </w:pPr>
            <w:r>
              <w:rPr/>
              <w:t>Date: August 9, 2007</w:t>
            </w:r>
          </w:p>
        </w:tc>
        <w:tc>
          <w:tcPr>
            <w:tcW w:w="303" w:type="dxa"/>
            <w:tcBorders/>
            <w:shd w:fill="auto" w:val="clear"/>
            <w:vAlign w:val="bottom"/>
          </w:tcPr>
          <w:p>
            <w:pPr>
              <w:pStyle w:val="TableContents"/>
              <w:spacing w:before="0" w:after="283"/>
              <w:rPr/>
            </w:pPr>
            <w:r>
              <w:rPr/>
              <w:t> </w:t>
            </w:r>
          </w:p>
        </w:tc>
        <w:tc>
          <w:tcPr>
            <w:tcW w:w="1428" w:type="dxa"/>
            <w:tcBorders/>
            <w:shd w:fill="auto" w:val="clear"/>
          </w:tcPr>
          <w:p>
            <w:pPr>
              <w:pStyle w:val="TableContents"/>
              <w:spacing w:before="0" w:after="283"/>
              <w:jc w:val="left"/>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28966</Words>
  <CharactersWithSpaces>188317</CharactersWithSpaces>
  <Paragraphs>14973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