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22,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760" w:right="339" w:bottom="1440" w:gutter="0" w:footer="0" w:header="0"/>
          <w:type w:val="continuous"/>
        </w:sectPr>
      </w:pPr>
    </w:p>
    <w:p>
      <w:pPr>
        <w:spacing w:after="0" w:line="30"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760"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Senior Unsecured Revolving Credit Agreement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22, 2022, Plains All American Pipeline, L.P. (the “Partnership”) and Plains Midstream Canada ULC (“PMC”) entered into that certain First Amendment to Credit Agreement (the “Revolving Credit Facility Amendment”) amending certain of the terms of their Credit Agreement dated as of August 20, 2021 among the Partnership and PMC, as borrowers, Bank of America, N.A., as administrative agent, and the other lenders party thereto (as amended, the “Revolving Credit Agreement”). Pursuant to the Revolving Credit Facility Amendment, among other things, the Eurocurrency Rate was replaced with Term SOFR and Canadian Term Rate, as applicable, and a mechanism was added to replace Term SOFR and Canadian Term Rate or other then-applicable interest rate benchmark if it is no longer available. In connection with the Revolving Credit Facility Amendment, the Maturity Date of the Revolving Credit Agreement was also extended from August 20, 2026 to August 20, 2027. Terms used in this paragraph but not defined herein have the meanings assigned to them in the Revolving Credit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Hedged Inventory Credit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22, 2022, Plains Marketing, L.P. (“PMLP”), a wholly-owned subsidiary of the Partnership, and PMC entered into that certain First Amendment to Fourth Amended and Restated Credit Agreement (the “Hedged Inventory Facility Amendment” and together with the Revolving Credit Facility Amendment, the “Amendments”) amending certain of the terms of their Fourth Amended and Restated Credit Agreement dated as of August 20, 2021 among PMLP and PMC, as borrowers, the Partnership, as guarantor, Bank of America, N.A., as administrative agent, and the other lenders party thereto (as amended, the “Hedged Inventory Facility”). Pursuant to the Hedged Inventory Facility Amendment, among other things, the Eurocurrency Rate was replaced with Term SOFR and Canadian Term Rate, as applicable, and a mechanism was added to replace Term SOFR and Canadian Term Rate or other then-applicable interest rate benchmark if it is no longer available. In connection with the Hedged Inventory Facility Amendment, the Maturity Date of the Hedged Inventory Facility was also extended from August 20, 2024 to August 20, 2025. Terms used in this paragraph but not defined herein have the meanings assigned to them in the Hedged Inventory Facility.</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above descriptions of the Amendments are qualified in their entirety by the terms of the Revolving Credit Facility Amendment and the Hedged Inventory Facility Amendment, as applicable, which are attached hereto as Exhibits 10.1 and 10.2, respectively, and are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ind w:left="460"/>
              <w:spacing w:after="0"/>
              <w:rPr>
                <w:sz w:val="20"/>
                <w:szCs w:val="20"/>
                <w:color w:val="auto"/>
              </w:rPr>
            </w:pPr>
            <w:r>
              <w:rPr>
                <w:rFonts w:ascii="Arial" w:cs="Arial" w:eastAsia="Arial" w:hAnsi="Arial"/>
                <w:sz w:val="18"/>
                <w:szCs w:val="18"/>
                <w:color w:val="0000EE"/>
                <w:w w:val="91"/>
              </w:rPr>
              <w:t>Exhibit 10.1 –</w:t>
            </w:r>
          </w:p>
        </w:tc>
        <w:tc>
          <w:tcPr>
            <w:tcW w:w="600" w:type="dxa"/>
            <w:vAlign w:val="bottom"/>
          </w:tcPr>
          <w:p>
            <w:pPr>
              <w:spacing w:after="0"/>
              <w:rPr>
                <w:sz w:val="18"/>
                <w:szCs w:val="18"/>
                <w:color w:val="auto"/>
              </w:rPr>
            </w:pPr>
          </w:p>
        </w:tc>
        <w:tc>
          <w:tcPr>
            <w:tcW w:w="9160" w:type="dxa"/>
            <w:vAlign w:val="bottom"/>
            <w:gridSpan w:val="10"/>
          </w:tcPr>
          <w:p>
            <w:pPr>
              <w:spacing w:after="0"/>
              <w:rPr>
                <w:sz w:val="20"/>
                <w:szCs w:val="20"/>
                <w:color w:val="auto"/>
              </w:rPr>
            </w:pPr>
            <w:r>
              <w:rPr>
                <w:rFonts w:ascii="Arial" w:cs="Arial" w:eastAsia="Arial" w:hAnsi="Arial"/>
                <w:sz w:val="18"/>
                <w:szCs w:val="18"/>
                <w:color w:val="0000EE"/>
                <w:w w:val="95"/>
              </w:rPr>
              <w:t>First Amendment to Credit Agreement dated as of August 22, 2022, among Plains All American Pipeline, L.P. and Plains</w:t>
            </w:r>
          </w:p>
        </w:tc>
      </w:tr>
      <w:tr>
        <w:trPr>
          <w:trHeight w:val="196"/>
        </w:trPr>
        <w:tc>
          <w:tcPr>
            <w:tcW w:w="460" w:type="dxa"/>
            <w:vAlign w:val="bottom"/>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7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Midstream Canada ULC, as Borrowers; certain subsidiaries of Plains All American Pipeline, L.P. from time to time party</w:t>
            </w:r>
          </w:p>
        </w:tc>
        <w:tc>
          <w:tcPr>
            <w:tcW w:w="420" w:type="dxa"/>
            <w:vAlign w:val="bottom"/>
            <w:gridSpan w:val="6"/>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thereto, as Designated Borrowers; Bank of America, N.A., as Administrative Agent and Swing Line Lender; Bank of America,</w:t>
            </w: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N.A., Citibank, N.A., JPMorgan Chase Bank, N.A. and Wells Fargo Bank, National Association, as L/C Issuers; and the other</w:t>
            </w:r>
          </w:p>
        </w:tc>
        <w:tc>
          <w:tcPr>
            <w:tcW w:w="10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Lenders party thereto.</w:t>
            </w:r>
          </w:p>
        </w:tc>
        <w:tc>
          <w:tcPr>
            <w:tcW w:w="7580" w:type="dxa"/>
            <w:vAlign w:val="bottom"/>
            <w:gridSpan w:val="9"/>
          </w:tcPr>
          <w:p>
            <w:pPr>
              <w:spacing w:after="0"/>
              <w:rPr>
                <w:sz w:val="17"/>
                <w:szCs w:val="17"/>
                <w:color w:val="auto"/>
              </w:rPr>
            </w:pPr>
          </w:p>
        </w:tc>
      </w:tr>
      <w:tr>
        <w:trPr>
          <w:trHeight w:val="412"/>
        </w:trPr>
        <w:tc>
          <w:tcPr>
            <w:tcW w:w="1480" w:type="dxa"/>
            <w:vAlign w:val="bottom"/>
            <w:gridSpan w:val="2"/>
          </w:tcPr>
          <w:p>
            <w:pPr>
              <w:ind w:left="460"/>
              <w:spacing w:after="0"/>
              <w:rPr>
                <w:sz w:val="20"/>
                <w:szCs w:val="20"/>
                <w:color w:val="auto"/>
              </w:rPr>
            </w:pPr>
            <w:r>
              <w:rPr>
                <w:rFonts w:ascii="Arial" w:cs="Arial" w:eastAsia="Arial" w:hAnsi="Arial"/>
                <w:sz w:val="18"/>
                <w:szCs w:val="18"/>
                <w:color w:val="0000EE"/>
                <w:w w:val="91"/>
              </w:rPr>
              <w:t>Exhibit 10.2 –</w:t>
            </w:r>
          </w:p>
        </w:tc>
        <w:tc>
          <w:tcPr>
            <w:tcW w:w="600" w:type="dxa"/>
            <w:vAlign w:val="bottom"/>
          </w:tcPr>
          <w:p>
            <w:pPr>
              <w:spacing w:after="0"/>
              <w:rPr>
                <w:sz w:val="24"/>
                <w:szCs w:val="24"/>
                <w:color w:val="auto"/>
              </w:rPr>
            </w:pPr>
          </w:p>
        </w:tc>
        <w:tc>
          <w:tcPr>
            <w:tcW w:w="9160" w:type="dxa"/>
            <w:vAlign w:val="bottom"/>
            <w:gridSpan w:val="10"/>
          </w:tcPr>
          <w:p>
            <w:pPr>
              <w:spacing w:after="0"/>
              <w:rPr>
                <w:sz w:val="20"/>
                <w:szCs w:val="20"/>
                <w:color w:val="auto"/>
              </w:rPr>
            </w:pPr>
            <w:r>
              <w:rPr>
                <w:rFonts w:ascii="Arial" w:cs="Arial" w:eastAsia="Arial" w:hAnsi="Arial"/>
                <w:sz w:val="18"/>
                <w:szCs w:val="18"/>
                <w:color w:val="0000EE"/>
                <w:w w:val="92"/>
              </w:rPr>
              <w:t>First Amendment to Fourth Amended and Restated Credit Agreement dated as of August 22, 2022, among Plains Marketing,</w:t>
            </w:r>
          </w:p>
        </w:tc>
      </w:tr>
      <w:tr>
        <w:trPr>
          <w:trHeight w:val="196"/>
        </w:trPr>
        <w:tc>
          <w:tcPr>
            <w:tcW w:w="460" w:type="dxa"/>
            <w:vAlign w:val="bottom"/>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89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L.P. and Plains Midstream Canada ULC, as Borrowers; Plains All American Pipeline, L.P., as guarantor; Bank of America,</w:t>
            </w:r>
          </w:p>
        </w:tc>
        <w:tc>
          <w:tcPr>
            <w:tcW w:w="180" w:type="dxa"/>
            <w:vAlign w:val="bottom"/>
            <w:gridSpan w:val="4"/>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96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N.A., as Administrative Agent and Swing Line Lender; Bank of America, N.A., Citibank, N.A., JPMorgan Chase Bank, N.A.</w:t>
            </w:r>
          </w:p>
        </w:tc>
        <w:tc>
          <w:tcPr>
            <w:tcW w:w="12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60" w:type="dxa"/>
            <w:vAlign w:val="bottom"/>
            <w:gridSpan w:val="10"/>
          </w:tcPr>
          <w:p>
            <w:pPr>
              <w:spacing w:after="0" w:line="196" w:lineRule="exact"/>
              <w:rPr>
                <w:sz w:val="20"/>
                <w:szCs w:val="20"/>
                <w:color w:val="auto"/>
              </w:rPr>
            </w:pPr>
            <w:r>
              <w:rPr>
                <w:rFonts w:ascii="Arial" w:cs="Arial" w:eastAsia="Arial" w:hAnsi="Arial"/>
                <w:sz w:val="18"/>
                <w:szCs w:val="18"/>
                <w:color w:val="0000EE"/>
              </w:rPr>
              <w:t>and Wells Fargo Bank, National Association, as L/C Issuers; and the other Lenders party thereto.</w:t>
            </w:r>
          </w:p>
        </w:tc>
      </w:tr>
      <w:tr>
        <w:trPr>
          <w:trHeight w:val="452"/>
        </w:trPr>
        <w:tc>
          <w:tcPr>
            <w:tcW w:w="1480" w:type="dxa"/>
            <w:vAlign w:val="bottom"/>
            <w:gridSpan w:val="2"/>
          </w:tcPr>
          <w:p>
            <w:pPr>
              <w:ind w:left="460"/>
              <w:spacing w:after="0"/>
              <w:rPr>
                <w:sz w:val="20"/>
                <w:szCs w:val="20"/>
                <w:color w:val="auto"/>
              </w:rPr>
            </w:pPr>
            <w:r>
              <w:rPr>
                <w:rFonts w:ascii="Arial" w:cs="Arial" w:eastAsia="Arial" w:hAnsi="Arial"/>
                <w:sz w:val="18"/>
                <w:szCs w:val="18"/>
                <w:color w:val="auto"/>
                <w:w w:val="96"/>
              </w:rPr>
              <w:t>Exhibit 104 –</w:t>
            </w:r>
          </w:p>
        </w:tc>
        <w:tc>
          <w:tcPr>
            <w:tcW w:w="600" w:type="dxa"/>
            <w:vAlign w:val="bottom"/>
          </w:tcPr>
          <w:p>
            <w:pPr>
              <w:spacing w:after="0"/>
              <w:rPr>
                <w:sz w:val="24"/>
                <w:szCs w:val="24"/>
                <w:color w:val="auto"/>
              </w:rPr>
            </w:pPr>
          </w:p>
        </w:tc>
        <w:tc>
          <w:tcPr>
            <w:tcW w:w="69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200" w:type="dxa"/>
            <w:vAlign w:val="bottom"/>
            <w:gridSpan w:val="8"/>
          </w:tcPr>
          <w:p>
            <w:pPr>
              <w:spacing w:after="0"/>
              <w:rPr>
                <w:sz w:val="24"/>
                <w:szCs w:val="24"/>
                <w:color w:val="auto"/>
              </w:rPr>
            </w:pPr>
          </w:p>
        </w:tc>
      </w:tr>
      <w:tr>
        <w:trPr>
          <w:trHeight w:val="675"/>
        </w:trPr>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Date: August 25, 2022</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364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648"/>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FIRST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22nd day of August, 2022, is by and among PLAINS ALL AMERICAN PIPELINE, L.P.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w:t>
      </w:r>
      <w:r>
        <w:rPr>
          <w:rFonts w:ascii="Arial" w:cs="Arial" w:eastAsia="Arial" w:hAnsi="Arial"/>
          <w:sz w:val="18"/>
          <w:szCs w:val="18"/>
          <w:u w:val="single" w:color="auto"/>
          <w:color w:val="auto"/>
        </w:rPr>
        <w:t>PMCULC</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and the Lenders party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Borrowers, Administrative Agent and the L/C Issuers and Lenders party thereto entered into that certain Credit Agreement dated as of August 20, 2021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for the purposes and consideration therein expressed;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Borrowers, Administrative Agent, and the Lenders party hereto desire to amend the Original Agreement for the purposes described herein;</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  Terms Defined in the Original Agreement</w:t>
      </w:r>
      <w:r>
        <w:rPr>
          <w:rFonts w:ascii="Arial" w:cs="Arial" w:eastAsia="Arial" w:hAnsi="Arial"/>
          <w:sz w:val="18"/>
          <w:szCs w:val="18"/>
          <w:color w:val="auto"/>
        </w:rPr>
        <w:t>. Unless the context otherwise requires or unless otherwise expressly defined herein, the terms defined in the Credit Agreement shall have the same meanings whenever used in this Amendment.</w:t>
      </w:r>
    </w:p>
    <w:p>
      <w:pPr>
        <w:spacing w:after="0" w:line="170" w:lineRule="exact"/>
        <w:rPr>
          <w:rFonts w:ascii="Arial" w:cs="Arial" w:eastAsia="Arial" w:hAnsi="Arial"/>
          <w:sz w:val="18"/>
          <w:szCs w:val="18"/>
          <w:color w:val="auto"/>
        </w:rPr>
      </w:pPr>
    </w:p>
    <w:p>
      <w:pPr>
        <w:ind w:right="2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  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First Amendment to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656"/>
        <w:spacing w:after="0" w:line="301" w:lineRule="auto"/>
        <w:tabs>
          <w:tab w:leader="none" w:pos="783" w:val="left"/>
        </w:tabs>
        <w:numPr>
          <w:ilvl w:val="0"/>
          <w:numId w:val="3"/>
        </w:numPr>
        <w:rPr>
          <w:rFonts w:ascii="Arial" w:cs="Arial" w:eastAsia="Arial" w:hAnsi="Arial"/>
          <w:sz w:val="16"/>
          <w:szCs w:val="16"/>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  Credit Agreement</w:t>
      </w:r>
      <w:r>
        <w:rPr>
          <w:rFonts w:ascii="Arial" w:cs="Arial" w:eastAsia="Arial" w:hAnsi="Arial"/>
          <w:sz w:val="16"/>
          <w:szCs w:val="16"/>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Arial" w:cs="Arial" w:eastAsia="Arial" w:hAnsi="Arial"/>
          <w:sz w:val="16"/>
          <w:szCs w:val="16"/>
          <w:color w:val="FF0000"/>
          <w:strike w:val="1"/>
        </w:rPr>
        <w:t>stricken text</w:t>
      </w:r>
      <w:r>
        <w:rPr>
          <w:rFonts w:ascii="Arial" w:cs="Arial" w:eastAsia="Arial" w:hAnsi="Arial"/>
          <w:sz w:val="16"/>
          <w:szCs w:val="16"/>
          <w:color w:val="FF0000"/>
        </w:rPr>
        <w:t xml:space="preserve"> </w:t>
      </w:r>
      <w:r>
        <w:rPr>
          <w:rFonts w:ascii="Arial" w:cs="Arial" w:eastAsia="Arial" w:hAnsi="Arial"/>
          <w:sz w:val="16"/>
          <w:szCs w:val="16"/>
          <w:color w:val="000000"/>
        </w:rPr>
        <w:t>and</w:t>
      </w:r>
      <w:r>
        <w:rPr>
          <w:rFonts w:ascii="Arial" w:cs="Arial" w:eastAsia="Arial" w:hAnsi="Arial"/>
          <w:sz w:val="16"/>
          <w:szCs w:val="16"/>
          <w:color w:val="FF0000"/>
        </w:rPr>
        <w:t xml:space="preserve"> </w:t>
      </w:r>
      <w:r>
        <w:rPr>
          <w:rFonts w:ascii="Arial" w:cs="Arial" w:eastAsia="Arial" w:hAnsi="Arial"/>
          <w:sz w:val="16"/>
          <w:szCs w:val="16"/>
          <w:color w:val="00B150"/>
          <w:strike w:val="1"/>
        </w:rPr>
        <w:t>stricken text</w:t>
      </w:r>
      <w:r>
        <w:rPr>
          <w:rFonts w:ascii="Arial" w:cs="Arial" w:eastAsia="Arial" w:hAnsi="Arial"/>
          <w:sz w:val="16"/>
          <w:szCs w:val="16"/>
          <w:color w:val="000000"/>
        </w:rPr>
        <w:t>) and (b) to add the blue or green double-underlined text (indicated textually in the same manner as the following examples: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double-underlined text</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B150"/>
        </w:rPr>
        <w:t>double-underlined text</w:t>
      </w:r>
      <w:r>
        <w:rPr>
          <w:rFonts w:ascii="Arial" w:cs="Arial" w:eastAsia="Arial" w:hAnsi="Arial"/>
          <w:sz w:val="16"/>
          <w:szCs w:val="16"/>
          <w:color w:val="000000"/>
        </w:rPr>
        <w:t>), in each case, as set forth in the marked pages of the Credit Agreement attached as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Annex A</w:t>
      </w:r>
      <w:r>
        <w:rPr>
          <w:rFonts w:ascii="Arial" w:cs="Arial" w:eastAsia="Arial" w:hAnsi="Arial"/>
          <w:sz w:val="16"/>
          <w:szCs w:val="16"/>
          <w:color w:val="0000FF"/>
        </w:rPr>
        <w:t xml:space="preserve"> </w:t>
      </w:r>
      <w:r>
        <w:rPr>
          <w:rFonts w:ascii="Arial" w:cs="Arial" w:eastAsia="Arial" w:hAnsi="Arial"/>
          <w:sz w:val="16"/>
          <w:szCs w:val="16"/>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20" w:firstLine="656"/>
        <w:spacing w:after="0" w:line="277"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 Committed Loan Notice</w:t>
      </w:r>
      <w:r>
        <w:rPr>
          <w:rFonts w:ascii="Arial" w:cs="Arial" w:eastAsia="Arial" w:hAnsi="Arial"/>
          <w:sz w:val="18"/>
          <w:szCs w:val="18"/>
          <w:color w:val="auto"/>
        </w:rPr>
        <w:t>. Exhibit A to the Original Agreement is hereby amended in its entirety to read as set forth on Exhibit A attached hereto, which shall be deemed to be attached as Exhibit A to the Credit Agreement.</w:t>
      </w:r>
    </w:p>
    <w:p>
      <w:pPr>
        <w:spacing w:after="0" w:line="170" w:lineRule="exact"/>
        <w:rPr>
          <w:rFonts w:ascii="Arial" w:cs="Arial" w:eastAsia="Arial" w:hAnsi="Arial"/>
          <w:sz w:val="18"/>
          <w:szCs w:val="18"/>
          <w:color w:val="auto"/>
        </w:rPr>
      </w:pPr>
    </w:p>
    <w:p>
      <w:pPr>
        <w:ind w:right="20" w:firstLine="656"/>
        <w:spacing w:after="0" w:line="277"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  Swing Line Loan Notice</w:t>
      </w:r>
      <w:r>
        <w:rPr>
          <w:rFonts w:ascii="Arial" w:cs="Arial" w:eastAsia="Arial" w:hAnsi="Arial"/>
          <w:sz w:val="18"/>
          <w:szCs w:val="18"/>
          <w:color w:val="auto"/>
        </w:rPr>
        <w:t>. Exhibit B to the Original Agreement is hereby amended in its entirety to read as set forth on Exhibit B attached hereto, which shall be deemed to be attached as Exhibit B to the Credit Agreement.</w:t>
      </w:r>
    </w:p>
    <w:p>
      <w:pPr>
        <w:spacing w:after="0" w:line="170" w:lineRule="exact"/>
        <w:rPr>
          <w:rFonts w:ascii="Arial" w:cs="Arial" w:eastAsia="Arial" w:hAnsi="Arial"/>
          <w:sz w:val="18"/>
          <w:szCs w:val="18"/>
          <w:color w:val="auto"/>
        </w:rPr>
      </w:pPr>
    </w:p>
    <w:p>
      <w:pPr>
        <w:jc w:val="both"/>
        <w:ind w:firstLine="656"/>
        <w:spacing w:after="0" w:line="287" w:lineRule="auto"/>
        <w:tabs>
          <w:tab w:leader="none" w:pos="796" w:val="left"/>
        </w:tabs>
        <w:numPr>
          <w:ilvl w:val="0"/>
          <w:numId w:val="4"/>
        </w:numPr>
        <w:rPr>
          <w:rFonts w:ascii="Arial" w:cs="Arial" w:eastAsia="Arial" w:hAnsi="Arial"/>
          <w:sz w:val="16"/>
          <w:szCs w:val="16"/>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  Outstanding Eurocurrency Borrowings</w:t>
      </w:r>
      <w:r>
        <w:rPr>
          <w:rFonts w:ascii="Arial" w:cs="Arial" w:eastAsia="Arial" w:hAnsi="Arial"/>
          <w:sz w:val="16"/>
          <w:szCs w:val="16"/>
          <w:color w:val="auto"/>
        </w:rPr>
        <w:t xml:space="preserve">. Notwithstanding the amendments to the Original Agreement contemplated hereby, to the extent any Eurocurrency Rate Committed Loan (as such term is defined in the Original Agreement) is outstanding on the Amendment Effective Date, such Eurocurrency Rate Committed Loan shall continue to bear interest at the applicable Eurocurrency Rate (as defined in the Original Agreement) plus the Applicable Rate until the end of the Interest Period therefor, and the related provisions of the Original Agreement shall continue in effect solely with respect to such Eurocurrency Rate Committed Loans until such time for the limited purposes set forth in this section. If any such Eurocurrency Rate Committed Loan remains outstanding upon the expiration of the Interest Period applicable thereto, then such Eurocurrency Rate Committed Loan shall be converted, at the election of the Company, into Borrowings consisting of Base Rate Loans and/or Term SOFR Loans (with respect to Eurocurrency Rate Committed Loans denominated in Dollars) or Canadian Prime Rate Loans and/or Canadian Term Rate Loans (with respect to Eurocurrency Rate Committed Loans denominated in Canadian Dollars); </w:t>
      </w:r>
      <w:r>
        <w:rPr>
          <w:rFonts w:ascii="Arial" w:cs="Arial" w:eastAsia="Arial" w:hAnsi="Arial"/>
          <w:sz w:val="16"/>
          <w:szCs w:val="16"/>
          <w:u w:val="single" w:color="auto"/>
          <w:color w:val="auto"/>
        </w:rPr>
        <w:t>provided</w:t>
      </w:r>
      <w:r>
        <w:rPr>
          <w:rFonts w:ascii="Arial" w:cs="Arial" w:eastAsia="Arial" w:hAnsi="Arial"/>
          <w:sz w:val="16"/>
          <w:szCs w:val="16"/>
          <w:color w:val="auto"/>
        </w:rPr>
        <w:t>, that if no election as to the Type of Borrowing is specified, the Borrower shall be deemed to have requested a Committed Borrowing of Base Rate Loans (with respect to Loans denominated in Dollars) or Canadian Prime Rate Loans (with respect to Loans denominated in Canadian Dollars). On and after the Amendment Effective Date, no Loans may be continued as or converted into Eurocurrency Rate Loans, no new Eurocurrency Rate Loans may be requested by the Borrower, and no Lender shall advance any new Eurocurrency Rate Loans.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right="20" w:firstLine="656"/>
        <w:spacing w:after="0" w:line="277"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  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            executed counterparts of this Amendment, sufficient in number for distribution to the Administrative Agent, each Lender and each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(ii)           such other assurances, certificates, documents, consents or opinions as the Administrative Agent may reasonably require.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648"/>
        <w:spacing w:after="0" w:line="263" w:lineRule="auto"/>
        <w:rPr>
          <w:sz w:val="20"/>
          <w:szCs w:val="20"/>
          <w:color w:val="auto"/>
        </w:rPr>
      </w:pPr>
      <w:r>
        <w:rPr>
          <w:rFonts w:ascii="Arial" w:cs="Arial" w:eastAsia="Arial" w:hAnsi="Arial"/>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The Company shall have paid all reasonable fees, charges and disbursements of counsel to the Administrative Agent to the extent invoiced prior to the Amendment Effective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 3.1</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firstLine="656"/>
        <w:spacing w:after="0" w:line="277" w:lineRule="auto"/>
        <w:tabs>
          <w:tab w:leader="none" w:pos="796" w:val="left"/>
        </w:tabs>
        <w:numPr>
          <w:ilvl w:val="0"/>
          <w:numId w:val="6"/>
        </w:numPr>
        <w:rPr>
          <w:rFonts w:ascii="Arial" w:cs="Arial" w:eastAsia="Arial" w:hAnsi="Arial"/>
          <w:sz w:val="18"/>
          <w:szCs w:val="18"/>
          <w:color w:val="auto"/>
        </w:rPr>
      </w:pPr>
      <w:r>
        <w:rPr>
          <w:rFonts w:ascii="Arial" w:cs="Arial" w:eastAsia="Arial" w:hAnsi="Arial"/>
          <w:sz w:val="18"/>
          <w:szCs w:val="18"/>
          <w:color w:val="auto"/>
        </w:rPr>
        <w:t>4.1.    </w:t>
      </w:r>
      <w:r>
        <w:rPr>
          <w:rFonts w:ascii="Arial" w:cs="Arial" w:eastAsia="Arial" w:hAnsi="Arial"/>
          <w:sz w:val="18"/>
          <w:szCs w:val="18"/>
          <w:u w:val="single" w:color="auto"/>
          <w:color w:val="auto"/>
        </w:rPr>
        <w:t>  Representations and Warranties of the Company</w:t>
      </w:r>
      <w:r>
        <w:rPr>
          <w:rFonts w:ascii="Arial" w:cs="Arial" w:eastAsia="Arial" w:hAnsi="Arial"/>
          <w:sz w:val="18"/>
          <w:szCs w:val="18"/>
          <w:color w:val="auto"/>
        </w:rPr>
        <w:t>. In order to induce Administrative Agent, L/C Issuers and Lenders to enter into this Amendment, the Company represents and warrants to Administrative Agent, L/C Issuers and each Lender that: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           The representations and warranties of (i) the Company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7"/>
          <w:szCs w:val="17"/>
          <w:u w:val="single" w:color="auto"/>
          <w:color w:val="auto"/>
        </w:rPr>
        <w:t>subsections (a) and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Credit Agreement shall be deemed to refer to the most recent statements furnished pursuant to clauses (a)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Credit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 Default has occurred and is continuing as of the Amendment Effective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56"/>
        <w:spacing w:after="0" w:line="290" w:lineRule="auto"/>
        <w:tabs>
          <w:tab w:leader="none" w:pos="810" w:val="left"/>
        </w:tabs>
        <w:numPr>
          <w:ilvl w:val="0"/>
          <w:numId w:val="7"/>
        </w:numPr>
        <w:rPr>
          <w:rFonts w:ascii="Arial" w:cs="Arial" w:eastAsia="Arial" w:hAnsi="Arial"/>
          <w:sz w:val="16"/>
          <w:szCs w:val="16"/>
          <w:color w:val="auto"/>
        </w:rPr>
      </w:pPr>
      <w:r>
        <w:rPr>
          <w:rFonts w:ascii="Arial" w:cs="Arial" w:eastAsia="Arial" w:hAnsi="Arial"/>
          <w:sz w:val="16"/>
          <w:szCs w:val="16"/>
          <w:color w:val="auto"/>
        </w:rPr>
        <w:t>5.1.   </w:t>
      </w:r>
      <w:r>
        <w:rPr>
          <w:rFonts w:ascii="Arial" w:cs="Arial" w:eastAsia="Arial" w:hAnsi="Arial"/>
          <w:sz w:val="16"/>
          <w:szCs w:val="16"/>
          <w:u w:val="single" w:color="auto"/>
          <w:color w:val="auto"/>
        </w:rPr>
        <w:t>  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 5.2.    </w:t>
      </w:r>
      <w:r>
        <w:rPr>
          <w:rFonts w:ascii="Arial" w:cs="Arial" w:eastAsia="Arial" w:hAnsi="Arial"/>
          <w:sz w:val="16"/>
          <w:szCs w:val="16"/>
          <w:u w:val="single" w:color="auto"/>
          <w:color w:val="auto"/>
        </w:rPr>
        <w:t>  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firstLine="656"/>
        <w:spacing w:after="0" w:line="282" w:lineRule="auto"/>
        <w:tabs>
          <w:tab w:leader="none" w:pos="78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5.3.     GOVERNING LAW.</w:t>
      </w:r>
      <w:r>
        <w:rPr>
          <w:rFonts w:ascii="Arial" w:cs="Arial" w:eastAsia="Arial" w:hAnsi="Arial"/>
          <w:sz w:val="18"/>
          <w:szCs w:val="18"/>
          <w:u w:val="single" w:color="auto"/>
          <w:color w:val="auto"/>
        </w:rPr>
        <w:t>  </w:t>
      </w:r>
      <w:r>
        <w:rPr>
          <w:rFonts w:ascii="Arial" w:cs="Arial" w:eastAsia="Arial" w:hAnsi="Arial"/>
          <w:sz w:val="18"/>
          <w:szCs w:val="18"/>
          <w:b w:val="1"/>
          <w:bCs w:val="1"/>
          <w:u w:val="single" w:color="auto"/>
          <w:color w:val="auto"/>
        </w:rPr>
        <w:t>THIS AMENDMENT SHALL BE GOVERNED BY, AND CONSTRUED IN ACCORDANCE WITH, THE LAWS OF THE STATE OF NEW YORK</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jc w:val="both"/>
        <w:ind w:firstLine="656"/>
        <w:spacing w:after="0" w:line="259" w:lineRule="auto"/>
        <w:tabs>
          <w:tab w:leader="none" w:pos="783" w:val="left"/>
        </w:tabs>
        <w:numPr>
          <w:ilvl w:val="0"/>
          <w:numId w:val="8"/>
        </w:numPr>
        <w:rPr>
          <w:rFonts w:ascii="Arial" w:cs="Arial" w:eastAsia="Arial" w:hAnsi="Arial"/>
          <w:sz w:val="18"/>
          <w:szCs w:val="18"/>
          <w:color w:val="auto"/>
        </w:rPr>
      </w:pPr>
      <w:r>
        <w:rPr>
          <w:rFonts w:ascii="Arial" w:cs="Arial" w:eastAsia="Arial" w:hAnsi="Arial"/>
          <w:sz w:val="18"/>
          <w:szCs w:val="18"/>
          <w:color w:val="auto"/>
        </w:rPr>
        <w:t>5.4.    </w:t>
      </w:r>
      <w:r>
        <w:rPr>
          <w:rFonts w:ascii="Arial" w:cs="Arial" w:eastAsia="Arial" w:hAnsi="Arial"/>
          <w:sz w:val="18"/>
          <w:szCs w:val="18"/>
          <w:u w:val="single" w:color="auto"/>
          <w:color w:val="auto"/>
        </w:rPr>
        <w:t>  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796" w:val="left"/>
        </w:tabs>
        <w:numPr>
          <w:ilvl w:val="0"/>
          <w:numId w:val="8"/>
        </w:numPr>
        <w:rPr>
          <w:rFonts w:ascii="Arial" w:cs="Arial" w:eastAsia="Arial" w:hAnsi="Arial"/>
          <w:sz w:val="18"/>
          <w:szCs w:val="18"/>
          <w:color w:val="auto"/>
        </w:rPr>
      </w:pPr>
      <w:r>
        <w:rPr>
          <w:rFonts w:ascii="Arial" w:cs="Arial" w:eastAsia="Arial" w:hAnsi="Arial"/>
          <w:sz w:val="18"/>
          <w:szCs w:val="18"/>
          <w:color w:val="auto"/>
        </w:rPr>
        <w:t>5.5.    </w:t>
      </w:r>
      <w:r>
        <w:rPr>
          <w:rFonts w:ascii="Arial" w:cs="Arial" w:eastAsia="Arial" w:hAnsi="Arial"/>
          <w:sz w:val="18"/>
          <w:szCs w:val="18"/>
          <w:u w:val="single" w:color="auto"/>
          <w:color w:val="auto"/>
        </w:rPr>
        <w:t>  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PLAINS ALL AMERICAN PIPELINE, L.P. </w:t>
      </w:r>
      <w:r>
        <w:rPr>
          <w:rFonts w:ascii="Arial" w:cs="Arial" w:eastAsia="Arial" w:hAnsi="Arial"/>
          <w:sz w:val="18"/>
          <w:szCs w:val="18"/>
          <w:color w:val="auto"/>
        </w:rPr>
        <w:t>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MIDSTREAM CANADA ULC</w:t>
      </w:r>
      <w:r>
        <w:rPr>
          <w:rFonts w:ascii="Arial" w:cs="Arial" w:eastAsia="Arial" w:hAnsi="Arial"/>
          <w:sz w:val="18"/>
          <w:szCs w:val="18"/>
          <w:color w:val="auto"/>
        </w:rPr>
        <w:t>, 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1500" w:val="left"/>
        </w:tabs>
        <w:rPr>
          <w:sz w:val="20"/>
          <w:szCs w:val="20"/>
          <w:color w:val="auto"/>
        </w:rPr>
      </w:pPr>
      <w:r>
        <w:rPr>
          <w:rFonts w:ascii="Arial" w:cs="Arial" w:eastAsia="Arial" w:hAnsi="Arial"/>
          <w:sz w:val="35"/>
          <w:szCs w:val="35"/>
          <w:color w:val="auto"/>
          <w:vertAlign w:val="superscript"/>
        </w:rPr>
        <w:t>S-1</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ind w:left="45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Melissa Mullis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S-2</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ind w:left="4420" w:right="360"/>
        <w:spacing w:after="0" w:line="282" w:lineRule="auto"/>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 Lender, an L/C Issuer and Swing Line</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420"/>
        <w:spacing w:after="0"/>
        <w:tabs>
          <w:tab w:leader="none" w:pos="4880" w:val="left"/>
        </w:tabs>
        <w:rPr>
          <w:sz w:val="20"/>
          <w:szCs w:val="20"/>
          <w:color w:val="auto"/>
        </w:rPr>
      </w:pPr>
      <w:r>
        <w:rPr>
          <w:rFonts w:ascii="Arial" w:cs="Arial" w:eastAsia="Arial" w:hAnsi="Arial"/>
          <w:sz w:val="18"/>
          <w:szCs w:val="18"/>
          <w:color w:val="auto"/>
        </w:rPr>
        <w:t>By:</w:t>
        <w:tab/>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14605</wp:posOffset>
            </wp:positionV>
            <wp:extent cx="3308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Name:Megan Baqui</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S-3</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Maureen Maroney</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S-4</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ind w:left="564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Lender and an L/C Issuer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 Linda Papadakis</w:t>
            </w:r>
          </w:p>
        </w:tc>
      </w:tr>
      <w:tr>
        <w:trPr>
          <w:trHeight w:val="425"/>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Jo Linda Papadakis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Officer</w:t>
            </w:r>
          </w:p>
        </w:tc>
      </w:tr>
      <w:tr>
        <w:trPr>
          <w:trHeight w:val="688"/>
        </w:trPr>
        <w:tc>
          <w:tcPr>
            <w:tcW w:w="620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S-5</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04" w:right="339" w:bottom="1440" w:gutter="0" w:footer="0" w:header="0"/>
        </w:sectPr>
      </w:pPr>
    </w:p>
    <w:bookmarkStart w:id="12" w:name="page13"/>
    <w:bookmarkEnd w:id="12"/>
    <w:p>
      <w:pPr>
        <w:ind w:left="4520" w:right="16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an L/C Issuer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Nathan Starr</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41"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S-6</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BANCO BILBAO VIZCAYA ARGENTARIA, S.A. NEW YORK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Cara Younger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Miriam Trautmann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S-7</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 w:name="page15"/>
    <w:bookmarkEnd w:id="14"/>
    <w:p>
      <w:pPr>
        <w:ind w:left="45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Jason Lang</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S-8</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b w:val="1"/>
          <w:bCs w:val="1"/>
          <w:color w:val="auto"/>
        </w:rPr>
        <w:t>BANK OF NOVA SCOTIA, HOUSTON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Joe Lattanzi</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580" w:val="left"/>
        </w:tabs>
        <w:rPr>
          <w:sz w:val="20"/>
          <w:szCs w:val="20"/>
          <w:color w:val="auto"/>
        </w:rPr>
      </w:pPr>
      <w:r>
        <w:rPr>
          <w:rFonts w:ascii="Arial" w:cs="Arial" w:eastAsia="Arial" w:hAnsi="Arial"/>
          <w:sz w:val="35"/>
          <w:szCs w:val="35"/>
          <w:color w:val="auto"/>
          <w:vertAlign w:val="superscript"/>
        </w:rPr>
        <w:t>S-9</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6" w:name="page17"/>
    <w:bookmarkEnd w:id="16"/>
    <w:p>
      <w:pPr>
        <w:ind w:left="564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Sydney G. Dennis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688"/>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S-10</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17" w:name="page18"/>
    <w:bookmarkEnd w:id="17"/>
    <w:p>
      <w:pPr>
        <w:ind w:left="564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W. Danvers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Scott W. Danvers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Trudy Nelson</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Trudy Nelson</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16"/>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S-11</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04" w:right="33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/s/ Monica Morton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Monica Morton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S-12</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Juli Bieser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Lauren Gutterman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S-13</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0" w:name="page21"/>
    <w:bookmarkEnd w:id="20"/>
    <w:p>
      <w:pPr>
        <w:ind w:left="45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Edward Sacks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S-14</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b w:val="1"/>
          <w:bCs w:val="1"/>
          <w:color w:val="auto"/>
        </w:rPr>
        <w:t>MUFG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Anastasiya Bykov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Anastasiya Bykov</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S-15</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 w:name="page23"/>
    <w:bookmarkEnd w:id="22"/>
    <w:p>
      <w:pPr>
        <w:ind w:left="564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Kyle T. Helfrich</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S-16</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Valentine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S-17</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Emilee Scott</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S-18</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Jeffrey Cobb</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S-19</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6" w:name="page27"/>
    <w:bookmarkEnd w:id="26"/>
    <w:p>
      <w:pPr>
        <w:ind w:left="4520" w:right="360"/>
        <w:spacing w:after="0" w:line="282" w:lineRule="auto"/>
        <w:rPr>
          <w:sz w:val="20"/>
          <w:szCs w:val="20"/>
          <w:color w:val="auto"/>
        </w:rPr>
      </w:pPr>
      <w:r>
        <w:rPr>
          <w:rFonts w:ascii="Arial" w:cs="Arial" w:eastAsia="Arial" w:hAnsi="Arial"/>
          <w:sz w:val="18"/>
          <w:szCs w:val="18"/>
          <w:b w:val="1"/>
          <w:bCs w:val="1"/>
          <w:color w:val="auto"/>
        </w:rPr>
        <w:t>THE TORONTO-DOMINION BANK, NEW YORK BRANCH</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Tyrone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Tyrone Nicholson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S-20</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7" w:name="page28"/>
    <w:bookmarkEnd w:id="27"/>
    <w:p>
      <w:pPr>
        <w:ind w:left="4520"/>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Lincoln LaCour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S-21</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8" w:name="page29"/>
    <w:bookmarkEnd w:id="28"/>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V. Farrell</w:t>
            </w:r>
          </w:p>
        </w:tc>
      </w:tr>
      <w:tr>
        <w:trPr>
          <w:trHeight w:val="425"/>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Paul V. Farrell</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S-22</w:t>
            </w:r>
          </w:p>
        </w:tc>
        <w:tc>
          <w:tcPr>
            <w:tcW w:w="504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w w:val="89"/>
              </w:rPr>
              <w:t>PAA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b w:val="1"/>
          <w:bCs w:val="1"/>
          <w:color w:val="auto"/>
        </w:rPr>
        <w:t>ZIONS BANCORPORATION, N.A. DBA AMEGY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Sam Trail</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S-23</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King</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4340"/>
        <w:spacing w:after="0"/>
        <w:tabs>
          <w:tab w:leader="none" w:pos="8580" w:val="left"/>
        </w:tabs>
        <w:rPr>
          <w:sz w:val="20"/>
          <w:szCs w:val="20"/>
          <w:color w:val="auto"/>
        </w:rPr>
      </w:pPr>
      <w:r>
        <w:rPr>
          <w:rFonts w:ascii="Arial" w:cs="Arial" w:eastAsia="Arial" w:hAnsi="Arial"/>
          <w:sz w:val="35"/>
          <w:szCs w:val="35"/>
          <w:color w:val="auto"/>
          <w:vertAlign w:val="superscript"/>
        </w:rPr>
        <w:t>S-24</w:t>
      </w:r>
      <w:r>
        <w:rPr>
          <w:sz w:val="20"/>
          <w:szCs w:val="20"/>
          <w:color w:val="auto"/>
        </w:rPr>
        <w:tab/>
      </w:r>
      <w:r>
        <w:rPr>
          <w:rFonts w:ascii="Arial" w:cs="Arial" w:eastAsia="Arial" w:hAnsi="Arial"/>
          <w:sz w:val="16"/>
          <w:szCs w:val="16"/>
          <w:color w:val="auto"/>
        </w:rPr>
        <w:t>PAA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Reference is made to that certain Credit Agreement, dated as of August 20, 2021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Plains All American Pipeline, L.P., a Delaware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w:t>
      </w:r>
      <w:r>
        <w:rPr>
          <w:rFonts w:ascii="Arial" w:cs="Arial" w:eastAsia="Arial" w:hAnsi="Arial"/>
          <w:sz w:val="18"/>
          <w:szCs w:val="18"/>
          <w:u w:val="single" w:color="auto"/>
          <w:color w:val="auto"/>
        </w:rPr>
        <w:t>PMCULC</w:t>
      </w:r>
      <w:r>
        <w:rPr>
          <w:rFonts w:ascii="Arial" w:cs="Arial" w:eastAsia="Arial" w:hAnsi="Arial"/>
          <w:sz w:val="18"/>
          <w:szCs w:val="18"/>
          <w:color w:val="auto"/>
        </w:rPr>
        <w:t>”), each Subsidiary of the Company from time to time and during the time it is a party thereto (each such Subsidiary and, together with the Company and PMCULC,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Committed Loans</w:t>
      </w:r>
    </w:p>
    <w:p>
      <w:pPr>
        <w:spacing w:after="0" w:line="225" w:lineRule="exact"/>
        <w:rPr>
          <w:sz w:val="20"/>
          <w:szCs w:val="20"/>
          <w:color w:val="auto"/>
        </w:rPr>
      </w:pPr>
    </w:p>
    <w:p>
      <w:pPr>
        <w:ind w:left="660"/>
        <w:spacing w:after="0"/>
        <w:tabs>
          <w:tab w:leader="none" w:pos="5100" w:val="left"/>
        </w:tabs>
        <w:rPr>
          <w:sz w:val="20"/>
          <w:szCs w:val="20"/>
          <w:color w:val="auto"/>
        </w:rPr>
      </w:pPr>
      <w:r>
        <w:rPr>
          <w:rFonts w:ascii="Arial" w:cs="Arial" w:eastAsia="Arial" w:hAnsi="Arial"/>
          <w:sz w:val="18"/>
          <w:szCs w:val="18"/>
          <w:color w:val="auto"/>
        </w:rPr>
        <w:t>1.             On</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wp:posOffset>
            </wp:positionV>
            <wp:extent cx="23704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[$/C$]___________] [aggregate face amount of C$___________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 Loans] [Term SOFR/Canadian Term Rate Loans] [Borrowing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For Term SOFR Loans: with an Interest Period of [one] [three] [six]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Term Rate Loans: with an Interest Period of [one] [two] [three]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BA’s: a maturity date of ____________, 20__.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[5.           If a conversion or continuation of Committed Loans, the existing Borrowing(s) of Committed Loans to be converted or continued: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of [$/C$] ____________ of [Term SOFR/Canadian Term Rate] Loans with an Interest Period ending 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Principal amount of [$/C$] ____________ of Base Rate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Committed Borrowing, if any, requested herein complies with the proviso to the first sentence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Agreement.</w:t>
      </w: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ectPr>
          <w:pgSz w:w="11900" w:h="16838" w:orient="portrait"/>
          <w:cols w:equalWidth="0" w:num="1">
            <w:col w:w="11240"/>
          </w:cols>
          <w:pgMar w:left="320" w:top="90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Swing Line Lender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580"/>
          </w:cols>
          <w:pgMar w:left="320" w:top="90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Reference is made to that certain Credit Agreement, dated as of August 20, 2021 (as amended, restated, extended, supplemented or otherwise modified in writing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terms defined therein being used herein as therein defined), among Plains All American Pipeline, L.P., a Delaware limited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Plains Midstream Canada ULC, a British Columbia unlimited liability company (“</w:t>
      </w:r>
      <w:r>
        <w:rPr>
          <w:rFonts w:ascii="Arial" w:cs="Arial" w:eastAsia="Arial" w:hAnsi="Arial"/>
          <w:sz w:val="16"/>
          <w:szCs w:val="16"/>
          <w:u w:val="single" w:color="auto"/>
          <w:color w:val="auto"/>
        </w:rPr>
        <w:t>PMCULC</w:t>
      </w:r>
      <w:r>
        <w:rPr>
          <w:rFonts w:ascii="Arial" w:cs="Arial" w:eastAsia="Arial" w:hAnsi="Arial"/>
          <w:sz w:val="16"/>
          <w:szCs w:val="16"/>
          <w:color w:val="auto"/>
        </w:rPr>
        <w:t>”), each Subsidiary of the Company from time to time and during the time it is a party thereto (each such Subsidiary and, together with the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and each, a “</w:t>
      </w:r>
      <w:r>
        <w:rPr>
          <w:rFonts w:ascii="Arial" w:cs="Arial" w:eastAsia="Arial" w:hAnsi="Arial"/>
          <w:sz w:val="16"/>
          <w:szCs w:val="16"/>
          <w:u w:val="single" w:color="auto"/>
          <w:color w:val="auto"/>
        </w:rPr>
        <w:t>Borrower</w:t>
      </w:r>
      <w:r>
        <w:rPr>
          <w:rFonts w:ascii="Arial" w:cs="Arial" w:eastAsia="Arial" w:hAnsi="Arial"/>
          <w:sz w:val="16"/>
          <w:szCs w:val="16"/>
          <w:color w:val="auto"/>
        </w:rPr>
        <w:t>”), Bank of America, N.A., as Administrative Agent and Swing Line Lender, Bank of America, N.A., Citibank, N.A., JPMorgan Chase Bank, N.A., and Wells Fargo Bank, National Association, as L/C Issuers, and the Lenders from time to time party thereto.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a Swing Line Loan:</w:t>
      </w:r>
    </w:p>
    <w:p>
      <w:pPr>
        <w:spacing w:after="0" w:line="225" w:lineRule="exact"/>
        <w:rPr>
          <w:sz w:val="20"/>
          <w:szCs w:val="20"/>
          <w:color w:val="auto"/>
        </w:rPr>
      </w:pPr>
    </w:p>
    <w:p>
      <w:pPr>
        <w:ind w:left="660"/>
        <w:spacing w:after="0"/>
        <w:tabs>
          <w:tab w:leader="none" w:pos="5120" w:val="left"/>
        </w:tabs>
        <w:rPr>
          <w:sz w:val="20"/>
          <w:szCs w:val="20"/>
          <w:color w:val="auto"/>
        </w:rPr>
      </w:pPr>
      <w:r>
        <w:rPr>
          <w:rFonts w:ascii="Arial" w:cs="Arial" w:eastAsia="Arial" w:hAnsi="Arial"/>
          <w:sz w:val="18"/>
          <w:szCs w:val="18"/>
          <w:color w:val="auto"/>
        </w:rPr>
        <w:t>1.             On </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-10160</wp:posOffset>
            </wp:positionV>
            <wp:extent cx="2399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w:t>
      </w:r>
      <w:r>
        <w:rPr>
          <w:rFonts w:ascii="Arial" w:cs="Arial" w:eastAsia="Arial" w:hAnsi="Arial"/>
          <w:sz w:val="18"/>
          <w:szCs w:val="18"/>
          <w:u w:val="single" w:color="auto"/>
          <w:color w:val="auto"/>
        </w:rPr>
        <w:t>                     </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Rate/Canadian Prime Rate/Term SOFR/Canadian Term Rate] Loans.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Swing Line Borrowing requested herein complies with the requirements of the provisos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of the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FOURTH AMENDED AND RESTATED CREDIT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FIRST AMENDMENT TO FOURTH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22nd day of August, 2022, is by and among PLAINS MARKETING, L.P., a Texas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w:t>
      </w:r>
      <w:r>
        <w:rPr>
          <w:rFonts w:ascii="Arial" w:cs="Arial" w:eastAsia="Arial" w:hAnsi="Arial"/>
          <w:sz w:val="18"/>
          <w:szCs w:val="18"/>
          <w:u w:val="single" w:color="auto"/>
          <w:color w:val="auto"/>
        </w:rPr>
        <w:t>PMCULC</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PLAINS ALL AMERICAN PIPELINE, L.P., a Delaware limited partnership (“</w:t>
      </w:r>
      <w:r>
        <w:rPr>
          <w:rFonts w:ascii="Arial" w:cs="Arial" w:eastAsia="Arial" w:hAnsi="Arial"/>
          <w:sz w:val="18"/>
          <w:szCs w:val="18"/>
          <w:u w:val="single" w:color="auto"/>
          <w:color w:val="auto"/>
        </w:rPr>
        <w:t>PAA</w:t>
      </w:r>
      <w:r>
        <w:rPr>
          <w:rFonts w:ascii="Arial" w:cs="Arial" w:eastAsia="Arial" w:hAnsi="Arial"/>
          <w:sz w:val="18"/>
          <w:szCs w:val="18"/>
          <w:color w:val="auto"/>
        </w:rPr>
        <w:t>”), as guarantor, BANK OF AMERICA, N.A., as Administrative Agent, and the Lenders party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Borrowers, PAA, Administrative Agent and the L/C Issuers and Lenders party thereto entered into that certain Fourth Amended and Restated Credit Agreement dated as of August 20, 2021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 for the purposes and consideration therein expressed; and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Borrowers, PAA, Administrative Agent, and the Lenders party hereto desire to amend the Original Agreement for the purposes described herein;</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0" w:firstLine="656"/>
        <w:spacing w:after="0" w:line="277"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  Terms Defined in the Original Agreement</w:t>
      </w:r>
      <w:r>
        <w:rPr>
          <w:rFonts w:ascii="Arial" w:cs="Arial" w:eastAsia="Arial" w:hAnsi="Arial"/>
          <w:sz w:val="18"/>
          <w:szCs w:val="18"/>
          <w:color w:val="auto"/>
        </w:rPr>
        <w:t>. Unless the context otherwise requires or unless otherwise expressly defined herein, the terms defined in the Credit Agreement shall have the same meanings whenever used in this Amendment.</w:t>
      </w:r>
    </w:p>
    <w:p>
      <w:pPr>
        <w:spacing w:after="0" w:line="170" w:lineRule="exact"/>
        <w:rPr>
          <w:rFonts w:ascii="Arial" w:cs="Arial" w:eastAsia="Arial" w:hAnsi="Arial"/>
          <w:sz w:val="18"/>
          <w:szCs w:val="18"/>
          <w:color w:val="auto"/>
        </w:rPr>
      </w:pPr>
    </w:p>
    <w:p>
      <w:pPr>
        <w:ind w:right="20" w:firstLine="656"/>
        <w:spacing w:after="0" w:line="277" w:lineRule="auto"/>
        <w:tabs>
          <w:tab w:leader="none" w:pos="7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  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First Amendment to Fourth Amended and Restated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656"/>
        <w:spacing w:after="0" w:line="301" w:lineRule="auto"/>
        <w:tabs>
          <w:tab w:leader="none" w:pos="7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  Credit Agreement</w:t>
      </w:r>
      <w:r>
        <w:rPr>
          <w:rFonts w:ascii="Arial" w:cs="Arial" w:eastAsia="Arial" w:hAnsi="Arial"/>
          <w:sz w:val="16"/>
          <w:szCs w:val="16"/>
          <w:color w:val="auto"/>
        </w:rPr>
        <w:t xml:space="preserve">. The Original Agreement (other than the signature pages, Annexes, Exhibits, Schedules thereto and the heading on the cover page thereto) is hereby amended (a) to delete the red or green stricken text (indicated textually in the same manner as the following examples: </w:t>
      </w:r>
      <w:r>
        <w:rPr>
          <w:rFonts w:ascii="Arial" w:cs="Arial" w:eastAsia="Arial" w:hAnsi="Arial"/>
          <w:sz w:val="16"/>
          <w:szCs w:val="16"/>
          <w:color w:val="FF0000"/>
          <w:strike w:val="1"/>
        </w:rPr>
        <w:t>stricken text</w:t>
      </w:r>
      <w:r>
        <w:rPr>
          <w:rFonts w:ascii="Arial" w:cs="Arial" w:eastAsia="Arial" w:hAnsi="Arial"/>
          <w:sz w:val="16"/>
          <w:szCs w:val="16"/>
          <w:color w:val="FF0000"/>
        </w:rPr>
        <w:t xml:space="preserve"> </w:t>
      </w:r>
      <w:r>
        <w:rPr>
          <w:rFonts w:ascii="Arial" w:cs="Arial" w:eastAsia="Arial" w:hAnsi="Arial"/>
          <w:sz w:val="16"/>
          <w:szCs w:val="16"/>
          <w:color w:val="000000"/>
        </w:rPr>
        <w:t>and</w:t>
      </w:r>
      <w:r>
        <w:rPr>
          <w:rFonts w:ascii="Arial" w:cs="Arial" w:eastAsia="Arial" w:hAnsi="Arial"/>
          <w:sz w:val="16"/>
          <w:szCs w:val="16"/>
          <w:color w:val="FF0000"/>
        </w:rPr>
        <w:t xml:space="preserve"> </w:t>
      </w:r>
      <w:r>
        <w:rPr>
          <w:rFonts w:ascii="Arial" w:cs="Arial" w:eastAsia="Arial" w:hAnsi="Arial"/>
          <w:sz w:val="16"/>
          <w:szCs w:val="16"/>
          <w:color w:val="00B150"/>
          <w:strike w:val="1"/>
        </w:rPr>
        <w:t>stricken text</w:t>
      </w:r>
      <w:r>
        <w:rPr>
          <w:rFonts w:ascii="Arial" w:cs="Arial" w:eastAsia="Arial" w:hAnsi="Arial"/>
          <w:sz w:val="16"/>
          <w:szCs w:val="16"/>
          <w:color w:val="000000"/>
        </w:rPr>
        <w:t>) and (b) to add the blue or green double-underlined text (indicated textually in the same manner as the following examples:</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double-underlined text</w:t>
      </w:r>
      <w:r>
        <w:rPr>
          <w:rFonts w:ascii="Arial" w:cs="Arial" w:eastAsia="Arial" w:hAnsi="Arial"/>
          <w:sz w:val="16"/>
          <w:szCs w:val="16"/>
          <w:color w:val="0000FF"/>
        </w:rPr>
        <w:t xml:space="preserve"> </w:t>
      </w:r>
      <w:r>
        <w:rPr>
          <w:rFonts w:ascii="Arial" w:cs="Arial" w:eastAsia="Arial" w:hAnsi="Arial"/>
          <w:sz w:val="16"/>
          <w:szCs w:val="16"/>
          <w:color w:val="000000"/>
        </w:rPr>
        <w:t>and</w:t>
      </w:r>
      <w:r>
        <w:rPr>
          <w:rFonts w:ascii="Arial" w:cs="Arial" w:eastAsia="Arial" w:hAnsi="Arial"/>
          <w:sz w:val="16"/>
          <w:szCs w:val="16"/>
          <w:color w:val="0000FF"/>
        </w:rPr>
        <w:t xml:space="preserve"> </w:t>
      </w:r>
      <w:r>
        <w:rPr>
          <w:rFonts w:ascii="Arial" w:cs="Arial" w:eastAsia="Arial" w:hAnsi="Arial"/>
          <w:sz w:val="16"/>
          <w:szCs w:val="16"/>
          <w:u w:val="single" w:color="auto"/>
          <w:color w:val="00B150"/>
        </w:rPr>
        <w:t>double-underlined text</w:t>
      </w:r>
      <w:r>
        <w:rPr>
          <w:rFonts w:ascii="Arial" w:cs="Arial" w:eastAsia="Arial" w:hAnsi="Arial"/>
          <w:sz w:val="16"/>
          <w:szCs w:val="16"/>
          <w:color w:val="000000"/>
        </w:rPr>
        <w:t>), in each case, as set forth in the marked pages of the Credit Agreement attached as</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Annex A</w:t>
      </w:r>
      <w:r>
        <w:rPr>
          <w:rFonts w:ascii="Arial" w:cs="Arial" w:eastAsia="Arial" w:hAnsi="Arial"/>
          <w:sz w:val="16"/>
          <w:szCs w:val="16"/>
          <w:color w:val="0000FF"/>
        </w:rPr>
        <w:t xml:space="preserve"> </w:t>
      </w:r>
      <w:r>
        <w:rPr>
          <w:rFonts w:ascii="Arial" w:cs="Arial" w:eastAsia="Arial" w:hAnsi="Arial"/>
          <w:sz w:val="16"/>
          <w:szCs w:val="16"/>
          <w:color w:val="000000"/>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ind w:firstLine="656"/>
        <w:spacing w:after="0" w:line="277" w:lineRule="auto"/>
        <w:tabs>
          <w:tab w:leader="none" w:pos="7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  Committed Loan Notice</w:t>
      </w:r>
      <w:r>
        <w:rPr>
          <w:rFonts w:ascii="Arial" w:cs="Arial" w:eastAsia="Arial" w:hAnsi="Arial"/>
          <w:sz w:val="18"/>
          <w:szCs w:val="18"/>
          <w:color w:val="auto"/>
        </w:rPr>
        <w:t>. Exhibit A to the Original Agreement is hereby amended in its entirety to read as set forth on Exhibit A attached hereto, which shall be deemed to be attached as Exhibit A to the Credit Agreement.</w:t>
      </w:r>
    </w:p>
    <w:p>
      <w:pPr>
        <w:spacing w:after="0" w:line="170" w:lineRule="exact"/>
        <w:rPr>
          <w:rFonts w:ascii="Arial" w:cs="Arial" w:eastAsia="Arial" w:hAnsi="Arial"/>
          <w:sz w:val="18"/>
          <w:szCs w:val="18"/>
          <w:color w:val="auto"/>
        </w:rPr>
      </w:pPr>
    </w:p>
    <w:p>
      <w:pPr>
        <w:ind w:firstLine="656"/>
        <w:spacing w:after="0" w:line="277" w:lineRule="auto"/>
        <w:tabs>
          <w:tab w:leader="none" w:pos="7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  Swing Line Loan Notice</w:t>
      </w:r>
      <w:r>
        <w:rPr>
          <w:rFonts w:ascii="Arial" w:cs="Arial" w:eastAsia="Arial" w:hAnsi="Arial"/>
          <w:sz w:val="18"/>
          <w:szCs w:val="18"/>
          <w:color w:val="auto"/>
        </w:rPr>
        <w:t>. Exhibit B to the Original Agreement is hereby amended in its entirety to read as set forth on Exhibit B attached hereto, which shall be deemed to be attached as Exhibit B to the Credit Agreement.</w:t>
      </w:r>
    </w:p>
    <w:p>
      <w:pPr>
        <w:spacing w:after="0" w:line="170" w:lineRule="exact"/>
        <w:rPr>
          <w:rFonts w:ascii="Arial" w:cs="Arial" w:eastAsia="Arial" w:hAnsi="Arial"/>
          <w:sz w:val="18"/>
          <w:szCs w:val="18"/>
          <w:color w:val="auto"/>
        </w:rPr>
      </w:pPr>
    </w:p>
    <w:p>
      <w:pPr>
        <w:jc w:val="both"/>
        <w:ind w:firstLine="656"/>
        <w:spacing w:after="0" w:line="287" w:lineRule="auto"/>
        <w:tabs>
          <w:tab w:leader="none" w:pos="7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  Outstanding Eurocurrency Borrowings</w:t>
      </w:r>
      <w:r>
        <w:rPr>
          <w:rFonts w:ascii="Arial" w:cs="Arial" w:eastAsia="Arial" w:hAnsi="Arial"/>
          <w:sz w:val="16"/>
          <w:szCs w:val="16"/>
          <w:color w:val="auto"/>
        </w:rPr>
        <w:t xml:space="preserve">. Notwithstanding the amendments to the Original Agreement contemplated hereby, to the extent any Eurocurrency Rate Committed Loan (as such term is defined in the Original Agreement) is outstanding on the Amendment Effective Date, such Eurocurrency Rate Committed Loan shall continue to bear interest at the applicable Eurocurrency Rate (as defined in the Original Agreement) plus the Applicable Rate until the end of the Interest Period therefor, and the related provisions of the Original Agreement shall continue in effect solely with respect to such Eurocurrency Rate Committed Loans until such time for the limited purposes set forth in this section. If any such Eurocurrency Rate Committed Loan remains outstanding upon the expiration of the Interest Period applicable thereto, then such Eurocurrency Rate Committed Loan shall be converted, at the election of the Company, into Borrowings consisting of Base Rate Loans and/or Term SOFR Loans (with respect to Eurocurrency Rate Committed Loans denominated in Dollars) or Canadian Prime Rate Loans and/or Canadian Term Rate Loans (with respect to Eurocurrency Rate Committed Loans denominated in Canadian Dollars); </w:t>
      </w:r>
      <w:r>
        <w:rPr>
          <w:rFonts w:ascii="Arial" w:cs="Arial" w:eastAsia="Arial" w:hAnsi="Arial"/>
          <w:sz w:val="16"/>
          <w:szCs w:val="16"/>
          <w:u w:val="single" w:color="auto"/>
          <w:color w:val="auto"/>
        </w:rPr>
        <w:t>provided</w:t>
      </w:r>
      <w:r>
        <w:rPr>
          <w:rFonts w:ascii="Arial" w:cs="Arial" w:eastAsia="Arial" w:hAnsi="Arial"/>
          <w:sz w:val="16"/>
          <w:szCs w:val="16"/>
          <w:color w:val="auto"/>
        </w:rPr>
        <w:t>, that if no election as to the Type of Borrowing is specified, the Borrower shall be deemed to have requested a Committed Borrowing of Base Rate Loans (with respect to Loans denominated in Dollars) or Canadian Prime Rate Loans (with respect to Loans denominated in Canadian Dollars). On and after the Amendment Effective Date, no Loans may be continued as or converted into Eurocurrency Rate Loans, no new Eurocurrency Rate Loans may be requested by the Borrower, and no Lender shall advance any new Eurocurrency Rate Loans.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firstLine="656"/>
        <w:spacing w:after="0" w:line="277" w:lineRule="auto"/>
        <w:tabs>
          <w:tab w:leader="none" w:pos="7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  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            executed counterparts of this Amendment, sufficient in number for distribution to the Administrative Agent, each Lender, each Borrower and PAA;</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1300"/>
        <w:spacing w:after="0"/>
        <w:rPr>
          <w:sz w:val="20"/>
          <w:szCs w:val="20"/>
          <w:color w:val="auto"/>
        </w:rPr>
      </w:pPr>
      <w:r>
        <w:rPr>
          <w:rFonts w:ascii="Arial" w:cs="Arial" w:eastAsia="Arial" w:hAnsi="Arial"/>
          <w:sz w:val="17"/>
          <w:szCs w:val="17"/>
          <w:color w:val="auto"/>
        </w:rPr>
        <w:t>(ii)           such other assurances, certificates, documents, consents or opinions as the Administrative Agent may reasonably require.</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Any fees due Administrative Agent or any Lender, including any arrangement fees, agency fees and upfront fees, and any expenses incurred by Administrative Agent, in each case, as agreed in writing by the Company, required to be paid on or before the Amendment Effective Date shall have been paid.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The Company shall have paid all reasonable fees, charges and disbursements of counsel to the Administrative Agent to the extent invoiced prior to the Amendment Effective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 3.1</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firstLine="656"/>
        <w:spacing w:after="0" w:line="308" w:lineRule="auto"/>
        <w:tabs>
          <w:tab w:leader="none" w:pos="7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4.1.    </w:t>
      </w:r>
      <w:r>
        <w:rPr>
          <w:rFonts w:ascii="Arial" w:cs="Arial" w:eastAsia="Arial" w:hAnsi="Arial"/>
          <w:sz w:val="17"/>
          <w:szCs w:val="17"/>
          <w:u w:val="single" w:color="auto"/>
          <w:color w:val="auto"/>
        </w:rPr>
        <w:t>  Representations and Warranties of the Company</w:t>
      </w:r>
      <w:r>
        <w:rPr>
          <w:rFonts w:ascii="Arial" w:cs="Arial" w:eastAsia="Arial" w:hAnsi="Arial"/>
          <w:sz w:val="17"/>
          <w:szCs w:val="17"/>
          <w:color w:val="auto"/>
        </w:rPr>
        <w:t>. In order to induce Administrative Agent, L/C Issuers and Lenders to enter into this Amendment, the Company (and PMCULC, solely as to itself) represents and warrants to Administrative Agent, L/C Issuers and each Lender that:</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           The representations and warranties of (i) the Company (and PMCULC, solely as to itself)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6"/>
          <w:szCs w:val="16"/>
          <w:u w:val="single" w:color="auto"/>
          <w:color w:val="auto"/>
        </w:rPr>
        <w:t>subsections (a) and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Credit Agreement shall be deemed to refer to the most recent statements furnished pursuant to clauses (a)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 Credit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 Default has occurred and is continuing as of the Amendment Effective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56"/>
        <w:spacing w:after="0" w:line="290" w:lineRule="auto"/>
        <w:tabs>
          <w:tab w:leader="none" w:pos="8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5.1.    </w:t>
      </w:r>
      <w:r>
        <w:rPr>
          <w:rFonts w:ascii="Arial" w:cs="Arial" w:eastAsia="Arial" w:hAnsi="Arial"/>
          <w:sz w:val="16"/>
          <w:szCs w:val="16"/>
          <w:u w:val="single" w:color="auto"/>
          <w:color w:val="auto"/>
        </w:rPr>
        <w:t>  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Upon and after the effectiveness hereof,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56"/>
        <w:spacing w:after="0" w:line="293" w:lineRule="auto"/>
        <w:tabs>
          <w:tab w:leader="none" w:pos="7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5.2.     </w:t>
      </w:r>
      <w:r>
        <w:rPr>
          <w:rFonts w:ascii="Arial" w:cs="Arial" w:eastAsia="Arial" w:hAnsi="Arial"/>
          <w:sz w:val="16"/>
          <w:szCs w:val="16"/>
          <w:u w:val="single" w:color="auto"/>
          <w:color w:val="auto"/>
        </w:rPr>
        <w:t>  Ratification of PAA Guaranty and Collateral Documents</w:t>
      </w:r>
      <w:r>
        <w:rPr>
          <w:rFonts w:ascii="Arial" w:cs="Arial" w:eastAsia="Arial" w:hAnsi="Arial"/>
          <w:sz w:val="16"/>
          <w:szCs w:val="16"/>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64" w:lineRule="exact"/>
        <w:rPr>
          <w:rFonts w:ascii="Arial" w:cs="Arial" w:eastAsia="Arial" w:hAnsi="Arial"/>
          <w:sz w:val="16"/>
          <w:szCs w:val="16"/>
          <w:color w:val="auto"/>
        </w:rPr>
      </w:pPr>
    </w:p>
    <w:p>
      <w:pPr>
        <w:ind w:left="800" w:hanging="14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5.3.    </w:t>
      </w:r>
      <w:r>
        <w:rPr>
          <w:rFonts w:ascii="Arial" w:cs="Arial" w:eastAsia="Arial" w:hAnsi="Arial"/>
          <w:sz w:val="16"/>
          <w:szCs w:val="16"/>
          <w:u w:val="single" w:color="auto"/>
          <w:color w:val="auto"/>
        </w:rPr>
        <w:t>  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6" w:lineRule="exact"/>
        <w:rPr>
          <w:rFonts w:ascii="Arial" w:cs="Arial" w:eastAsia="Arial" w:hAnsi="Arial"/>
          <w:sz w:val="16"/>
          <w:szCs w:val="16"/>
          <w:color w:val="auto"/>
        </w:rPr>
      </w:pPr>
    </w:p>
    <w:p>
      <w:pPr>
        <w:ind w:right="20" w:firstLine="656"/>
        <w:spacing w:after="0" w:line="282" w:lineRule="auto"/>
        <w:tabs>
          <w:tab w:leader="none" w:pos="78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5.4.      GOVERNING LAW.</w:t>
      </w:r>
      <w:r>
        <w:rPr>
          <w:rFonts w:ascii="Arial" w:cs="Arial" w:eastAsia="Arial" w:hAnsi="Arial"/>
          <w:sz w:val="18"/>
          <w:szCs w:val="18"/>
          <w:u w:val="single" w:color="auto"/>
          <w:color w:val="auto"/>
        </w:rPr>
        <w:t>  </w:t>
      </w:r>
      <w:r>
        <w:rPr>
          <w:rFonts w:ascii="Arial" w:cs="Arial" w:eastAsia="Arial" w:hAnsi="Arial"/>
          <w:sz w:val="18"/>
          <w:szCs w:val="18"/>
          <w:b w:val="1"/>
          <w:bCs w:val="1"/>
          <w:u w:val="single" w:color="auto"/>
          <w:color w:val="auto"/>
        </w:rPr>
        <w:t>THIS AMENDMENT SHALL BE GOVERNED BY, AND CONSTRUED IN ACCORDANCE WITH, THE LAWS OF THE STATE OF NEW YORK</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jc w:val="both"/>
        <w:ind w:firstLine="656"/>
        <w:spacing w:after="0" w:line="259" w:lineRule="auto"/>
        <w:tabs>
          <w:tab w:leader="none" w:pos="7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5.5.     </w:t>
      </w:r>
      <w:r>
        <w:rPr>
          <w:rFonts w:ascii="Arial" w:cs="Arial" w:eastAsia="Arial" w:hAnsi="Arial"/>
          <w:sz w:val="18"/>
          <w:szCs w:val="18"/>
          <w:u w:val="single" w:color="auto"/>
          <w:color w:val="auto"/>
        </w:rPr>
        <w:t>  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7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5.6.    </w:t>
      </w:r>
      <w:r>
        <w:rPr>
          <w:rFonts w:ascii="Arial" w:cs="Arial" w:eastAsia="Arial" w:hAnsi="Arial"/>
          <w:sz w:val="18"/>
          <w:szCs w:val="18"/>
          <w:u w:val="single" w:color="auto"/>
          <w:color w:val="auto"/>
        </w:rPr>
        <w:t>  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MARKETING, L.P.</w:t>
      </w:r>
      <w:r>
        <w:rPr>
          <w:rFonts w:ascii="Arial" w:cs="Arial" w:eastAsia="Arial" w:hAnsi="Arial"/>
          <w:sz w:val="18"/>
          <w:szCs w:val="18"/>
          <w:color w:val="auto"/>
        </w:rPr>
        <w:t>, 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PLAINS MIDSTREAM CANADA ULC</w:t>
      </w:r>
      <w:r>
        <w:rPr>
          <w:rFonts w:ascii="Arial" w:cs="Arial" w:eastAsia="Arial" w:hAnsi="Arial"/>
          <w:sz w:val="18"/>
          <w:szCs w:val="18"/>
          <w:color w:val="auto"/>
        </w:rPr>
        <w:t>, as a Borrower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PLAINS ALL AMERICAN PIPELINE, L.P. </w:t>
      </w:r>
      <w:r>
        <w:rPr>
          <w:rFonts w:ascii="Arial" w:cs="Arial" w:eastAsia="Arial" w:hAnsi="Arial"/>
          <w:sz w:val="18"/>
          <w:szCs w:val="18"/>
          <w:color w:val="auto"/>
        </w:rPr>
        <w:t>as Guarantor</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Sharon S.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Sharon S. Spurlin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Treasurer</w:t>
      </w:r>
    </w:p>
    <w:p>
      <w:pPr>
        <w:spacing w:after="0" w:line="200" w:lineRule="exact"/>
        <w:rPr>
          <w:sz w:val="20"/>
          <w:szCs w:val="20"/>
          <w:color w:val="auto"/>
        </w:rPr>
      </w:pPr>
    </w:p>
    <w:p>
      <w:pPr>
        <w:spacing w:after="0" w:line="254" w:lineRule="exact"/>
        <w:rPr>
          <w:sz w:val="20"/>
          <w:szCs w:val="20"/>
          <w:color w:val="auto"/>
        </w:rPr>
      </w:pPr>
    </w:p>
    <w:p>
      <w:pPr>
        <w:jc w:val="right"/>
        <w:spacing w:after="0"/>
        <w:tabs>
          <w:tab w:leader="none" w:pos="1620" w:val="left"/>
        </w:tabs>
        <w:rPr>
          <w:sz w:val="20"/>
          <w:szCs w:val="20"/>
          <w:color w:val="auto"/>
        </w:rPr>
      </w:pPr>
      <w:r>
        <w:rPr>
          <w:rFonts w:ascii="Arial" w:cs="Arial" w:eastAsia="Arial" w:hAnsi="Arial"/>
          <w:sz w:val="35"/>
          <w:szCs w:val="35"/>
          <w:color w:val="auto"/>
          <w:vertAlign w:val="superscript"/>
        </w:rPr>
        <w:t>S-1</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9" w:name="page40"/>
    <w:bookmarkEnd w:id="39"/>
    <w:p>
      <w:pPr>
        <w:ind w:left="45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Melissa Mullis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S-2</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0" w:name="page41"/>
    <w:bookmarkEnd w:id="40"/>
    <w:p>
      <w:pPr>
        <w:ind w:left="4520" w:right="260"/>
        <w:spacing w:after="0" w:line="282" w:lineRule="auto"/>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 Lender, an L/C Issuer and Swing Line</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Baqui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Megan Baqui</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S-3</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1" w:name="page42"/>
    <w:bookmarkEnd w:id="41"/>
    <w:p>
      <w:pPr>
        <w:ind w:left="452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Maureen Maroney</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S-4</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2" w:name="page43"/>
    <w:bookmarkEnd w:id="42"/>
    <w:p>
      <w:pPr>
        <w:ind w:left="452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as a Lender and an L/C Issuer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Stephanie Balette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S-5</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3" w:name="page44"/>
    <w:bookmarkEnd w:id="43"/>
    <w:p>
      <w:pPr>
        <w:ind w:left="4520" w:right="16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an L/C Issuer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Nathan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Nathan Starr</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S-6</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4" w:name="page45"/>
    <w:bookmarkEnd w:id="44"/>
    <w:p>
      <w:pPr>
        <w:ind w:left="4520"/>
        <w:spacing w:after="0"/>
        <w:rPr>
          <w:sz w:val="20"/>
          <w:szCs w:val="20"/>
          <w:color w:val="auto"/>
        </w:rPr>
      </w:pPr>
      <w:r>
        <w:rPr>
          <w:rFonts w:ascii="Arial" w:cs="Arial" w:eastAsia="Arial" w:hAnsi="Arial"/>
          <w:sz w:val="18"/>
          <w:szCs w:val="18"/>
          <w:b w:val="1"/>
          <w:bCs w:val="1"/>
          <w:color w:val="auto"/>
        </w:rPr>
        <w:t>BANCO BILBAO VIZCAYA ARGENTARIA, S.A. NEW YORK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Cara Younger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Miriam Trautmann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S-7</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5" w:name="page46"/>
    <w:bookmarkEnd w:id="45"/>
    <w:p>
      <w:pPr>
        <w:ind w:left="45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Jason Lang</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S-8</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6" w:name="page47"/>
    <w:bookmarkEnd w:id="46"/>
    <w:p>
      <w:pPr>
        <w:ind w:left="4520"/>
        <w:spacing w:after="0"/>
        <w:rPr>
          <w:sz w:val="20"/>
          <w:szCs w:val="20"/>
          <w:color w:val="auto"/>
        </w:rPr>
      </w:pPr>
      <w:r>
        <w:rPr>
          <w:rFonts w:ascii="Arial" w:cs="Arial" w:eastAsia="Arial" w:hAnsi="Arial"/>
          <w:sz w:val="18"/>
          <w:szCs w:val="18"/>
          <w:b w:val="1"/>
          <w:bCs w:val="1"/>
          <w:color w:val="auto"/>
        </w:rPr>
        <w:t>BANK OF NOVA SCOTIA, HOUSTON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Joe Lattanzi</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80"/>
        <w:spacing w:after="0"/>
        <w:tabs>
          <w:tab w:leader="none" w:pos="8460" w:val="left"/>
        </w:tabs>
        <w:rPr>
          <w:sz w:val="20"/>
          <w:szCs w:val="20"/>
          <w:color w:val="auto"/>
        </w:rPr>
      </w:pPr>
      <w:r>
        <w:rPr>
          <w:rFonts w:ascii="Arial" w:cs="Arial" w:eastAsia="Arial" w:hAnsi="Arial"/>
          <w:sz w:val="35"/>
          <w:szCs w:val="35"/>
          <w:color w:val="auto"/>
          <w:vertAlign w:val="superscript"/>
        </w:rPr>
        <w:t>S-9</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7" w:name="page48"/>
    <w:bookmarkEnd w:id="47"/>
    <w:p>
      <w:pPr>
        <w:ind w:left="564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Sydney G. Dennis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Sydney G. Dennis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Director</w:t>
            </w:r>
          </w:p>
        </w:tc>
      </w:tr>
      <w:tr>
        <w:trPr>
          <w:trHeight w:val="716"/>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S-10</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48" w:name="page49"/>
    <w:bookmarkEnd w:id="48"/>
    <w:p>
      <w:pPr>
        <w:ind w:left="5640"/>
        <w:spacing w:after="0"/>
        <w:rPr>
          <w:sz w:val="20"/>
          <w:szCs w:val="20"/>
          <w:color w:val="auto"/>
        </w:rPr>
      </w:pPr>
      <w:r>
        <w:rPr>
          <w:rFonts w:ascii="Arial" w:cs="Arial" w:eastAsia="Arial" w:hAnsi="Arial"/>
          <w:sz w:val="18"/>
          <w:szCs w:val="18"/>
          <w:b w:val="1"/>
          <w:bCs w:val="1"/>
          <w:color w:val="auto"/>
        </w:rPr>
        <w:t>CANADIAN IMPERIAL BANK OF COMMERCE, NEW YORK</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W. Danvers</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Scott W. Danvers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Trudy Nelson</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Trudy Nelson</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S-11</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49" w:name="page50"/>
    <w:bookmarkEnd w:id="49"/>
    <w:p>
      <w:pPr>
        <w:ind w:left="45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Monica Morton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Monica Morton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S-12</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0" w:name="page51"/>
    <w:bookmarkEnd w:id="50"/>
    <w:p>
      <w:pPr>
        <w:ind w:left="452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 Bieser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Juli Bieser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Gutterman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Lauren Gutterman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S-13</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1" w:name="page52"/>
    <w:bookmarkEnd w:id="51"/>
    <w:p>
      <w:pPr>
        <w:ind w:left="452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Edward Sacks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S-14</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2" w:name="page53"/>
    <w:bookmarkEnd w:id="52"/>
    <w:p>
      <w:pPr>
        <w:ind w:left="4520"/>
        <w:spacing w:after="0"/>
        <w:rPr>
          <w:sz w:val="20"/>
          <w:szCs w:val="20"/>
          <w:color w:val="auto"/>
        </w:rPr>
      </w:pPr>
      <w:r>
        <w:rPr>
          <w:rFonts w:ascii="Arial" w:cs="Arial" w:eastAsia="Arial" w:hAnsi="Arial"/>
          <w:sz w:val="18"/>
          <w:szCs w:val="18"/>
          <w:b w:val="1"/>
          <w:bCs w:val="1"/>
          <w:color w:val="auto"/>
        </w:rPr>
        <w:t>MUFG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Anastasiya Bykov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Anastasiya Bykov</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S-15</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3" w:name="page54"/>
    <w:bookmarkEnd w:id="53"/>
    <w:p>
      <w:pPr>
        <w:ind w:left="564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Kyle T. Helfrich</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Kyle T. Helfrich</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716"/>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S-16</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54" w:name="page55"/>
    <w:bookmarkEnd w:id="54"/>
    <w:p>
      <w:pPr>
        <w:ind w:left="452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David Valentine</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S-17</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5" w:name="page56"/>
    <w:bookmarkEnd w:id="55"/>
    <w:p>
      <w:pPr>
        <w:ind w:left="452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Emilee Scott</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S-18</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6" w:name="page57"/>
    <w:bookmarkEnd w:id="56"/>
    <w:p>
      <w:pPr>
        <w:ind w:left="452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Jeffrey Cobb</w:t>
      </w:r>
    </w:p>
    <w:p>
      <w:pPr>
        <w:spacing w:after="0" w:line="22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S-19</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7" w:name="page58"/>
    <w:bookmarkEnd w:id="57"/>
    <w:p>
      <w:pPr>
        <w:ind w:left="4520" w:right="360"/>
        <w:spacing w:after="0" w:line="282" w:lineRule="auto"/>
        <w:rPr>
          <w:sz w:val="20"/>
          <w:szCs w:val="20"/>
          <w:color w:val="auto"/>
        </w:rPr>
      </w:pPr>
      <w:r>
        <w:rPr>
          <w:rFonts w:ascii="Arial" w:cs="Arial" w:eastAsia="Arial" w:hAnsi="Arial"/>
          <w:sz w:val="18"/>
          <w:szCs w:val="18"/>
          <w:b w:val="1"/>
          <w:bCs w:val="1"/>
          <w:color w:val="auto"/>
        </w:rPr>
        <w:t>THE TORONTO-DOMINION BANK, NEW YORK BRANCH</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382"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Maria Macchiaroli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Maria Macchiaroli</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S-20</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8" w:name="page59"/>
    <w:bookmarkEnd w:id="58"/>
    <w:p>
      <w:pPr>
        <w:ind w:left="4520"/>
        <w:spacing w:after="0"/>
        <w:rPr>
          <w:sz w:val="20"/>
          <w:szCs w:val="20"/>
          <w:color w:val="auto"/>
        </w:rPr>
      </w:pPr>
      <w:r>
        <w:rPr>
          <w:rFonts w:ascii="Arial" w:cs="Arial" w:eastAsia="Arial" w:hAnsi="Arial"/>
          <w:sz w:val="18"/>
          <w:szCs w:val="18"/>
          <w:b w:val="1"/>
          <w:bCs w:val="1"/>
          <w:color w:val="auto"/>
        </w:rPr>
        <w:t>TRUIST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Lincoln LaCour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S-21</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59" w:name="page60"/>
    <w:bookmarkEnd w:id="59"/>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V. Farrell</w:t>
            </w:r>
          </w:p>
        </w:tc>
      </w:tr>
      <w:tr>
        <w:trPr>
          <w:trHeight w:val="426"/>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Name: Paul V. Farrell</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715"/>
        </w:trPr>
        <w:tc>
          <w:tcPr>
            <w:tcW w:w="620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S-22</w:t>
            </w:r>
          </w:p>
        </w:tc>
        <w:tc>
          <w:tcPr>
            <w:tcW w:w="5040" w:type="dxa"/>
            <w:vAlign w:val="bottom"/>
            <w:tcBorders>
              <w:bottom w:val="single" w:sz="8" w:color="auto"/>
            </w:tcBorders>
          </w:tcPr>
          <w:p>
            <w:pPr>
              <w:ind w:left="3400"/>
              <w:spacing w:after="0"/>
              <w:rPr>
                <w:sz w:val="20"/>
                <w:szCs w:val="20"/>
                <w:color w:val="auto"/>
              </w:rPr>
            </w:pPr>
            <w:r>
              <w:rPr>
                <w:rFonts w:ascii="Arial" w:cs="Arial" w:eastAsia="Arial" w:hAnsi="Arial"/>
                <w:sz w:val="18"/>
                <w:szCs w:val="18"/>
                <w:color w:val="auto"/>
                <w:w w:val="89"/>
              </w:rPr>
              <w:t>PMLP 1</w:t>
            </w:r>
            <w:r>
              <w:rPr>
                <w:rFonts w:ascii="Arial" w:cs="Arial" w:eastAsia="Arial" w:hAnsi="Arial"/>
                <w:sz w:val="29"/>
                <w:szCs w:val="29"/>
                <w:color w:val="auto"/>
                <w:w w:val="89"/>
                <w:vertAlign w:val="superscript"/>
              </w:rPr>
              <w:t>st</w:t>
            </w:r>
            <w:r>
              <w:rPr>
                <w:rFonts w:ascii="Arial" w:cs="Arial" w:eastAsia="Arial" w:hAnsi="Arial"/>
                <w:sz w:val="18"/>
                <w:szCs w:val="18"/>
                <w:color w:val="auto"/>
                <w:w w:val="89"/>
              </w:rPr>
              <w:t xml:space="preserve"> Amendment</w:t>
            </w:r>
          </w:p>
        </w:tc>
      </w:tr>
    </w:tbl>
    <w:p>
      <w:pPr>
        <w:sectPr>
          <w:pgSz w:w="11900" w:h="16838" w:orient="portrait"/>
          <w:cols w:equalWidth="0" w:num="1">
            <w:col w:w="11240"/>
          </w:cols>
          <w:pgMar w:left="320" w:top="931" w:right="339" w:bottom="1440" w:gutter="0" w:footer="0" w:header="0"/>
        </w:sectPr>
      </w:pPr>
    </w:p>
    <w:bookmarkStart w:id="60" w:name="page61"/>
    <w:bookmarkEnd w:id="60"/>
    <w:p>
      <w:pPr>
        <w:ind w:left="4520"/>
        <w:spacing w:after="0"/>
        <w:rPr>
          <w:sz w:val="20"/>
          <w:szCs w:val="20"/>
          <w:color w:val="auto"/>
        </w:rPr>
      </w:pPr>
      <w:r>
        <w:rPr>
          <w:rFonts w:ascii="Arial" w:cs="Arial" w:eastAsia="Arial" w:hAnsi="Arial"/>
          <w:sz w:val="18"/>
          <w:szCs w:val="18"/>
          <w:b w:val="1"/>
          <w:bCs w:val="1"/>
          <w:color w:val="auto"/>
        </w:rPr>
        <w:t>ZIONS BANCORPORATION, N.A. DBA AMEGY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Sam Trail</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S-23</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61" w:name="page62"/>
    <w:bookmarkEnd w:id="61"/>
    <w:p>
      <w:pPr>
        <w:ind w:left="452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Michael King</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1" w:lineRule="exact"/>
        <w:rPr>
          <w:sz w:val="20"/>
          <w:szCs w:val="20"/>
          <w:color w:val="auto"/>
        </w:rPr>
      </w:pPr>
    </w:p>
    <w:p>
      <w:pPr>
        <w:ind w:left="4340"/>
        <w:spacing w:after="0"/>
        <w:tabs>
          <w:tab w:leader="none" w:pos="8460" w:val="left"/>
        </w:tabs>
        <w:rPr>
          <w:sz w:val="20"/>
          <w:szCs w:val="20"/>
          <w:color w:val="auto"/>
        </w:rPr>
      </w:pPr>
      <w:r>
        <w:rPr>
          <w:rFonts w:ascii="Arial" w:cs="Arial" w:eastAsia="Arial" w:hAnsi="Arial"/>
          <w:sz w:val="35"/>
          <w:szCs w:val="35"/>
          <w:color w:val="auto"/>
          <w:vertAlign w:val="superscript"/>
        </w:rPr>
        <w:t>S-24</w:t>
      </w:r>
      <w:r>
        <w:rPr>
          <w:sz w:val="20"/>
          <w:szCs w:val="20"/>
          <w:color w:val="auto"/>
        </w:rPr>
        <w:tab/>
      </w:r>
      <w:r>
        <w:rPr>
          <w:rFonts w:ascii="Arial" w:cs="Arial" w:eastAsia="Arial" w:hAnsi="Arial"/>
          <w:sz w:val="16"/>
          <w:szCs w:val="16"/>
          <w:color w:val="auto"/>
        </w:rPr>
        <w:t>PMLP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COMMITTED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made to that certain Fourth Amended and Restated Credit Agreement, dated as of August 20, 2021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Plains Marketing, L.P., a Texas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(select one):</w:t>
      </w:r>
    </w:p>
    <w:p>
      <w:pPr>
        <w:spacing w:after="0" w:line="225" w:lineRule="exact"/>
        <w:rPr>
          <w:sz w:val="20"/>
          <w:szCs w:val="20"/>
          <w:color w:val="auto"/>
        </w:rPr>
      </w:pPr>
    </w:p>
    <w:p>
      <w:pPr>
        <w:ind w:left="860" w:hanging="204"/>
        <w:spacing w:after="0"/>
        <w:tabs>
          <w:tab w:leader="none" w:pos="8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 Borrowing of Committed Loans</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Committed Loans</w:t>
      </w:r>
    </w:p>
    <w:p>
      <w:pPr>
        <w:spacing w:after="0" w:line="225" w:lineRule="exact"/>
        <w:rPr>
          <w:sz w:val="20"/>
          <w:szCs w:val="20"/>
          <w:color w:val="auto"/>
        </w:rPr>
      </w:pPr>
    </w:p>
    <w:p>
      <w:pPr>
        <w:ind w:left="660"/>
        <w:spacing w:after="0"/>
        <w:tabs>
          <w:tab w:leader="none" w:pos="5200" w:val="left"/>
        </w:tabs>
        <w:rPr>
          <w:sz w:val="20"/>
          <w:szCs w:val="20"/>
          <w:color w:val="auto"/>
        </w:rPr>
      </w:pPr>
      <w:r>
        <w:rPr>
          <w:rFonts w:ascii="Arial" w:cs="Arial" w:eastAsia="Arial" w:hAnsi="Arial"/>
          <w:sz w:val="18"/>
          <w:szCs w:val="18"/>
          <w:color w:val="auto"/>
        </w:rPr>
        <w:t>1.             On</w:t>
      </w:r>
      <w:r>
        <w:rPr>
          <w:sz w:val="20"/>
          <w:szCs w:val="20"/>
          <w:color w:val="auto"/>
        </w:rPr>
        <w:tab/>
      </w:r>
      <w:r>
        <w:rPr>
          <w:rFonts w:ascii="Arial" w:cs="Arial" w:eastAsia="Arial" w:hAnsi="Arial"/>
          <w:sz w:val="16"/>
          <w:szCs w:val="16"/>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wp:posOffset>
            </wp:positionV>
            <wp:extent cx="2456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[$/C$]___________] [aggregate face amount of C$___________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 Loans] [Term SOFR/Canadian Term Rate Loans] [Borrowing of Canadian BA’s].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For Term SOFR Loans: with an Interest Period of [one] [three] [six]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Term Rate Loans: with an Interest Period of [one] [two] [three] [_____] [month[s]].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Canadian BA’s: a maturity date of ____________, 20__.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[5.            If a conversion or continuation of Committed Loans, the existing Borrowing(s) of Committed Loans to be converted or continued: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of [$/C$] ____________ of [Term SOFR/Canadian Term Rate] Loans with an Interest Period ending 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Principal amount of [$/C$] ____________ of Base Rate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Committed Borrowing, if any, requested herein complies with the proviso to the first sentence of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of the Agreement.</w:t>
      </w: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A-2</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Form of Committed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60"/>
          </w:cols>
          <w:pgMar w:left="980" w:top="908" w:right="13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i w:val="1"/>
          <w:iCs w:val="1"/>
          <w:color w:val="auto"/>
        </w:rPr>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229"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 _____</w:t>
      </w:r>
    </w:p>
    <w:p>
      <w:pPr>
        <w:sectPr>
          <w:pgSz w:w="11900" w:h="16838" w:orient="portrait"/>
          <w:cols w:equalWidth="0" w:num="1">
            <w:col w:w="11240"/>
          </w:cols>
          <w:pgMar w:left="320" w:top="90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Swing Line Lender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 Agent</w:t>
      </w:r>
    </w:p>
    <w:p>
      <w:pPr>
        <w:spacing w:after="0" w:line="200" w:lineRule="exact"/>
        <w:rPr>
          <w:sz w:val="20"/>
          <w:szCs w:val="20"/>
          <w:color w:val="auto"/>
        </w:rPr>
      </w:pPr>
    </w:p>
    <w:p>
      <w:pPr>
        <w:sectPr>
          <w:pgSz w:w="11900" w:h="16838" w:orient="portrait"/>
          <w:cols w:equalWidth="0" w:num="2">
            <w:col w:w="240" w:space="420"/>
            <w:col w:w="10580"/>
          </w:cols>
          <w:pgMar w:left="320" w:top="90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made to that certain Fourth Amended and Restated Credit Agreement, dated as of August 20, 2021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Plains Marketing, L.P., a Texas limited partnership (the “</w:t>
      </w:r>
      <w:r>
        <w:rPr>
          <w:rFonts w:ascii="Arial" w:cs="Arial" w:eastAsia="Arial" w:hAnsi="Arial"/>
          <w:sz w:val="17"/>
          <w:szCs w:val="17"/>
          <w:u w:val="single" w:color="auto"/>
          <w:color w:val="auto"/>
        </w:rPr>
        <w:t>Company</w:t>
      </w:r>
      <w:r>
        <w:rPr>
          <w:rFonts w:ascii="Arial" w:cs="Arial" w:eastAsia="Arial" w:hAnsi="Arial"/>
          <w:sz w:val="17"/>
          <w:szCs w:val="17"/>
          <w:color w:val="auto"/>
        </w:rPr>
        <w:t>”), Plains Midstream Canada ULC, a British Columbia unlimited liability company (“</w:t>
      </w:r>
      <w:r>
        <w:rPr>
          <w:rFonts w:ascii="Arial" w:cs="Arial" w:eastAsia="Arial" w:hAnsi="Arial"/>
          <w:sz w:val="17"/>
          <w:szCs w:val="17"/>
          <w:u w:val="single" w:color="auto"/>
          <w:color w:val="auto"/>
        </w:rPr>
        <w:t>PMCULC</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Plains All American Pipeline, L.P., a Delaware limited partnership, as guarantor, Bank of America, N.A., as Administrative Agent and Swing Line Lender, Bank of America, N.A., Citibank, N.A., JPMorgan Chase Bank, N.A., and Wells Fargo Bank, National Association, as L/C Issuers, and the Lenders from time to time party thereto.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a Swing Line Loan:</w:t>
      </w:r>
    </w:p>
    <w:p>
      <w:pPr>
        <w:spacing w:after="0" w:line="225" w:lineRule="exact"/>
        <w:rPr>
          <w:sz w:val="20"/>
          <w:szCs w:val="20"/>
          <w:color w:val="auto"/>
        </w:rPr>
      </w:pPr>
    </w:p>
    <w:p>
      <w:pPr>
        <w:ind w:left="660"/>
        <w:spacing w:after="0"/>
        <w:tabs>
          <w:tab w:leader="none" w:pos="5020" w:val="left"/>
        </w:tabs>
        <w:rPr>
          <w:sz w:val="20"/>
          <w:szCs w:val="20"/>
          <w:color w:val="auto"/>
        </w:rPr>
      </w:pPr>
      <w:r>
        <w:rPr>
          <w:rFonts w:ascii="Arial" w:cs="Arial" w:eastAsia="Arial" w:hAnsi="Arial"/>
          <w:sz w:val="18"/>
          <w:szCs w:val="18"/>
          <w:color w:val="auto"/>
        </w:rPr>
        <w:t>1.             On</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wp:posOffset>
            </wp:positionV>
            <wp:extent cx="23139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In the principal amount of [$/C$]</w:t>
      </w:r>
      <w:r>
        <w:rPr>
          <w:rFonts w:ascii="Arial" w:cs="Arial" w:eastAsia="Arial" w:hAnsi="Arial"/>
          <w:sz w:val="18"/>
          <w:szCs w:val="18"/>
          <w:u w:val="single" w:color="auto"/>
          <w:color w:val="auto"/>
        </w:rPr>
        <w:t>                      </w:t>
      </w:r>
      <w:r>
        <w:rPr>
          <w:rFonts w:ascii="Arial" w:cs="Arial" w:eastAsia="Arial" w:hAnsi="Arial"/>
          <w:sz w:val="18"/>
          <w:szCs w:val="18"/>
          <w:color w:val="auto"/>
        </w:rPr>
        <w:t xml:space="preserve">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Comprised of [Base Rate/Canadian Prime Rate/Term SOFR/Canadian Term Rate] Loans.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Swing Line Borrowing requested herein complies with the requirements of the provisos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of the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Swing Line Loan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2022-08-25T17:08:15Z</dcterms:created>
  <dcterms:modified xsi:type="dcterms:W3CDTF">2022-08-25T17:08:15Z</dcterms:modified>
</cp:coreProperties>
</file>