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PAA GP Holdings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STE. 1600</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7"/>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PLAINS ALL AMERICAN PIPELINE LP</w:t>
        </w:r>
      </w:hyperlink>
    </w:p>
    <w:p>
      <w:pPr>
        <w:spacing w:after="0" w:line="2" w:lineRule="exact"/>
        <w:rPr>
          <w:sz w:val="24"/>
          <w:szCs w:val="24"/>
          <w:color w:val="auto"/>
        </w:rPr>
      </w:pPr>
    </w:p>
    <w:p>
      <w:pPr>
        <w:ind w:left="127" w:hanging="127"/>
        <w:spacing w:after="0"/>
        <w:tabs>
          <w:tab w:leader="none" w:pos="127" w:val="left"/>
        </w:tabs>
        <w:numPr>
          <w:ilvl w:val="0"/>
          <w:numId w:val="1"/>
        </w:numPr>
        <w:rPr>
          <w:rFonts w:ascii="Arial" w:cs="Arial" w:eastAsia="Arial" w:hAnsi="Arial"/>
          <w:sz w:val="22"/>
          <w:szCs w:val="22"/>
          <w:color w:val="auto"/>
        </w:rPr>
      </w:pPr>
      <w:r>
        <w:rPr>
          <w:rFonts w:ascii="Arial" w:cs="Arial" w:eastAsia="Arial" w:hAnsi="Arial"/>
          <w:sz w:val="18"/>
          <w:szCs w:val="18"/>
          <w:color w:val="0000FF"/>
        </w:rPr>
        <w:t xml:space="preserve">PAA </w:t>
      </w:r>
      <w:r>
        <w:rPr>
          <w:rFonts w:ascii="Arial" w:cs="Arial" w:eastAsia="Arial" w:hAnsi="Arial"/>
          <w:sz w:val="21"/>
          <w:szCs w:val="21"/>
          <w:color w:val="000000"/>
        </w:rPr>
        <w:t>]</w:t>
      </w:r>
    </w:p>
    <w:p>
      <w:pPr>
        <w:spacing w:after="0" w:line="230"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ind w:left="7"/>
        <w:spacing w:after="0"/>
        <w:rPr>
          <w:sz w:val="20"/>
          <w:szCs w:val="20"/>
          <w:color w:val="auto"/>
        </w:rPr>
      </w:pPr>
      <w:r>
        <w:rPr>
          <w:rFonts w:ascii="Arial" w:cs="Arial" w:eastAsia="Arial" w:hAnsi="Arial"/>
          <w:sz w:val="18"/>
          <w:szCs w:val="18"/>
          <w:color w:val="0000FF"/>
        </w:rPr>
        <w:t>12/31/2019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22" w:lineRule="exact"/>
        <w:rPr>
          <w:sz w:val="24"/>
          <w:szCs w:val="24"/>
          <w:color w:val="auto"/>
        </w:rPr>
      </w:pPr>
    </w:p>
    <w:p>
      <w:pPr>
        <w:sectPr>
          <w:pgSz w:w="11900" w:h="16838" w:orient="portrait"/>
          <w:cols w:equalWidth="0" w:num="3">
            <w:col w:w="3353" w:space="720"/>
            <w:col w:w="3727" w:space="257"/>
            <w:col w:w="3363"/>
          </w:cols>
          <w:pgMar w:left="240" w:top="226" w:right="239" w:bottom="0" w:gutter="0" w:footer="0" w:header="0"/>
          <w:type w:val="continuous"/>
        </w:sectPr>
      </w:pP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48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80" w:type="dxa"/>
            <w:vAlign w:val="bottom"/>
            <w:shd w:val="clear" w:color="auto" w:fill="9A9A9A"/>
          </w:tcPr>
          <w:p>
            <w:pPr>
              <w:spacing w:after="0"/>
              <w:rPr>
                <w:sz w:val="2"/>
                <w:szCs w:val="2"/>
                <w:color w:val="auto"/>
              </w:rPr>
            </w:pPr>
          </w:p>
        </w:tc>
        <w:tc>
          <w:tcPr>
            <w:tcW w:w="560" w:type="dxa"/>
            <w:vAlign w:val="bottom"/>
            <w:tcBorders>
              <w:right w:val="single" w:sz="8" w:color="9A9A9A"/>
            </w:tcBorders>
            <w:shd w:val="clear" w:color="auto" w:fill="9A9A9A"/>
          </w:tcPr>
          <w:p>
            <w:pPr>
              <w:spacing w:after="0"/>
              <w:rPr>
                <w:sz w:val="2"/>
                <w:szCs w:val="2"/>
                <w:color w:val="auto"/>
              </w:rPr>
            </w:pPr>
          </w:p>
        </w:tc>
        <w:tc>
          <w:tcPr>
            <w:tcW w:w="3880" w:type="dxa"/>
            <w:vAlign w:val="bottom"/>
            <w:gridSpan w:val="9"/>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vMerge w:val="restart"/>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80" w:type="dxa"/>
            <w:vAlign w:val="bottom"/>
            <w:gridSpan w:val="9"/>
            <w:vMerge w:val="continue"/>
          </w:tcPr>
          <w:p>
            <w:pPr>
              <w:spacing w:after="0"/>
              <w:rPr>
                <w:sz w:val="11"/>
                <w:szCs w:val="11"/>
                <w:color w:val="auto"/>
              </w:rPr>
            </w:pPr>
          </w:p>
        </w:tc>
        <w:tc>
          <w:tcPr>
            <w:tcW w:w="36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TX</w:t>
            </w:r>
          </w:p>
        </w:tc>
        <w:tc>
          <w:tcPr>
            <w:tcW w:w="700" w:type="dxa"/>
            <w:vAlign w:val="bottom"/>
            <w:gridSpan w:val="2"/>
          </w:tcPr>
          <w:p>
            <w:pPr>
              <w:spacing w:after="0"/>
              <w:rPr>
                <w:sz w:val="20"/>
                <w:szCs w:val="20"/>
                <w:color w:val="auto"/>
              </w:rPr>
            </w:pPr>
            <w:r>
              <w:rPr>
                <w:rFonts w:ascii="Arial" w:cs="Arial" w:eastAsia="Arial" w:hAnsi="Arial"/>
                <w:sz w:val="18"/>
                <w:szCs w:val="18"/>
                <w:color w:val="0000FF"/>
              </w:rPr>
              <w:t>77002</w:t>
            </w: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80" w:type="dxa"/>
            <w:vAlign w:val="bottom"/>
            <w:gridSpan w:val="5"/>
          </w:tcPr>
          <w:p>
            <w:pPr>
              <w:ind w:left="180"/>
              <w:spacing w:after="0" w:line="151"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8"/>
                <w:szCs w:val="8"/>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4"/>
                <w:szCs w:val="14"/>
                <w:color w:val="auto"/>
              </w:rPr>
              <w:t>(State)</w:t>
            </w:r>
          </w:p>
        </w:tc>
        <w:tc>
          <w:tcPr>
            <w:tcW w:w="70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restart"/>
          </w:tcPr>
          <w:p>
            <w:pPr>
              <w:ind w:left="180"/>
              <w:spacing w:after="0" w:line="148"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gridSpan w:val="3"/>
          </w:tcPr>
          <w:p>
            <w:pPr>
              <w:spacing w:after="0"/>
              <w:rPr>
                <w:sz w:val="11"/>
                <w:szCs w:val="11"/>
                <w:color w:val="auto"/>
              </w:rPr>
            </w:pPr>
          </w:p>
        </w:tc>
        <w:tc>
          <w:tcPr>
            <w:tcW w:w="256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7"/>
          </w:tcPr>
          <w:p>
            <w:pPr>
              <w:jc w:val="center"/>
              <w:ind w:right="3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9"/>
            <w:vMerge w:val="restart"/>
          </w:tcPr>
          <w:p>
            <w:pPr>
              <w:ind w:left="60"/>
              <w:spacing w:after="0"/>
              <w:rPr>
                <w:sz w:val="20"/>
                <w:szCs w:val="20"/>
                <w:color w:val="auto"/>
              </w:rPr>
            </w:pPr>
            <w:r>
              <w:rPr>
                <w:rFonts w:ascii="Arial" w:cs="Arial" w:eastAsia="Arial" w:hAnsi="Arial"/>
                <w:sz w:val="18"/>
                <w:szCs w:val="18"/>
                <w:color w:val="0000FF"/>
                <w:w w:val="98"/>
              </w:rPr>
              <w:t>Common Units (Limited Partner Interests)</w:t>
            </w:r>
          </w:p>
        </w:tc>
        <w:tc>
          <w:tcPr>
            <w:tcW w:w="1100" w:type="dxa"/>
            <w:vAlign w:val="bottom"/>
            <w:gridSpan w:val="2"/>
            <w:vMerge w:val="restart"/>
          </w:tcPr>
          <w:p>
            <w:pPr>
              <w:jc w:val="right"/>
              <w:ind w:right="98"/>
              <w:spacing w:after="0"/>
              <w:rPr>
                <w:sz w:val="20"/>
                <w:szCs w:val="20"/>
                <w:color w:val="auto"/>
              </w:rPr>
            </w:pPr>
            <w:r>
              <w:rPr>
                <w:rFonts w:ascii="Arial" w:cs="Arial" w:eastAsia="Arial" w:hAnsi="Arial"/>
                <w:sz w:val="18"/>
                <w:szCs w:val="18"/>
                <w:color w:val="0000FF"/>
              </w:rPr>
              <w:t>12/31/2019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(1)(2)</w:t>
            </w:r>
          </w:p>
        </w:tc>
        <w:tc>
          <w:tcPr>
            <w:tcW w:w="760" w:type="dxa"/>
            <w:vAlign w:val="bottom"/>
            <w:vMerge w:val="restart"/>
          </w:tcPr>
          <w:p>
            <w:pPr>
              <w:ind w:left="200"/>
              <w:spacing w:after="0"/>
              <w:rPr>
                <w:sz w:val="20"/>
                <w:szCs w:val="20"/>
                <w:color w:val="auto"/>
              </w:rPr>
            </w:pPr>
            <w:r>
              <w:rPr>
                <w:rFonts w:ascii="Arial" w:cs="Arial" w:eastAsia="Arial" w:hAnsi="Arial"/>
                <w:sz w:val="18"/>
                <w:szCs w:val="18"/>
                <w:color w:val="0000FF"/>
                <w:w w:val="82"/>
              </w:rPr>
              <w:t>191,177</w:t>
            </w:r>
          </w:p>
        </w:tc>
        <w:tc>
          <w:tcPr>
            <w:tcW w:w="680" w:type="dxa"/>
            <w:vAlign w:val="bottom"/>
            <w:vMerge w:val="restart"/>
          </w:tcPr>
          <w:p>
            <w:pPr>
              <w:ind w:left="340"/>
              <w:spacing w:after="0"/>
              <w:rPr>
                <w:sz w:val="20"/>
                <w:szCs w:val="20"/>
                <w:color w:val="auto"/>
              </w:rPr>
            </w:pPr>
            <w:r>
              <w:rPr>
                <w:rFonts w:ascii="Arial" w:cs="Arial" w:eastAsia="Arial" w:hAnsi="Arial"/>
                <w:sz w:val="18"/>
                <w:szCs w:val="18"/>
                <w:color w:val="0000FF"/>
              </w:rPr>
              <w:t>D</w:t>
            </w:r>
          </w:p>
        </w:tc>
        <w:tc>
          <w:tcPr>
            <w:tcW w:w="640" w:type="dxa"/>
            <w:vAlign w:val="bottom"/>
            <w:gridSpan w:val="2"/>
            <w:vMerge w:val="restart"/>
          </w:tcPr>
          <w:p>
            <w:pPr>
              <w:jc w:val="right"/>
              <w:ind w:right="34"/>
              <w:spacing w:after="0" w:line="386" w:lineRule="exact"/>
              <w:rPr>
                <w:sz w:val="20"/>
                <w:szCs w:val="20"/>
                <w:color w:val="auto"/>
              </w:rPr>
            </w:pPr>
            <w:r>
              <w:rPr>
                <w:rFonts w:ascii="Arial" w:cs="Arial" w:eastAsia="Arial" w:hAnsi="Arial"/>
                <w:sz w:val="35"/>
                <w:szCs w:val="35"/>
                <w:color w:val="000000"/>
                <w:w w:val="98"/>
                <w:vertAlign w:val="subscript"/>
              </w:rPr>
              <w:t>$</w:t>
            </w:r>
            <w:r>
              <w:rPr>
                <w:rFonts w:ascii="Arial" w:cs="Arial" w:eastAsia="Arial" w:hAnsi="Arial"/>
                <w:sz w:val="35"/>
                <w:szCs w:val="35"/>
                <w:color w:val="0000FF"/>
                <w:w w:val="98"/>
                <w:vertAlign w:val="subscript"/>
              </w:rPr>
              <w:t>0</w:t>
            </w:r>
            <w:r>
              <w:rPr>
                <w:rFonts w:ascii="Arial" w:cs="Arial" w:eastAsia="Arial" w:hAnsi="Arial"/>
                <w:sz w:val="11"/>
                <w:szCs w:val="11"/>
                <w:color w:val="008000"/>
                <w:w w:val="98"/>
              </w:rPr>
              <w:t>(1)(2)</w:t>
            </w:r>
          </w:p>
        </w:tc>
        <w:tc>
          <w:tcPr>
            <w:tcW w:w="126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249,580,905</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40" w:type="dxa"/>
            <w:vAlign w:val="bottom"/>
            <w:gridSpan w:val="9"/>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740" w:type="dxa"/>
            <w:vAlign w:val="bottom"/>
            <w:tcBorders>
              <w:top w:val="single" w:sz="8" w:color="2C2C2C"/>
            </w:tcBorders>
            <w:gridSpan w:val="16"/>
          </w:tcPr>
          <w:p>
            <w:pPr>
              <w:jc w:val="center"/>
              <w:ind w:left="2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60" w:type="dxa"/>
            <w:vAlign w:val="bottom"/>
            <w:gridSpan w:val="13"/>
          </w:tcPr>
          <w:p>
            <w:pPr>
              <w:jc w:val="center"/>
              <w:ind w:left="25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20" w:type="dxa"/>
            <w:vAlign w:val="bottom"/>
          </w:tcPr>
          <w:p>
            <w:pPr>
              <w:spacing w:after="0"/>
              <w:rPr>
                <w:sz w:val="15"/>
                <w:szCs w:val="15"/>
                <w:color w:val="auto"/>
              </w:rPr>
            </w:pPr>
          </w:p>
        </w:tc>
        <w:tc>
          <w:tcPr>
            <w:tcW w:w="12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2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gridSpan w:val="2"/>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340" w:type="dxa"/>
            <w:vAlign w:val="bottom"/>
            <w:tcBorders>
              <w:top w:val="single" w:sz="8" w:color="2C2C2C"/>
            </w:tcBorders>
            <w:gridSpan w:val="9"/>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PAA GP Holdings LLC</w:t>
              </w:r>
            </w:hyperlink>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9"/>
              </w:rPr>
              <w:t>333 CLAY STREET, STE. 1600</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680" w:type="dxa"/>
            <w:vAlign w:val="bottom"/>
          </w:tcPr>
          <w:p>
            <w:pPr>
              <w:ind w:left="36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4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Plains AAP, L.P.</w:t>
              </w:r>
            </w:hyperlink>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4"/>
              </w:rPr>
              <w:t>333 CLAY STREET, SUITE 1600</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680" w:type="dxa"/>
            <w:vAlign w:val="bottom"/>
          </w:tcPr>
          <w:p>
            <w:pPr>
              <w:ind w:left="36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4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40" w:type="dxa"/>
            <w:vAlign w:val="bottom"/>
            <w:gridSpan w:val="8"/>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Plains All American GP LLC</w:t>
              </w:r>
            </w:hyperlink>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120"/>
        <w:spacing w:after="0"/>
        <w:rPr>
          <w:sz w:val="20"/>
          <w:szCs w:val="20"/>
          <w:color w:val="auto"/>
        </w:rPr>
      </w:pPr>
      <w:r>
        <w:rPr>
          <w:rFonts w:ascii="Arial" w:cs="Arial" w:eastAsia="Arial" w:hAnsi="Arial"/>
          <w:sz w:val="16"/>
          <w:szCs w:val="16"/>
          <w:color w:val="0000FF"/>
        </w:rPr>
        <w:t>333 CLAY STREET, SUITE 1600</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660" w:type="dxa"/>
            <w:vAlign w:val="bottom"/>
            <w:gridSpan w:val="3"/>
          </w:tcPr>
          <w:p>
            <w:pPr>
              <w:ind w:left="60"/>
              <w:spacing w:after="0"/>
              <w:rPr>
                <w:sz w:val="20"/>
                <w:szCs w:val="20"/>
                <w:color w:val="auto"/>
              </w:rPr>
            </w:pPr>
            <w:r>
              <w:rPr>
                <w:rFonts w:ascii="Arial" w:cs="Arial" w:eastAsia="Arial" w:hAnsi="Arial"/>
                <w:sz w:val="14"/>
                <w:szCs w:val="14"/>
                <w:color w:val="auto"/>
                <w:w w:val="95"/>
              </w:rPr>
              <w:t>1. Name and Address of Reporting Person</w:t>
            </w:r>
            <w:r>
              <w:rPr>
                <w:rFonts w:ascii="Arial" w:cs="Arial" w:eastAsia="Arial" w:hAnsi="Arial"/>
                <w:sz w:val="22"/>
                <w:szCs w:val="22"/>
                <w:color w:val="auto"/>
                <w:w w:val="95"/>
                <w:vertAlign w:val="superscript"/>
              </w:rPr>
              <w:t>*</w:t>
            </w: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560" w:type="dxa"/>
            <w:vAlign w:val="bottom"/>
            <w:tcBorders>
              <w:bottom w:val="single" w:sz="8" w:color="0000EE"/>
            </w:tcBorders>
            <w:gridSpan w:val="2"/>
          </w:tcPr>
          <w:p>
            <w:pPr>
              <w:spacing w:after="0" w:line="224" w:lineRule="exact"/>
              <w:rPr>
                <w:rFonts w:ascii="Arial" w:cs="Arial" w:eastAsia="Arial" w:hAnsi="Arial"/>
                <w:sz w:val="22"/>
                <w:szCs w:val="22"/>
                <w:color w:val="0000EE"/>
                <w:w w:val="93"/>
              </w:rPr>
            </w:pPr>
            <w:hyperlink r:id="rId16">
              <w:r>
                <w:rPr>
                  <w:rFonts w:ascii="Arial" w:cs="Arial" w:eastAsia="Arial" w:hAnsi="Arial"/>
                  <w:sz w:val="22"/>
                  <w:szCs w:val="22"/>
                  <w:color w:val="0000EE"/>
                  <w:w w:val="93"/>
                </w:rPr>
                <w:t>PLAINS GP HOLDINGS LP</w:t>
              </w:r>
            </w:hyperlink>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300"/>
              <w:spacing w:after="0"/>
              <w:rPr>
                <w:sz w:val="20"/>
                <w:szCs w:val="20"/>
                <w:color w:val="auto"/>
              </w:rPr>
            </w:pPr>
            <w:r>
              <w:rPr>
                <w:rFonts w:ascii="Arial" w:cs="Arial" w:eastAsia="Arial" w:hAnsi="Arial"/>
                <w:sz w:val="14"/>
                <w:szCs w:val="14"/>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333 CLAY ST., SUITE 1600</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405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24053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0"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Company Units of PAA GP Holdings LLC ("PAGP GP").</w:t>
      </w:r>
    </w:p>
    <w:p>
      <w:pPr>
        <w:spacing w:after="0" w:line="31" w:lineRule="exact"/>
        <w:rPr>
          <w:rFonts w:ascii="Arial" w:cs="Arial" w:eastAsia="Arial" w:hAnsi="Arial"/>
          <w:sz w:val="14"/>
          <w:szCs w:val="14"/>
          <w:color w:val="008000"/>
        </w:rPr>
      </w:pPr>
    </w:p>
    <w:p>
      <w:pPr>
        <w:ind w:left="20" w:right="440" w:firstLine="9"/>
        <w:spacing w:after="0" w:line="239"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Effective December 31, 2019, KAFU Holdings (QP), L.P. exercised the Redemption Right with respect to 191,177 AAP Class A units, resulting in the cancellation of such AAP Class A units and the distribution of 191,177 Common Units from AAP to the redeeming partner.</w:t>
      </w:r>
    </w:p>
    <w:p>
      <w:pPr>
        <w:spacing w:after="0" w:line="30" w:lineRule="exact"/>
        <w:rPr>
          <w:rFonts w:ascii="Arial" w:cs="Arial" w:eastAsia="Arial" w:hAnsi="Arial"/>
          <w:sz w:val="14"/>
          <w:szCs w:val="14"/>
          <w:color w:val="008000"/>
        </w:rPr>
      </w:pPr>
    </w:p>
    <w:p>
      <w:pPr>
        <w:ind w:left="20" w:right="160" w:firstLine="9"/>
        <w:spacing w:after="0" w:line="298"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ind w:left="2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/s/ Ann F. Gullion, Assistant</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01/02/2020</w:t>
            </w:r>
          </w:p>
        </w:tc>
        <w:tc>
          <w:tcPr>
            <w:tcW w:w="0" w:type="dxa"/>
            <w:vAlign w:val="bottom"/>
          </w:tcPr>
          <w:p>
            <w:pPr>
              <w:spacing w:after="0"/>
              <w:rPr>
                <w:sz w:val="1"/>
                <w:szCs w:val="1"/>
                <w:color w:val="auto"/>
              </w:rPr>
            </w:pPr>
          </w:p>
        </w:tc>
      </w:tr>
      <w:tr>
        <w:trPr>
          <w:trHeight w:val="88"/>
        </w:trPr>
        <w:tc>
          <w:tcPr>
            <w:tcW w:w="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Secretary</w:t>
            </w:r>
          </w:p>
        </w:tc>
        <w:tc>
          <w:tcPr>
            <w:tcW w:w="13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5" Type="http://schemas.openxmlformats.org/officeDocument/2006/relationships/hyperlink" Target="http://www.sec.gov/cgi-bin/browse-edgar?action=getcompany&amp;CIK=0001490402" TargetMode="External"/><Relationship Id="rId16"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2020-01-02T16:22:22Z</dcterms:created>
  <dcterms:modified xsi:type="dcterms:W3CDTF">2020-01-02T16:22:22Z</dcterms:modified>
</cp:coreProperties>
</file>