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599"/>
        <w:spacing w:after="0"/>
        <w:rPr>
          <w:sz w:val="20"/>
          <w:szCs w:val="20"/>
          <w:color w:val="auto"/>
        </w:rPr>
      </w:pPr>
      <w:r>
        <w:rPr>
          <w:rFonts w:ascii="Arial" w:cs="Arial" w:eastAsia="Arial" w:hAnsi="Arial"/>
          <w:sz w:val="21"/>
          <w:szCs w:val="21"/>
          <w:b w:val="1"/>
          <w:bCs w:val="1"/>
          <w:color w:val="auto"/>
        </w:rPr>
        <w:t>SECURITIES AND EXCHANGE COMMISSION</w:t>
      </w:r>
    </w:p>
    <w:p>
      <w:pPr>
        <w:spacing w:after="0" w:line="4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ind w:left="4460"/>
        <w:spacing w:after="0"/>
        <w:rPr>
          <w:sz w:val="20"/>
          <w:szCs w:val="20"/>
          <w:color w:val="auto"/>
        </w:rPr>
      </w:pPr>
      <w:r>
        <w:rPr>
          <w:rFonts w:ascii="Arial" w:cs="Arial" w:eastAsia="Arial" w:hAnsi="Arial"/>
          <w:sz w:val="25"/>
          <w:szCs w:val="25"/>
          <w:b w:val="1"/>
          <w:bCs w:val="1"/>
          <w:color w:val="auto"/>
        </w:rPr>
        <w:t>SCHEDULE 14A</w:t>
      </w:r>
    </w:p>
    <w:p>
      <w:pPr>
        <w:sectPr>
          <w:pgSz w:w="11900" w:h="16838" w:orient="portrait"/>
          <w:cols w:equalWidth="0" w:num="1">
            <w:col w:w="10140"/>
          </w:cols>
          <w:pgMar w:left="580" w:top="239" w:right="1179" w:bottom="1440" w:gutter="0" w:footer="0" w:header="0"/>
        </w:sectPr>
      </w:pPr>
    </w:p>
    <w:p>
      <w:pPr>
        <w:spacing w:after="0" w:line="217" w:lineRule="exact"/>
        <w:rPr>
          <w:sz w:val="24"/>
          <w:szCs w:val="24"/>
          <w:color w:val="auto"/>
        </w:rPr>
      </w:pPr>
    </w:p>
    <w:p>
      <w:pPr>
        <w:ind w:left="3220" w:firstLine="468"/>
        <w:spacing w:after="0" w:line="318" w:lineRule="auto"/>
        <w:rPr>
          <w:sz w:val="20"/>
          <w:szCs w:val="20"/>
          <w:color w:val="auto"/>
        </w:rPr>
      </w:pPr>
      <w:r>
        <w:rPr>
          <w:rFonts w:ascii="Arial" w:cs="Arial" w:eastAsia="Arial" w:hAnsi="Arial"/>
          <w:sz w:val="15"/>
          <w:szCs w:val="15"/>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48" w:lineRule="exact"/>
        <w:rPr>
          <w:sz w:val="24"/>
          <w:szCs w:val="24"/>
          <w:color w:val="auto"/>
        </w:rPr>
      </w:pPr>
    </w:p>
    <w:p>
      <w:pPr>
        <w:sectPr>
          <w:pgSz w:w="11900" w:h="16838" w:orient="portrait"/>
          <w:cols w:equalWidth="0" w:num="2">
            <w:col w:w="7160" w:space="300"/>
            <w:col w:w="2680"/>
          </w:cols>
          <w:pgMar w:left="580" w:top="239" w:right="1179" w:bottom="1440" w:gutter="0" w:footer="0" w:header="0"/>
          <w:type w:val="continuous"/>
        </w:sectPr>
      </w:pPr>
    </w:p>
    <w:p>
      <w:pPr>
        <w:ind w:left="500"/>
        <w:spacing w:after="0" w:line="207" w:lineRule="exact"/>
        <w:tabs>
          <w:tab w:leader="none" w:pos="23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04" w:lineRule="exact"/>
        <w:rPr>
          <w:sz w:val="24"/>
          <w:szCs w:val="24"/>
          <w:color w:val="auto"/>
        </w:rPr>
      </w:pPr>
    </w:p>
    <w:p>
      <w:pPr>
        <w:ind w:left="500"/>
        <w:spacing w:after="0" w:line="207" w:lineRule="exact"/>
        <w:tabs>
          <w:tab w:leader="none" w:pos="374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1" w:lineRule="exact"/>
        <w:rPr>
          <w:rFonts w:ascii="MS PGothic" w:cs="MS PGothic" w:eastAsia="MS PGothic" w:hAnsi="MS PGothic"/>
          <w:sz w:val="18"/>
          <w:szCs w:val="18"/>
          <w:color w:val="auto"/>
        </w:rPr>
      </w:pPr>
    </w:p>
    <w:p>
      <w:pPr>
        <w:ind w:left="5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36"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31750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32"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235585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31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8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20" w:right="280" w:hanging="368"/>
        <w:spacing w:after="0" w:line="277" w:lineRule="auto"/>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59"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03" w:lineRule="exact"/>
        <w:rPr>
          <w:rFonts w:ascii="Arial" w:cs="Arial" w:eastAsia="Arial" w:hAnsi="Arial"/>
          <w:sz w:val="18"/>
          <w:szCs w:val="18"/>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860" w:hanging="368"/>
        <w:spacing w:after="0" w:line="263" w:lineRule="auto"/>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8" w:lineRule="exact"/>
        <w:rPr>
          <w:rFonts w:ascii="MS PGothic" w:cs="MS PGothic" w:eastAsia="MS PGothic" w:hAnsi="MS PGothic"/>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20" w:hanging="368"/>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765810</wp:posOffset>
            </wp:positionH>
            <wp:positionV relativeFrom="paragraph">
              <wp:posOffset>-3568065</wp:posOffset>
            </wp:positionV>
            <wp:extent cx="5734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-3173730</wp:posOffset>
            </wp:positionV>
            <wp:extent cx="5734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-2642235</wp:posOffset>
            </wp:positionV>
            <wp:extent cx="5734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-2247900</wp:posOffset>
            </wp:positionV>
            <wp:extent cx="5734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-996315</wp:posOffset>
            </wp:positionV>
            <wp:extent cx="5734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-601980</wp:posOffset>
            </wp:positionV>
            <wp:extent cx="5734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-207645</wp:posOffset>
            </wp:positionV>
            <wp:extent cx="5734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186055</wp:posOffset>
            </wp:positionV>
            <wp:extent cx="5734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430530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40"/>
          </w:cols>
          <w:pgMar w:left="580" w:top="239" w:right="11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494665</wp:posOffset>
            </wp:positionV>
            <wp:extent cx="2177415"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774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00"/>
        <w:spacing w:after="0"/>
        <w:rPr>
          <w:sz w:val="20"/>
          <w:szCs w:val="20"/>
          <w:color w:val="auto"/>
        </w:rPr>
      </w:pPr>
      <w:r>
        <w:rPr>
          <w:rFonts w:ascii="Arial" w:cs="Arial" w:eastAsia="Arial" w:hAnsi="Arial"/>
          <w:sz w:val="25"/>
          <w:szCs w:val="25"/>
          <w:b w:val="1"/>
          <w:bCs w:val="1"/>
          <w:color w:val="auto"/>
        </w:rPr>
        <w:t>Plains GP Holdings, L.P.</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333 Clay Street, Suite 1600</w:t>
      </w:r>
    </w:p>
    <w:p>
      <w:pPr>
        <w:spacing w:after="0" w:line="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Houston, Texas 77002</w:t>
      </w:r>
    </w:p>
    <w:p>
      <w:pPr>
        <w:spacing w:after="0" w:line="47"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April 12, 2021</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Plains Investors,</w:t>
      </w:r>
    </w:p>
    <w:p>
      <w:pPr>
        <w:spacing w:after="0" w:line="50" w:lineRule="exact"/>
        <w:rPr>
          <w:sz w:val="20"/>
          <w:szCs w:val="20"/>
          <w:color w:val="auto"/>
        </w:rPr>
      </w:pPr>
    </w:p>
    <w:p>
      <w:pPr>
        <w:ind w:left="1260" w:right="699" w:firstLine="360"/>
        <w:spacing w:after="0" w:line="246" w:lineRule="auto"/>
        <w:rPr>
          <w:sz w:val="20"/>
          <w:szCs w:val="20"/>
          <w:color w:val="auto"/>
        </w:rPr>
      </w:pPr>
      <w:r>
        <w:rPr>
          <w:rFonts w:ascii="Arial" w:cs="Arial" w:eastAsia="Arial" w:hAnsi="Arial"/>
          <w:sz w:val="18"/>
          <w:szCs w:val="18"/>
          <w:color w:val="auto"/>
        </w:rPr>
        <w:t>As we invite you to attend our 2021 annual meeting, we thank you for your investment in Plains All American and are pleased to provide you with a brief update on the Partnership.</w:t>
      </w:r>
    </w:p>
    <w:p>
      <w:pPr>
        <w:spacing w:after="0" w:line="35" w:lineRule="exact"/>
        <w:rPr>
          <w:sz w:val="20"/>
          <w:szCs w:val="20"/>
          <w:color w:val="auto"/>
        </w:rPr>
      </w:pPr>
    </w:p>
    <w:p>
      <w:pPr>
        <w:ind w:left="1260" w:right="419" w:firstLine="360"/>
        <w:spacing w:after="0" w:line="228" w:lineRule="auto"/>
        <w:rPr>
          <w:sz w:val="20"/>
          <w:szCs w:val="20"/>
          <w:color w:val="auto"/>
        </w:rPr>
      </w:pPr>
      <w:r>
        <w:rPr>
          <w:rFonts w:ascii="Arial" w:cs="Arial" w:eastAsia="Arial" w:hAnsi="Arial"/>
          <w:sz w:val="18"/>
          <w:szCs w:val="18"/>
          <w:color w:val="auto"/>
        </w:rPr>
        <w:t>2020 was a very challenging year in many respects. Following a multi-year period of increased competition and margin compression in the midstream sector, the COVID-19 pandemic caused an unprecedented shock to global oil demand, commodity prices and domestic production activity levels, which reset the base for North American production and exacerbated the oversupply of infrastructure capacity in the midstream sector.</w:t>
      </w:r>
    </w:p>
    <w:p>
      <w:pPr>
        <w:spacing w:after="0" w:line="29" w:lineRule="exact"/>
        <w:rPr>
          <w:sz w:val="20"/>
          <w:szCs w:val="20"/>
          <w:color w:val="auto"/>
        </w:rPr>
      </w:pPr>
    </w:p>
    <w:p>
      <w:pPr>
        <w:ind w:left="1260" w:right="479" w:firstLine="360"/>
        <w:spacing w:after="0" w:line="227" w:lineRule="auto"/>
        <w:rPr>
          <w:sz w:val="20"/>
          <w:szCs w:val="20"/>
          <w:color w:val="auto"/>
        </w:rPr>
      </w:pPr>
      <w:r>
        <w:rPr>
          <w:rFonts w:ascii="Arial" w:cs="Arial" w:eastAsia="Arial" w:hAnsi="Arial"/>
          <w:sz w:val="18"/>
          <w:szCs w:val="18"/>
          <w:color w:val="auto"/>
        </w:rPr>
        <w:t>Despite these and other challenges, I am proud of the way our employees and our company responded. With a strong asset base, integrated business model and exceptional employees, we are well positioned to deliver on our key objectives of generating sustainable earnings, increasing financial flexibility by maximizing free cash flow, reducing leverage and increasing returns to equity holders over time, all while operating a safe, reliable and responsible business. Below are a few highlights of the steps we have taken to put the company into a position of strength for the future:</w:t>
      </w:r>
    </w:p>
    <w:p>
      <w:pPr>
        <w:spacing w:after="0" w:line="27" w:lineRule="exact"/>
        <w:rPr>
          <w:sz w:val="20"/>
          <w:szCs w:val="20"/>
          <w:color w:val="auto"/>
        </w:rPr>
      </w:pPr>
    </w:p>
    <w:p>
      <w:pPr>
        <w:ind w:left="1800" w:right="599" w:hanging="180"/>
        <w:spacing w:after="0" w:line="259"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2020, we delivered financial results within 1% of our “pre-COVID” guidance, achieved our best year in key safety and environmental metrics, improved our 2020 cash position by approximately $1 billion and positioned our business to generate significant free cash flow after distributions in 2021.</w:t>
      </w:r>
    </w:p>
    <w:p>
      <w:pPr>
        <w:spacing w:after="0" w:line="38"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took definitive steps in 2020 to reinforce our financial position and flexibility by accelerating our company-wide shift from “growth” to “efficiency” mode through convergence of our U.S. and Canadian businesses, streamlining functional areas, reducing our cost structure, executing</w:t>
      </w:r>
    </w:p>
    <w:p>
      <w:pPr>
        <w:spacing w:after="0" w:line="2" w:lineRule="exact"/>
        <w:rPr>
          <w:rFonts w:ascii="Arial" w:cs="Arial" w:eastAsia="Arial" w:hAnsi="Arial"/>
          <w:sz w:val="18"/>
          <w:szCs w:val="18"/>
          <w:color w:val="auto"/>
        </w:rPr>
      </w:pPr>
    </w:p>
    <w:p>
      <w:pPr>
        <w:ind w:left="1800" w:right="739"/>
        <w:spacing w:after="0" w:line="260" w:lineRule="auto"/>
        <w:rPr>
          <w:rFonts w:ascii="Arial" w:cs="Arial" w:eastAsia="Arial" w:hAnsi="Arial"/>
          <w:sz w:val="18"/>
          <w:szCs w:val="18"/>
          <w:color w:val="auto"/>
        </w:rPr>
      </w:pPr>
      <w:r>
        <w:rPr>
          <w:rFonts w:ascii="Arial" w:cs="Arial" w:eastAsia="Arial" w:hAnsi="Arial"/>
          <w:sz w:val="18"/>
          <w:szCs w:val="18"/>
          <w:color w:val="auto"/>
        </w:rPr>
        <w:t>$450 million of asset sales at attractive valuations, optimizing our asset portfolio, and working to rationalize underutilized capacity.</w:t>
      </w:r>
    </w:p>
    <w:p>
      <w:pPr>
        <w:spacing w:after="0" w:line="36"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activated and commenced purchases under a $500 million equity repurchase program, balancing this effort with our commitment to preserving our Investment Grade credit ratings and reducing leverage.</w:t>
      </w:r>
    </w:p>
    <w:p>
      <w:pPr>
        <w:spacing w:after="0" w:line="35"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continued to increase our alignment with investors and external stakeholders by advancing our sustainability program, improving our disclosures and continuing to enhance our executive compensation program and overall governance framework.</w:t>
      </w:r>
    </w:p>
    <w:p>
      <w:pPr>
        <w:spacing w:after="0" w:line="22" w:lineRule="exact"/>
        <w:rPr>
          <w:sz w:val="20"/>
          <w:szCs w:val="20"/>
          <w:color w:val="auto"/>
        </w:rPr>
      </w:pPr>
    </w:p>
    <w:p>
      <w:pPr>
        <w:ind w:left="1260" w:right="519" w:firstLine="360"/>
        <w:spacing w:after="0" w:line="228" w:lineRule="auto"/>
        <w:rPr>
          <w:sz w:val="20"/>
          <w:szCs w:val="20"/>
          <w:color w:val="auto"/>
        </w:rPr>
      </w:pPr>
      <w:r>
        <w:rPr>
          <w:rFonts w:ascii="Arial" w:cs="Arial" w:eastAsia="Arial" w:hAnsi="Arial"/>
          <w:sz w:val="18"/>
          <w:szCs w:val="18"/>
          <w:color w:val="auto"/>
        </w:rPr>
        <w:t>Acknowledging that we continue to navigate uncertain times, we have a positive outlook for the future given that hydrocarbons are essential to the security and advancement of human quality of life and will continue to play a major long-term role in the world economy. We believe a transition to lower carbon intensity will occur over an extended period of time and that all sources of energy, including hydrocarbons, will be required to meet global energy demand and provide a bridge to the future.</w:t>
      </w:r>
    </w:p>
    <w:p>
      <w:pPr>
        <w:spacing w:after="0" w:line="29" w:lineRule="exact"/>
        <w:rPr>
          <w:sz w:val="20"/>
          <w:szCs w:val="20"/>
          <w:color w:val="auto"/>
        </w:rPr>
      </w:pPr>
    </w:p>
    <w:p>
      <w:pPr>
        <w:jc w:val="both"/>
        <w:ind w:left="1260" w:right="559" w:firstLine="360"/>
        <w:spacing w:after="0" w:line="235" w:lineRule="auto"/>
        <w:rPr>
          <w:sz w:val="20"/>
          <w:szCs w:val="20"/>
          <w:color w:val="auto"/>
        </w:rPr>
      </w:pPr>
      <w:r>
        <w:rPr>
          <w:rFonts w:ascii="Arial" w:cs="Arial" w:eastAsia="Arial" w:hAnsi="Arial"/>
          <w:sz w:val="18"/>
          <w:szCs w:val="18"/>
          <w:color w:val="auto"/>
        </w:rPr>
        <w:t>As an operator of essential infrastructure assets that are strategically positioned, highly integrated and leveraged to global demand recovery, Plains is well positioned to manage through the current environment and play a critical role in the industry for years to come.</w:t>
      </w:r>
    </w:p>
    <w:p>
      <w:pPr>
        <w:spacing w:after="0" w:line="40"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We appreciate your continued support and investment and we look forward to your participation at our 2021 Annual Meeting in May.</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57785</wp:posOffset>
            </wp:positionV>
            <wp:extent cx="84899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489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Willie Chiang</w:t>
      </w:r>
    </w:p>
    <w:p>
      <w:pPr>
        <w:ind w:left="5220"/>
        <w:spacing w:after="0" w:line="219" w:lineRule="auto"/>
        <w:rPr>
          <w:sz w:val="20"/>
          <w:szCs w:val="20"/>
          <w:color w:val="auto"/>
        </w:rPr>
      </w:pPr>
      <w:r>
        <w:rPr>
          <w:rFonts w:ascii="Arial" w:cs="Arial" w:eastAsia="Arial" w:hAnsi="Arial"/>
          <w:sz w:val="18"/>
          <w:szCs w:val="18"/>
          <w:i w:val="1"/>
          <w:iCs w:val="1"/>
          <w:color w:val="auto"/>
        </w:rPr>
        <w:t>Chairman of the Board and Chief Executive Officer</w:t>
      </w:r>
    </w:p>
    <w:p>
      <w:pPr>
        <w:ind w:left="5220"/>
        <w:spacing w:after="0"/>
        <w:rPr>
          <w:sz w:val="20"/>
          <w:szCs w:val="20"/>
          <w:color w:val="auto"/>
        </w:rPr>
      </w:pPr>
      <w:r>
        <w:rPr>
          <w:rFonts w:ascii="Arial" w:cs="Arial" w:eastAsia="Arial" w:hAnsi="Arial"/>
          <w:sz w:val="18"/>
          <w:szCs w:val="18"/>
          <w:color w:val="auto"/>
        </w:rPr>
        <w:t>PAA GP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591820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494665</wp:posOffset>
            </wp:positionV>
            <wp:extent cx="217741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774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100"/>
        <w:spacing w:after="0"/>
        <w:rPr>
          <w:sz w:val="20"/>
          <w:szCs w:val="20"/>
          <w:color w:val="auto"/>
        </w:rPr>
      </w:pPr>
      <w:r>
        <w:rPr>
          <w:rFonts w:ascii="Arial" w:cs="Arial" w:eastAsia="Arial" w:hAnsi="Arial"/>
          <w:sz w:val="25"/>
          <w:szCs w:val="25"/>
          <w:b w:val="1"/>
          <w:bCs w:val="1"/>
          <w:color w:val="auto"/>
        </w:rPr>
        <w:t>Plains GP Holdings, L.P.</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To Be Held On May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holders of Class A, Class B and Class C shares of Plains GP Holdings, L.P.:</w:t>
      </w:r>
    </w:p>
    <w:p>
      <w:pPr>
        <w:spacing w:after="0" w:line="15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The 2021 Annual Meeting (the “Annual Meeting”) of the Class A, Class B and Class C shareholders (collectively, our “Shareholders”) of Plains GP Holdings, L.P. will be held on May 19, 2021, at 3:00 p.m. Central Time. Due to the continuing public health impact of the coronavirus pandemic (COVID-19) and to prioritize the health and well-being of our Shareholders, the PAGP Annual Meeting will be held in a virtual-only meeting format via live audio webcast. Shareholders may attend and participate in the virtual PAGP Annual Meeting by visiting https://web.lumiagm.com/239148853 (Password: pagp2021). At the Annual Meeting, our Shareholders will consider and vote on the following matters:</w:t>
      </w:r>
    </w:p>
    <w:p>
      <w:pPr>
        <w:spacing w:after="0" w:line="96" w:lineRule="exact"/>
        <w:rPr>
          <w:sz w:val="20"/>
          <w:szCs w:val="20"/>
          <w:color w:val="auto"/>
        </w:rPr>
      </w:pPr>
    </w:p>
    <w:p>
      <w:pPr>
        <w:ind w:left="1980" w:right="459" w:hanging="360"/>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four Class III directors to serve on the board of directors (the “Board”) of PAA GP Holdings LLC until the 2024 annual meeting;</w:t>
      </w:r>
    </w:p>
    <w:p>
      <w:pPr>
        <w:spacing w:after="0" w:line="102" w:lineRule="exact"/>
        <w:rPr>
          <w:rFonts w:ascii="Arial" w:cs="Arial" w:eastAsia="Arial" w:hAnsi="Arial"/>
          <w:sz w:val="18"/>
          <w:szCs w:val="18"/>
          <w:color w:val="auto"/>
        </w:rPr>
      </w:pPr>
    </w:p>
    <w:p>
      <w:pPr>
        <w:ind w:left="1980" w:right="519" w:hanging="360"/>
        <w:spacing w:after="0" w:line="263"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and Plains All American Pipeline, L.P.’s independent registered public accounting firm for the fiscal year ending December 31, 2021;</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named executive officer compensation;</w:t>
      </w:r>
    </w:p>
    <w:p>
      <w:pPr>
        <w:spacing w:after="0" w:line="144" w:lineRule="exact"/>
        <w:rPr>
          <w:rFonts w:ascii="Arial" w:cs="Arial" w:eastAsia="Arial" w:hAnsi="Arial"/>
          <w:sz w:val="18"/>
          <w:szCs w:val="18"/>
          <w:color w:val="auto"/>
        </w:rPr>
      </w:pPr>
    </w:p>
    <w:p>
      <w:pPr>
        <w:ind w:left="1980" w:right="639" w:hanging="360"/>
        <w:spacing w:after="0" w:line="263"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instructions by our Class A and Class B shareholders to Plains AAP, L.P. regarding its vote on the approval of the Plains All American 2021 Long-Term Incentive Plan at the PAA Annual Meeting; and</w:t>
      </w:r>
    </w:p>
    <w:p>
      <w:pPr>
        <w:spacing w:after="0" w:line="116" w:lineRule="exact"/>
        <w:rPr>
          <w:rFonts w:ascii="Arial" w:cs="Arial" w:eastAsia="Arial" w:hAnsi="Arial"/>
          <w:sz w:val="18"/>
          <w:szCs w:val="18"/>
          <w:color w:val="auto"/>
        </w:rPr>
      </w:pPr>
    </w:p>
    <w:p>
      <w:pPr>
        <w:ind w:left="1980" w:right="419" w:hanging="360"/>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Annual Meeting and any adjournment or postponement thereof.</w:t>
      </w:r>
    </w:p>
    <w:p>
      <w:pPr>
        <w:spacing w:after="0" w:line="99" w:lineRule="exact"/>
        <w:rPr>
          <w:sz w:val="20"/>
          <w:szCs w:val="20"/>
          <w:color w:val="auto"/>
        </w:rPr>
      </w:pPr>
    </w:p>
    <w:p>
      <w:pPr>
        <w:ind w:left="1260" w:right="459" w:firstLine="360"/>
        <w:spacing w:after="0" w:line="317" w:lineRule="auto"/>
        <w:rPr>
          <w:sz w:val="20"/>
          <w:szCs w:val="20"/>
          <w:color w:val="auto"/>
        </w:rPr>
      </w:pPr>
      <w:r>
        <w:rPr>
          <w:rFonts w:ascii="Arial" w:cs="Arial" w:eastAsia="Arial" w:hAnsi="Arial"/>
          <w:sz w:val="15"/>
          <w:szCs w:val="15"/>
          <w:b w:val="1"/>
          <w:bCs w:val="1"/>
          <w:color w:val="auto"/>
        </w:rPr>
        <w:t>The Board unanimously recommends that our Shareholders vote “FOR” proposals 1, 2 and 3 and that our Class A and Class B shareholders instruct Plains AAP, L.P. to vote “FOR” proposal 4 at the PAA Annual Meeting. Additional information regarding these proposals is included in the attached proxy statement. Votes received on proposal 4 will be “passed through” as instructions to Plains AAP, L.P., which will vote the common units of Plains All American Pipeline, L.P. (“PAA”) that it owns at PAA's annual meeting pursuant to such instructions. See “Information about the PAGP and PAA Annual Meetings” below for more information.</w:t>
      </w:r>
    </w:p>
    <w:p>
      <w:pPr>
        <w:spacing w:after="0" w:line="6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We have set the close of business on March 26, 2021 as the record date for determining which of our Shareholders are entitled to receive notice of and to vote at the Annual Meeting and any postponements or adjournments thereof. A list of Shareholders entitled to vote is on file at our principal offices, 333 Clay Street, Suite 1600, Houston, Texas 77002, and will be available for inspection by any Shareholder of record during the meeting by using the Voter Control Number listed on such Shareholder’s proxy card or voting instruction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1044575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Whether or not you plan to attend the Annual Meeting, please cast your</w:t>
      </w:r>
      <w:r>
        <w:rPr>
          <w:rFonts w:ascii="Arial" w:cs="Arial" w:eastAsia="Arial" w:hAnsi="Arial"/>
          <w:sz w:val="18"/>
          <w:szCs w:val="18"/>
          <w:b w:val="1"/>
          <w:bCs w:val="1"/>
          <w:color w:val="auto"/>
        </w:rPr>
        <w:t xml:space="preserve"> </w:t>
      </w:r>
      <w:r>
        <w:rPr>
          <w:rFonts w:ascii="Arial" w:cs="Arial" w:eastAsia="Arial" w:hAnsi="Arial"/>
          <w:sz w:val="18"/>
          <w:szCs w:val="18"/>
          <w:color w:val="auto"/>
        </w:rPr>
        <w:t>vote by following the Internet or telephone voting instructions on the proxy card. You may also vote by completing, signing and dating the accompanying proxy card and returning it promptly in the postage-prepaid envelope provided. See “Questions and Answers About the Annual Meeting — How do I vote?” in the attached proxy statement for more details. Returning the proxy card or voting on the Internet or by telephone does not deprive you of your right to attend the Annual Meeting and to vote your shares for the matters to be acted upon at the Annual Meeting.</w:t>
      </w:r>
    </w:p>
    <w:p>
      <w:pPr>
        <w:spacing w:after="0" w:line="11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Order of the Board of Directors of</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125730</wp:posOffset>
            </wp:positionV>
            <wp:extent cx="205740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Richard McGee</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Executive Vice President, General Counsel and</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Secretary</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117475</wp:posOffset>
            </wp:positionV>
            <wp:extent cx="5212080" cy="762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762635"/>
                    </a:xfrm>
                    <a:prstGeom prst="rect">
                      <a:avLst/>
                    </a:prstGeom>
                    <a:noFill/>
                  </pic:spPr>
                </pic:pic>
              </a:graphicData>
            </a:graphic>
          </wp:anchor>
        </w:drawing>
      </w:r>
    </w:p>
    <w:p>
      <w:pPr>
        <w:spacing w:after="0" w:line="2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IMPORTANT NOTICE REGARDING THE AVAILABILITY OF</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PROXY MATERIALS FOR THE ANNUAL MEETING OF SHAREHOLDERS</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TO BE HELD ON MAY 19, 2021</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auto"/>
        </w:rPr>
        <w:t>The Notice of Annual Meeting, the proxy statement for the Annual Meeting and our 2020 Annual</w:t>
      </w:r>
    </w:p>
    <w:p>
      <w:pPr>
        <w:spacing w:after="0" w:line="2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Report are available at http://www.astproxyportal.com/ast/21140/.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4339590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60" w:type="dxa"/>
            <w:vAlign w:val="bottom"/>
            <w:gridSpan w:val="19"/>
          </w:tcPr>
          <w:p>
            <w:pPr>
              <w:ind w:left="66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6"/>
        </w:trPr>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7380" w:type="dxa"/>
            <w:vAlign w:val="bottom"/>
            <w:gridSpan w:val="23"/>
            <w:shd w:val="clear" w:color="auto" w:fill="CCEEFF"/>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GENERAL INFORMATION ABOUT THE PLAINS GP HOLDINGS, L.P. ANNUAL MEETING</w:t>
              </w:r>
            </w:hyperlink>
          </w:p>
        </w:tc>
        <w:tc>
          <w:tcPr>
            <w:tcW w:w="300" w:type="dxa"/>
            <w:vAlign w:val="bottom"/>
            <w:gridSpan w:val="2"/>
            <w:shd w:val="clear" w:color="auto" w:fill="CCEEFF"/>
          </w:tcPr>
          <w:p>
            <w:pPr>
              <w:spacing w:after="0"/>
              <w:rPr>
                <w:sz w:val="16"/>
                <w:szCs w:val="16"/>
                <w:color w:val="auto"/>
              </w:rPr>
            </w:pPr>
          </w:p>
        </w:tc>
        <w:tc>
          <w:tcPr>
            <w:tcW w:w="52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38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INFORMATION ABOUT THE PAGP AND PAA ANNUAL MEETINGS</w:t>
              </w:r>
            </w:hyperlink>
          </w:p>
        </w:tc>
        <w:tc>
          <w:tcPr>
            <w:tcW w:w="300" w:type="dxa"/>
            <w:vAlign w:val="bottom"/>
            <w:gridSpan w:val="2"/>
          </w:tcPr>
          <w:p>
            <w:pPr>
              <w:spacing w:after="0"/>
              <w:rPr>
                <w:sz w:val="19"/>
                <w:szCs w:val="19"/>
                <w:color w:val="auto"/>
              </w:rPr>
            </w:pPr>
          </w:p>
        </w:tc>
        <w:tc>
          <w:tcPr>
            <w:tcW w:w="52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5220" w:type="dxa"/>
            <w:vAlign w:val="bottom"/>
            <w:gridSpan w:val="16"/>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QUESTIONS AND ANSWERS ABOUT THE ANNUAL MEETING</w:t>
              </w:r>
            </w:hyperlink>
          </w:p>
        </w:tc>
        <w:tc>
          <w:tcPr>
            <w:tcW w:w="2460" w:type="dxa"/>
            <w:vAlign w:val="bottom"/>
            <w:gridSpan w:val="9"/>
            <w:shd w:val="clear" w:color="auto" w:fill="CCEEFF"/>
          </w:tcPr>
          <w:p>
            <w:pPr>
              <w:spacing w:after="0"/>
              <w:rPr>
                <w:sz w:val="19"/>
                <w:szCs w:val="19"/>
                <w:color w:val="auto"/>
              </w:rPr>
            </w:pPr>
          </w:p>
        </w:tc>
        <w:tc>
          <w:tcPr>
            <w:tcW w:w="520" w:type="dxa"/>
            <w:vAlign w:val="bottom"/>
            <w:gridSpan w:val="4"/>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5220" w:type="dxa"/>
            <w:vAlign w:val="bottom"/>
            <w:gridSpan w:val="1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PROPOSAL 1 – ELECTION OF CLASS III DIRECTORS</w:t>
              </w:r>
            </w:hyperlink>
          </w:p>
        </w:tc>
        <w:tc>
          <w:tcPr>
            <w:tcW w:w="2460" w:type="dxa"/>
            <w:vAlign w:val="bottom"/>
            <w:gridSpan w:val="9"/>
          </w:tcPr>
          <w:p>
            <w:pPr>
              <w:spacing w:after="0"/>
              <w:rPr>
                <w:sz w:val="19"/>
                <w:szCs w:val="19"/>
                <w:color w:val="auto"/>
              </w:rPr>
            </w:pPr>
          </w:p>
        </w:tc>
        <w:tc>
          <w:tcPr>
            <w:tcW w:w="520" w:type="dxa"/>
            <w:vAlign w:val="bottom"/>
            <w:gridSpan w:val="4"/>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462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CORPORATE GOVERNANCE AND RELATED MATTERS</w:t>
              </w:r>
            </w:hyperlink>
          </w:p>
        </w:tc>
        <w:tc>
          <w:tcPr>
            <w:tcW w:w="3060" w:type="dxa"/>
            <w:vAlign w:val="bottom"/>
            <w:tcBorders>
              <w:bottom w:val="single" w:sz="8" w:color="CCEEFF"/>
            </w:tcBorders>
            <w:gridSpan w:val="12"/>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18</w:t>
              </w:r>
            </w:hyperlink>
          </w:p>
        </w:tc>
      </w:tr>
      <w:tr>
        <w:trPr>
          <w:trHeight w:val="229"/>
        </w:trPr>
        <w:tc>
          <w:tcPr>
            <w:tcW w:w="7680" w:type="dxa"/>
            <w:vAlign w:val="bottom"/>
            <w:gridSpan w:val="2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DELINQUENT SECTION 16(A) REPORTS</w:t>
              </w:r>
            </w:hyperlink>
          </w:p>
        </w:tc>
        <w:tc>
          <w:tcPr>
            <w:tcW w:w="52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96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EXECUTIVE OFFICERS</w:t>
              </w:r>
            </w:hyperlink>
          </w:p>
        </w:tc>
        <w:tc>
          <w:tcPr>
            <w:tcW w:w="5720" w:type="dxa"/>
            <w:vAlign w:val="bottom"/>
            <w:tcBorders>
              <w:bottom w:val="single" w:sz="8" w:color="CCEEFF"/>
            </w:tcBorders>
            <w:gridSpan w:val="21"/>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22</w:t>
              </w:r>
            </w:hyperlink>
          </w:p>
        </w:tc>
      </w:tr>
      <w:tr>
        <w:trPr>
          <w:trHeight w:val="229"/>
        </w:trPr>
        <w:tc>
          <w:tcPr>
            <w:tcW w:w="7680" w:type="dxa"/>
            <w:vAlign w:val="bottom"/>
            <w:gridSpan w:val="2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EXECUTIVE COMPENSATION</w:t>
              </w:r>
            </w:hyperlink>
          </w:p>
        </w:tc>
        <w:tc>
          <w:tcPr>
            <w:tcW w:w="520" w:type="dxa"/>
            <w:vAlign w:val="bottom"/>
            <w:gridSpan w:val="4"/>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63"/>
        </w:trPr>
        <w:tc>
          <w:tcPr>
            <w:tcW w:w="6960" w:type="dxa"/>
            <w:vAlign w:val="bottom"/>
            <w:tcBorders>
              <w:bottom w:val="single" w:sz="8" w:color="0000EE"/>
            </w:tcBorders>
            <w:gridSpan w:val="20"/>
            <w:shd w:val="clear" w:color="auto" w:fill="CCEEFF"/>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SECURITY OWNERSHIP OF CERTAIN BENEFICIAL OWNERS AND MANAGEMENT</w:t>
              </w:r>
            </w:hyperlink>
          </w:p>
        </w:tc>
        <w:tc>
          <w:tcPr>
            <w:tcW w:w="720" w:type="dxa"/>
            <w:vAlign w:val="bottom"/>
            <w:tcBorders>
              <w:bottom w:val="single" w:sz="8" w:color="CCEEFF"/>
            </w:tcBorders>
            <w:gridSpan w:val="5"/>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60</w:t>
              </w:r>
            </w:hyperlink>
          </w:p>
        </w:tc>
      </w:tr>
      <w:tr>
        <w:trPr>
          <w:trHeight w:val="243"/>
        </w:trPr>
        <w:tc>
          <w:tcPr>
            <w:tcW w:w="7680" w:type="dxa"/>
            <w:vAlign w:val="bottom"/>
            <w:gridSpan w:val="2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EQUITY COMPENSATION PLAN INFORMATION TABLE</w:t>
              </w:r>
            </w:hyperlink>
          </w:p>
        </w:tc>
        <w:tc>
          <w:tcPr>
            <w:tcW w:w="52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63"/>
        </w:trPr>
        <w:tc>
          <w:tcPr>
            <w:tcW w:w="7680" w:type="dxa"/>
            <w:vAlign w:val="bottom"/>
            <w:gridSpan w:val="25"/>
            <w:shd w:val="clear" w:color="auto" w:fill="CCEEFF"/>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w:t>
              </w:r>
            </w:hyperlink>
          </w:p>
        </w:tc>
        <w:tc>
          <w:tcPr>
            <w:tcW w:w="520" w:type="dxa"/>
            <w:vAlign w:val="bottom"/>
            <w:gridSpan w:val="4"/>
            <w:shd w:val="clear" w:color="auto" w:fill="CCEEFF"/>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r>
      <w:tr>
        <w:trPr>
          <w:trHeight w:val="243"/>
        </w:trPr>
        <w:tc>
          <w:tcPr>
            <w:tcW w:w="5020" w:type="dxa"/>
            <w:vAlign w:val="bottom"/>
            <w:tcBorders>
              <w:top w:val="single" w:sz="8" w:color="0000EE"/>
            </w:tcBorders>
            <w:gridSpan w:val="1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REPORT OF THE AUDIT COMMITTEE</w:t>
              </w:r>
            </w:hyperlink>
          </w:p>
        </w:tc>
        <w:tc>
          <w:tcPr>
            <w:tcW w:w="2660" w:type="dxa"/>
            <w:vAlign w:val="bottom"/>
            <w:tcBorders>
              <w:top w:val="single" w:sz="8" w:color="CCEEFF"/>
            </w:tcBorders>
            <w:gridSpan w:val="10"/>
          </w:tcPr>
          <w:p>
            <w:pPr>
              <w:spacing w:after="0"/>
              <w:rPr>
                <w:sz w:val="21"/>
                <w:szCs w:val="21"/>
                <w:color w:val="auto"/>
              </w:rPr>
            </w:pPr>
          </w:p>
        </w:tc>
        <w:tc>
          <w:tcPr>
            <w:tcW w:w="340" w:type="dxa"/>
            <w:vAlign w:val="bottom"/>
            <w:tcBorders>
              <w:top w:val="single" w:sz="8" w:color="CCEEFF"/>
            </w:tcBorders>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68</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63"/>
        </w:trPr>
        <w:tc>
          <w:tcPr>
            <w:tcW w:w="410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8"/>
              </w:rPr>
            </w:pPr>
            <w:hyperlink w:anchor="page73">
              <w:r>
                <w:rPr>
                  <w:rFonts w:ascii="Arial" w:cs="Arial" w:eastAsia="Arial" w:hAnsi="Arial"/>
                  <w:sz w:val="18"/>
                  <w:szCs w:val="18"/>
                  <w:color w:val="0000EE"/>
                  <w:w w:val="98"/>
                </w:rPr>
                <w:t>PRINCIPAL ACCOUNTANT FEES AND SERVICES</w:t>
              </w:r>
            </w:hyperlink>
          </w:p>
        </w:tc>
        <w:tc>
          <w:tcPr>
            <w:tcW w:w="3580" w:type="dxa"/>
            <w:vAlign w:val="bottom"/>
            <w:tcBorders>
              <w:bottom w:val="single" w:sz="8" w:color="CCEEFF"/>
            </w:tcBorders>
            <w:gridSpan w:val="15"/>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69</w:t>
              </w:r>
            </w:hyperlink>
          </w:p>
        </w:tc>
      </w:tr>
      <w:tr>
        <w:trPr>
          <w:trHeight w:val="229"/>
        </w:trPr>
        <w:tc>
          <w:tcPr>
            <w:tcW w:w="7680" w:type="dxa"/>
            <w:vAlign w:val="bottom"/>
            <w:tcBorders>
              <w:bottom w:val="single" w:sz="8" w:color="0000EE"/>
            </w:tcBorders>
            <w:gridSpan w:val="25"/>
          </w:tcPr>
          <w:p>
            <w:pPr>
              <w:spacing w:after="0"/>
              <w:rPr>
                <w:rFonts w:ascii="Arial" w:cs="Arial" w:eastAsia="Arial" w:hAnsi="Arial"/>
                <w:sz w:val="18"/>
                <w:szCs w:val="18"/>
                <w:color w:val="0000EE"/>
                <w:w w:val="98"/>
              </w:rPr>
            </w:pPr>
            <w:hyperlink w:anchor="page74">
              <w:r>
                <w:rPr>
                  <w:rFonts w:ascii="Arial" w:cs="Arial" w:eastAsia="Arial" w:hAnsi="Arial"/>
                  <w:sz w:val="18"/>
                  <w:szCs w:val="18"/>
                  <w:color w:val="0000EE"/>
                  <w:w w:val="98"/>
                </w:rPr>
                <w:t>PROPOSAL 2 – RATIFICATION OF APPOINTMENT OF INDEPENDENT REGISTERED PUBLIC</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500" w:type="dxa"/>
            <w:vAlign w:val="bottom"/>
            <w:gridSpan w:val="2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ACCOUNTING FIRM</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r>
      <w:tr>
        <w:trPr>
          <w:trHeight w:val="34"/>
        </w:trPr>
        <w:tc>
          <w:tcPr>
            <w:tcW w:w="180" w:type="dxa"/>
            <w:vAlign w:val="bottom"/>
          </w:tcPr>
          <w:p>
            <w:pPr>
              <w:spacing w:after="0"/>
              <w:rPr>
                <w:sz w:val="2"/>
                <w:szCs w:val="2"/>
                <w:color w:val="auto"/>
              </w:rPr>
            </w:pPr>
          </w:p>
        </w:tc>
        <w:tc>
          <w:tcPr>
            <w:tcW w:w="14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30"/>
        </w:trPr>
        <w:tc>
          <w:tcPr>
            <w:tcW w:w="7000" w:type="dxa"/>
            <w:vAlign w:val="bottom"/>
            <w:tcBorders>
              <w:bottom w:val="single" w:sz="8" w:color="0000EE"/>
            </w:tcBorders>
            <w:gridSpan w:val="21"/>
            <w:shd w:val="clear" w:color="auto" w:fill="CCEEFF"/>
          </w:tcPr>
          <w:p>
            <w:pPr>
              <w:spacing w:after="0"/>
              <w:rPr>
                <w:rFonts w:ascii="Arial" w:cs="Arial" w:eastAsia="Arial" w:hAnsi="Arial"/>
                <w:sz w:val="18"/>
                <w:szCs w:val="18"/>
                <w:color w:val="0000EE"/>
                <w:w w:val="98"/>
              </w:rPr>
            </w:pPr>
            <w:hyperlink w:anchor="page75">
              <w:r>
                <w:rPr>
                  <w:rFonts w:ascii="Arial" w:cs="Arial" w:eastAsia="Arial" w:hAnsi="Arial"/>
                  <w:sz w:val="18"/>
                  <w:szCs w:val="18"/>
                  <w:color w:val="0000EE"/>
                  <w:w w:val="98"/>
                </w:rPr>
                <w:t>PROPOSAL 3 – ADVISORY VOTE TO APPROVE OUR NAMED EXECUTIVE OFFICER</w:t>
              </w:r>
            </w:hyperlink>
          </w:p>
        </w:tc>
        <w:tc>
          <w:tcPr>
            <w:tcW w:w="680" w:type="dxa"/>
            <w:vAlign w:val="bottom"/>
            <w:tcBorders>
              <w:bottom w:val="single" w:sz="8" w:color="CCEEFF"/>
            </w:tcBorders>
            <w:gridSpan w:val="4"/>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COMPENSATION</w:t>
              </w:r>
            </w:hyperlink>
          </w:p>
        </w:tc>
        <w:tc>
          <w:tcPr>
            <w:tcW w:w="6060" w:type="dxa"/>
            <w:vAlign w:val="bottom"/>
            <w:tcBorders>
              <w:bottom w:val="single" w:sz="8" w:color="CCEEFF"/>
            </w:tcBorders>
            <w:gridSpan w:val="23"/>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71</w:t>
              </w:r>
            </w:hyperlink>
          </w:p>
        </w:tc>
      </w:tr>
      <w:tr>
        <w:trPr>
          <w:trHeight w:val="230"/>
        </w:trPr>
        <w:tc>
          <w:tcPr>
            <w:tcW w:w="7680" w:type="dxa"/>
            <w:vAlign w:val="bottom"/>
            <w:gridSpan w:val="25"/>
          </w:tcPr>
          <w:p>
            <w:pPr>
              <w:spacing w:after="0"/>
              <w:rPr>
                <w:rFonts w:ascii="Arial" w:cs="Arial" w:eastAsia="Arial" w:hAnsi="Arial"/>
                <w:sz w:val="18"/>
                <w:szCs w:val="18"/>
                <w:color w:val="0000EE"/>
                <w:w w:val="98"/>
              </w:rPr>
            </w:pPr>
            <w:hyperlink w:anchor="page76">
              <w:r>
                <w:rPr>
                  <w:rFonts w:ascii="Arial" w:cs="Arial" w:eastAsia="Arial" w:hAnsi="Arial"/>
                  <w:sz w:val="18"/>
                  <w:szCs w:val="18"/>
                  <w:color w:val="0000EE"/>
                  <w:w w:val="98"/>
                </w:rPr>
                <w:t>PROPOSAL 4 – ISSUANCE OF INSTRUCTIONS TO PLAINS AAP, L.P. REGARDING ITS VOTE</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4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ON THE APPROVAL OF THE PLAINS ALL AMERICAN 2021 LONG-TERM INCENTIVE</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PLAN AT THE PAA ANNUAL MEETING</w:t>
              </w:r>
            </w:hyperlink>
          </w:p>
        </w:tc>
        <w:tc>
          <w:tcPr>
            <w:tcW w:w="380" w:type="dxa"/>
            <w:vAlign w:val="bottom"/>
            <w:gridSpan w:val="3"/>
          </w:tcPr>
          <w:p>
            <w:pPr>
              <w:spacing w:after="0"/>
              <w:rPr>
                <w:sz w:val="17"/>
                <w:szCs w:val="17"/>
                <w:color w:val="auto"/>
              </w:rPr>
            </w:pPr>
          </w:p>
        </w:tc>
        <w:tc>
          <w:tcPr>
            <w:tcW w:w="52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r>
      <w:tr>
        <w:trPr>
          <w:trHeight w:val="34"/>
        </w:trPr>
        <w:tc>
          <w:tcPr>
            <w:tcW w:w="180" w:type="dxa"/>
            <w:vAlign w:val="bottom"/>
          </w:tcPr>
          <w:p>
            <w:pPr>
              <w:spacing w:after="0"/>
              <w:rPr>
                <w:sz w:val="2"/>
                <w:szCs w:val="2"/>
                <w:color w:val="auto"/>
              </w:rPr>
            </w:pPr>
          </w:p>
        </w:tc>
        <w:tc>
          <w:tcPr>
            <w:tcW w:w="14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43"/>
        </w:trPr>
        <w:tc>
          <w:tcPr>
            <w:tcW w:w="7680" w:type="dxa"/>
            <w:vAlign w:val="bottom"/>
            <w:gridSpan w:val="25"/>
            <w:shd w:val="clear" w:color="auto" w:fill="CCEEFF"/>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OTHER MATTERS FOR THE PAGP ANNUAL MEETING</w:t>
              </w:r>
            </w:hyperlink>
          </w:p>
        </w:tc>
        <w:tc>
          <w:tcPr>
            <w:tcW w:w="520" w:type="dxa"/>
            <w:vAlign w:val="bottom"/>
            <w:gridSpan w:val="4"/>
            <w:shd w:val="clear" w:color="auto" w:fill="CCEEFF"/>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43"/>
        </w:trPr>
        <w:tc>
          <w:tcPr>
            <w:tcW w:w="7680" w:type="dxa"/>
            <w:vAlign w:val="bottom"/>
            <w:gridSpan w:val="2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SHAREHOLDER PROPOSALS FOR THE 2022 ANNUAL MEETING</w:t>
              </w:r>
            </w:hyperlink>
          </w:p>
        </w:tc>
        <w:tc>
          <w:tcPr>
            <w:tcW w:w="52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63"/>
        </w:trPr>
        <w:tc>
          <w:tcPr>
            <w:tcW w:w="236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8"/>
              </w:rPr>
            </w:pPr>
            <w:hyperlink w:anchor="page86">
              <w:r>
                <w:rPr>
                  <w:rFonts w:ascii="Arial" w:cs="Arial" w:eastAsia="Arial" w:hAnsi="Arial"/>
                  <w:sz w:val="18"/>
                  <w:szCs w:val="18"/>
                  <w:color w:val="0000EE"/>
                  <w:w w:val="98"/>
                </w:rPr>
                <w:t>HOUSEHOLDING MATTERS</w:t>
              </w:r>
            </w:hyperlink>
          </w:p>
        </w:tc>
        <w:tc>
          <w:tcPr>
            <w:tcW w:w="5320" w:type="dxa"/>
            <w:vAlign w:val="bottom"/>
            <w:tcBorders>
              <w:bottom w:val="single" w:sz="8" w:color="CCEEFF"/>
            </w:tcBorders>
            <w:gridSpan w:val="20"/>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82</w:t>
              </w:r>
            </w:hyperlink>
          </w:p>
        </w:tc>
      </w:tr>
      <w:tr>
        <w:trPr>
          <w:trHeight w:val="243"/>
        </w:trPr>
        <w:tc>
          <w:tcPr>
            <w:tcW w:w="7680" w:type="dxa"/>
            <w:vAlign w:val="bottom"/>
            <w:gridSpan w:val="2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EXHIBIT A – PLAINS ALL AMERICAN 2021 LONG-TERM INCENTIVE PLAN</w:t>
              </w:r>
            </w:hyperlink>
          </w:p>
        </w:tc>
        <w:tc>
          <w:tcPr>
            <w:tcW w:w="240" w:type="dxa"/>
            <w:vAlign w:val="bottom"/>
          </w:tcPr>
          <w:p>
            <w:pPr>
              <w:spacing w:after="0"/>
              <w:rPr>
                <w:sz w:val="21"/>
                <w:szCs w:val="21"/>
                <w:color w:val="auto"/>
              </w:rPr>
            </w:pPr>
          </w:p>
        </w:tc>
        <w:tc>
          <w:tcPr>
            <w:tcW w:w="280" w:type="dxa"/>
            <w:vAlign w:val="bottom"/>
            <w:gridSpan w:val="3"/>
          </w:tcPr>
          <w:p>
            <w:pPr>
              <w:jc w:val="right"/>
              <w:spacing w:after="0"/>
              <w:rPr>
                <w:rFonts w:ascii="Arial" w:cs="Arial" w:eastAsia="Arial" w:hAnsi="Arial"/>
                <w:sz w:val="18"/>
                <w:szCs w:val="18"/>
                <w:color w:val="0000EE"/>
                <w:w w:val="92"/>
              </w:rPr>
            </w:pPr>
            <w:hyperlink w:anchor="page87">
              <w:r>
                <w:rPr>
                  <w:rFonts w:ascii="Arial" w:cs="Arial" w:eastAsia="Arial" w:hAnsi="Arial"/>
                  <w:sz w:val="18"/>
                  <w:szCs w:val="18"/>
                  <w:color w:val="0000EE"/>
                  <w:w w:val="92"/>
                </w:rPr>
                <w:t>A-1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PLAINS GP HOLDINGS, L.P.</w:t>
      </w:r>
    </w:p>
    <w:p>
      <w:pPr>
        <w:spacing w:after="0" w:line="208"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PROXY STATEMENT</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w:t>
      </w:r>
    </w:p>
    <w:p>
      <w:pPr>
        <w:spacing w:after="0" w:line="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2021 Annual Meeting of Shareholders To Be Held On May 19, 2021</w:t>
      </w:r>
    </w:p>
    <w:p>
      <w:pPr>
        <w:spacing w:after="0" w:line="192"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GENERAL INFORMATION ABOUT THE PLAINS GP HOLDINGS, L.P.</w:t>
      </w:r>
    </w:p>
    <w:p>
      <w:pPr>
        <w:spacing w:after="0" w:line="1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MEETING</w:t>
      </w:r>
    </w:p>
    <w:p>
      <w:pPr>
        <w:spacing w:after="0" w:line="12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board of directors (the “Board”) of PAA GP Holdings LLC (“PAGP GP” or our “general partner”), is soliciting proxies to be voted on behalf of our Class A, Class B and Class C shareholders (collectively, our “Shareholders”) at the 2021 annual meeting of Shareholders (the “Annual Meeting”). This proxy statement is being furnished to you in connection with the solicitation of proxies by and on behalf of the Board for use at the Annual Meeting and includes information about the matters to be voted upon at the Annual Meeting. The Annual Meeting will be held on May 19, 2021, at 3:00 p.m. Central Time in a virtual-only meeting format via live audio webcast. Shareholders may access the Annual Meeting online at https://web.lumiagm.com/239148853 (Password: pagp2021). References to “PAGP,” “we,” “us,” “our,” “ours” and similar terms refer to Plains GP Holdings, L.P.</w:t>
      </w:r>
    </w:p>
    <w:p>
      <w:pPr>
        <w:spacing w:after="0" w:line="110"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Proxy materials, including the Notice of Annual Meeting, this proxy statement, proxy card and our Annual Report on Form 10-K for the year ended December 31, 2020 (our “2020 Annual Report”), are being mailed to Shareholders beginning on or about April 12, 2021.</w:t>
      </w:r>
    </w:p>
    <w:p>
      <w:pPr>
        <w:spacing w:after="0" w:line="110"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b w:val="1"/>
          <w:bCs w:val="1"/>
          <w:color w:val="auto"/>
        </w:rPr>
        <w:t>We will furnish additional copies of our 2020 Annual Report without charge upon the written request of any record or beneficial owner of our Class A, Class B or Class C shares whose proxy we are soliciting in connection with the Annual Meeting. Please address requests for additional copies of the 2020 Annual Report to the Investor Relations Department, Plains All American, 333 Clay Street, Suite 1600, Houston, Texas 77002, or email your request to plainsir@paalp.com.</w:t>
      </w:r>
    </w:p>
    <w:p>
      <w:pPr>
        <w:spacing w:after="0" w:line="17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INFORMATION ABOUT THE PAGP AND PAA ANNUAL MEETINGS</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Plains All American Pipeline, L.P. (“PAA”) will hold an annual meeting of its unitholders (the “PAA Annual Meeting”) immediately prior to the PAGP Annual Meeting. At the PAA Annual Meeting, PAA unitholders (including Plains AAP, L.P.) will be asked to approve the Plains All American 2021 Long-Term Incentive Plan (the "PAA 2021 Plan") as described in proposal 4 below. PAA unitholders (excluding Plains AAP, L.P.) will also vote on a pass-through basis on proposals 1, 2 and 3 described below.</w:t>
      </w:r>
    </w:p>
    <w:p>
      <w:pPr>
        <w:spacing w:after="0" w:line="93"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At the PAGP Annual Meeting, our Class A, Class B and Class C shareholders will be asked to approve proposals 1, 2 and 3 below. Each shareholder of record will be entitled to one vote for each Class A, Class B and Class C share owned for proposals 1, 2 and 3. Class A and Class B shareholders will also vote on a pass- through basis on proposal 4 described below by instructing Plains AAP, L.P. (“AAP”) how to vote the PAA common units that it owns on proposal 4 at the PAA Annual Meeting. AAP will vote (or refrain from voting) its PAA common units on proposal 4 at the PAA Annual Meeting consistent with instructions received from the Class A and Class B shareholders on the same proposal at the PAGP Annual Meeting.</w:t>
      </w:r>
    </w:p>
    <w:p>
      <w:pPr>
        <w:spacing w:after="0" w:line="17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162"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The following questions and answers are intended to address briefly some commonly asked questions regarding the Annual Meeting. These questions and answers may not address all questions that may be important to you as a Shareholder. Please refer to the additional information contained elsewhere in this proxy statement and the documents referred to in this proxy statement.</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purpose of these proxy materials?</w:t>
      </w:r>
    </w:p>
    <w:p>
      <w:pPr>
        <w:spacing w:after="0" w:line="148" w:lineRule="exact"/>
        <w:rPr>
          <w:sz w:val="20"/>
          <w:szCs w:val="20"/>
          <w:color w:val="auto"/>
        </w:rPr>
      </w:pPr>
    </w:p>
    <w:p>
      <w:pPr>
        <w:ind w:left="1620" w:right="519" w:hanging="360"/>
        <w:spacing w:after="0" w:line="279"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Board is soliciting your proxy to vote at the Annual Meeting because you were a Shareholder at the close of business on March 26, 2021, the record date for the Annual Meeting (the “Record Date”), and are therefore entitled to receive notice regarding the Annual Meeting, and to attend and vote at the Annual Meeting. This proxy statement summarizes the information that you need to know in order to</w:t>
      </w:r>
    </w:p>
    <w:p>
      <w:pPr>
        <w:spacing w:after="0" w:line="34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rPr>
          <w:sz w:val="20"/>
          <w:szCs w:val="20"/>
          <w:color w:val="auto"/>
        </w:rPr>
      </w:pPr>
      <w:r>
        <w:rPr>
          <w:rFonts w:ascii="Arial" w:cs="Arial" w:eastAsia="Arial" w:hAnsi="Arial"/>
          <w:sz w:val="18"/>
          <w:szCs w:val="18"/>
          <w:color w:val="auto"/>
        </w:rPr>
        <w:t>cast your vote at the Annual Meeting. As a Shareholder, your vote is very important and the Board strongly encourages you to exercise your right to vote. You do not need to attend the Annual Meeting to vote your shares, and we encourage you to vote even if you are unable to virtually attend the Annual Meeting. If you are unable to virtually attend the Annual Meeting, you may vote by Internet, by telephone or by signing and returning the attached proxy card in the envelope provided. See “How do I vote?” below.</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recommendation of the Board?</w:t>
      </w:r>
    </w:p>
    <w:p>
      <w:pPr>
        <w:spacing w:after="0" w:line="148" w:lineRule="exact"/>
        <w:rPr>
          <w:sz w:val="20"/>
          <w:szCs w:val="20"/>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unanimously recommends that you vote in the following manner:</w:t>
      </w:r>
    </w:p>
    <w:p>
      <w:pPr>
        <w:spacing w:after="0" w:line="113" w:lineRule="exact"/>
        <w:rPr>
          <w:rFonts w:ascii="Arial" w:cs="Arial" w:eastAsia="Arial" w:hAnsi="Arial"/>
          <w:sz w:val="18"/>
          <w:szCs w:val="18"/>
          <w:color w:val="auto"/>
        </w:rPr>
      </w:pPr>
    </w:p>
    <w:p>
      <w:pPr>
        <w:ind w:left="1800" w:right="659" w:hanging="180"/>
        <w:spacing w:after="0" w:line="312" w:lineRule="auto"/>
        <w:tabs>
          <w:tab w:leader="none" w:pos="1800"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each of Greg L. Armstrong, John T. Raymond, Bobby S. Shackouls and</w:t>
      </w:r>
      <w:r>
        <w:rPr>
          <w:rFonts w:ascii="Arial" w:cs="Arial" w:eastAsia="Arial" w:hAnsi="Arial"/>
          <w:sz w:val="17"/>
          <w:szCs w:val="17"/>
          <w:b w:val="1"/>
          <w:bCs w:val="1"/>
          <w:color w:val="auto"/>
        </w:rPr>
        <w:t xml:space="preserve"> </w:t>
      </w:r>
      <w:r>
        <w:rPr>
          <w:rFonts w:ascii="Arial" w:cs="Arial" w:eastAsia="Arial" w:hAnsi="Arial"/>
          <w:sz w:val="17"/>
          <w:szCs w:val="17"/>
          <w:color w:val="auto"/>
        </w:rPr>
        <w:t>Christopher M. Temple as a Class III director of the Board to serve until the 2024 annual meeting;</w:t>
      </w:r>
    </w:p>
    <w:p>
      <w:pPr>
        <w:spacing w:after="0" w:line="31" w:lineRule="exact"/>
        <w:rPr>
          <w:rFonts w:ascii="Arial" w:cs="Arial" w:eastAsia="Arial" w:hAnsi="Arial"/>
          <w:sz w:val="17"/>
          <w:szCs w:val="17"/>
          <w:color w:val="auto"/>
        </w:rPr>
      </w:pPr>
    </w:p>
    <w:p>
      <w:pPr>
        <w:ind w:left="1800" w:right="699" w:hanging="180"/>
        <w:spacing w:after="0" w:line="266"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and Plains All</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Pipeline, L.P.’s independent registered public accounting firm for the fiscal year ending December 31, 2021;</w:t>
      </w:r>
    </w:p>
    <w:p>
      <w:pPr>
        <w:spacing w:after="0" w:line="67" w:lineRule="exact"/>
        <w:rPr>
          <w:rFonts w:ascii="Arial" w:cs="Arial" w:eastAsia="Arial" w:hAnsi="Arial"/>
          <w:sz w:val="18"/>
          <w:szCs w:val="18"/>
          <w:color w:val="auto"/>
        </w:rPr>
      </w:pPr>
    </w:p>
    <w:p>
      <w:pPr>
        <w:ind w:left="1800" w:right="659" w:hanging="180"/>
        <w:spacing w:after="0" w:line="282"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our named executive officer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40" w:lineRule="exact"/>
        <w:rPr>
          <w:rFonts w:ascii="Arial" w:cs="Arial" w:eastAsia="Arial" w:hAnsi="Arial"/>
          <w:sz w:val="18"/>
          <w:szCs w:val="18"/>
          <w:color w:val="auto"/>
        </w:rPr>
      </w:pPr>
    </w:p>
    <w:p>
      <w:pPr>
        <w:ind w:left="1800" w:right="739" w:hanging="180"/>
        <w:spacing w:after="0" w:line="282"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To instruct AAP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Plains All American 2021 Long-Term Incentive Plan at the PAA Annual Meeting.</w:t>
      </w:r>
    </w:p>
    <w:p>
      <w:pPr>
        <w:spacing w:after="0" w:line="9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and where is the Annual Meeting?</w:t>
      </w:r>
    </w:p>
    <w:p>
      <w:pPr>
        <w:spacing w:after="0" w:line="148" w:lineRule="exact"/>
        <w:rPr>
          <w:sz w:val="20"/>
          <w:szCs w:val="20"/>
          <w:color w:val="auto"/>
        </w:rPr>
      </w:pPr>
    </w:p>
    <w:p>
      <w:pPr>
        <w:ind w:left="1620" w:right="419" w:hanging="360"/>
        <w:spacing w:after="0" w:line="269" w:lineRule="auto"/>
        <w:tabs>
          <w:tab w:leader="none" w:pos="1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Annual Meeting will be held on May 19, 2021, at 3:00 p.m. Central Time via live audio webcast. In order to attend and participate in the Annual Meeting, please visit https://web.lumiagm.com/ 239148853, enter the control number found on your proxy card and enter the password (pagp 2021). Only Shareholders of record as of March 26, 2021 are entitled to vote and ask questions at the Annual Meeting. If you are not a Shareholder of record but hold shares in “street name” through a brokerage firm, bank, dealer or other similar organization, trustee, or nominee (generally referred to in this proxy statement as a “broker”), you may attend the Annual Meeting as a guest. Please note that if you hold shares in “street name” through a broker and desire to vote your shares online during the Annual Meeting or ask questions during the Annual Meeting, you must request and obtain a valid “legal proxy” from your broker and register to attend the Annual Meeting as a Shareholder with American Stock Transfer &amp; Trust Company LLC.</w:t>
      </w:r>
    </w:p>
    <w:p>
      <w:pPr>
        <w:spacing w:after="0" w:line="114" w:lineRule="exact"/>
        <w:rPr>
          <w:sz w:val="20"/>
          <w:szCs w:val="20"/>
          <w:color w:val="auto"/>
        </w:rPr>
      </w:pPr>
    </w:p>
    <w:p>
      <w:pPr>
        <w:ind w:left="1620" w:right="1259"/>
        <w:spacing w:after="0" w:line="261" w:lineRule="auto"/>
        <w:rPr>
          <w:sz w:val="20"/>
          <w:szCs w:val="20"/>
          <w:color w:val="auto"/>
        </w:rPr>
      </w:pPr>
      <w:r>
        <w:rPr>
          <w:rFonts w:ascii="Arial" w:cs="Arial" w:eastAsia="Arial" w:hAnsi="Arial"/>
          <w:sz w:val="18"/>
          <w:szCs w:val="18"/>
          <w:color w:val="auto"/>
        </w:rPr>
        <w:t>Information on who can vote or ask questions online during the Annual Meeting is discussed immediately below.</w:t>
      </w:r>
    </w:p>
    <w:p>
      <w:pPr>
        <w:spacing w:after="0" w:line="8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vote and ask questions at the Annual Meeting?</w:t>
      </w:r>
    </w:p>
    <w:p>
      <w:pPr>
        <w:spacing w:after="0" w:line="162" w:lineRule="exact"/>
        <w:rPr>
          <w:sz w:val="20"/>
          <w:szCs w:val="20"/>
          <w:color w:val="auto"/>
        </w:rPr>
      </w:pPr>
    </w:p>
    <w:p>
      <w:pPr>
        <w:ind w:left="1620" w:right="439" w:hanging="360"/>
        <w:spacing w:after="0" w:line="277"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are entitled to vote and ask questions at the Annual Meeting if you were a Shareholder of record as the close of business on March 26, 2021, the record date for the Annual Meeting.</w:t>
      </w:r>
    </w:p>
    <w:p>
      <w:pPr>
        <w:spacing w:after="0" w:line="89" w:lineRule="exact"/>
        <w:rPr>
          <w:rFonts w:ascii="Arial" w:cs="Arial" w:eastAsia="Arial" w:hAnsi="Arial"/>
          <w:sz w:val="18"/>
          <w:szCs w:val="18"/>
          <w:color w:val="auto"/>
        </w:rPr>
      </w:pPr>
    </w:p>
    <w:p>
      <w:pPr>
        <w:ind w:left="1620" w:right="519"/>
        <w:spacing w:after="0"/>
        <w:rPr>
          <w:rFonts w:ascii="Arial" w:cs="Arial" w:eastAsia="Arial" w:hAnsi="Arial"/>
          <w:sz w:val="18"/>
          <w:szCs w:val="18"/>
          <w:color w:val="auto"/>
        </w:rPr>
      </w:pPr>
      <w:r>
        <w:rPr>
          <w:rFonts w:ascii="Arial" w:cs="Arial" w:eastAsia="Arial" w:hAnsi="Arial"/>
          <w:sz w:val="18"/>
          <w:szCs w:val="18"/>
          <w:i w:val="1"/>
          <w:iCs w:val="1"/>
          <w:color w:val="auto"/>
        </w:rPr>
        <w:t xml:space="preserve">Shareholder of Record: Shares Registered in Your Name. </w:t>
      </w:r>
      <w:r>
        <w:rPr>
          <w:rFonts w:ascii="Arial" w:cs="Arial" w:eastAsia="Arial" w:hAnsi="Arial"/>
          <w:sz w:val="18"/>
          <w:szCs w:val="18"/>
          <w:color w:val="auto"/>
        </w:rPr>
        <w:t>You are a Shareholder of record if your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were registered directly in your name with our transfer agent, American Stock Transfer &amp; Trust Company, LLC, at the close of business on March 26, 2021. As a Shareholder of record, you may vote online and ask questions during the Annual Meeting. Whether or not you plan to virtually attend the Annual Meeting, we urge you to submit a proxy to ensure your vote is counted. </w:t>
      </w:r>
      <w:r>
        <w:rPr>
          <w:rFonts w:ascii="Arial" w:cs="Arial" w:eastAsia="Arial" w:hAnsi="Arial"/>
          <w:sz w:val="18"/>
          <w:szCs w:val="18"/>
          <w:b w:val="1"/>
          <w:bCs w:val="1"/>
          <w:i w:val="1"/>
          <w:iCs w:val="1"/>
          <w:color w:val="auto"/>
        </w:rPr>
        <w:t>See page 3 for detailed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instructions on how to vote your shares.</w:t>
      </w:r>
    </w:p>
    <w:p>
      <w:pPr>
        <w:spacing w:after="0" w:line="121" w:lineRule="exact"/>
        <w:rPr>
          <w:rFonts w:ascii="Arial" w:cs="Arial" w:eastAsia="Arial" w:hAnsi="Arial"/>
          <w:sz w:val="18"/>
          <w:szCs w:val="18"/>
          <w:color w:val="auto"/>
        </w:rPr>
      </w:pPr>
    </w:p>
    <w:p>
      <w:pPr>
        <w:ind w:left="1620" w:right="479"/>
        <w:spacing w:after="0" w:line="238" w:lineRule="auto"/>
        <w:rPr>
          <w:rFonts w:ascii="Arial" w:cs="Arial" w:eastAsia="Arial" w:hAnsi="Arial"/>
          <w:sz w:val="18"/>
          <w:szCs w:val="18"/>
          <w:color w:val="auto"/>
        </w:rPr>
      </w:pPr>
      <w:r>
        <w:rPr>
          <w:rFonts w:ascii="Arial" w:cs="Arial" w:eastAsia="Arial" w:hAnsi="Arial"/>
          <w:sz w:val="18"/>
          <w:szCs w:val="18"/>
          <w:i w:val="1"/>
          <w:iCs w:val="1"/>
          <w:color w:val="auto"/>
        </w:rPr>
        <w:t xml:space="preserve">Beneficial Owner: Shares Registered in the Name of Broker. </w:t>
      </w:r>
      <w:r>
        <w:rPr>
          <w:rFonts w:ascii="Arial" w:cs="Arial" w:eastAsia="Arial" w:hAnsi="Arial"/>
          <w:sz w:val="18"/>
          <w:szCs w:val="18"/>
          <w:color w:val="auto"/>
        </w:rPr>
        <w:t>If your shares were held in an account at a</w:t>
      </w:r>
      <w:r>
        <w:rPr>
          <w:rFonts w:ascii="Arial" w:cs="Arial" w:eastAsia="Arial" w:hAnsi="Arial"/>
          <w:sz w:val="18"/>
          <w:szCs w:val="18"/>
          <w:i w:val="1"/>
          <w:iCs w:val="1"/>
          <w:color w:val="auto"/>
        </w:rPr>
        <w:t xml:space="preserve"> </w:t>
      </w:r>
      <w:r>
        <w:rPr>
          <w:rFonts w:ascii="Arial" w:cs="Arial" w:eastAsia="Arial" w:hAnsi="Arial"/>
          <w:sz w:val="18"/>
          <w:szCs w:val="18"/>
          <w:color w:val="auto"/>
        </w:rPr>
        <w:t>broker at the close of business on March 26, 2021, then you are the beneficial owner of shares held in “street name” and the broker holding your account is considered to be the Shareholder of record for purposes of voting at the Annual Meeting. As a beneficial owner, you have the right to direct your broker regarding how to vote the shares in your account. You are also invited to virtually attend the Annual Meeting as a guest. Because you are not the Shareholder of record, you may not vote your shares or ask questions at the Annual Meeting unless you request and obtain a valid legal proxy from the organization that holds your shares giving you the right to vote the shares at the Annual Meeting. Follow the</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spacing w:after="0" w:line="261" w:lineRule="auto"/>
        <w:rPr>
          <w:sz w:val="20"/>
          <w:szCs w:val="20"/>
          <w:color w:val="auto"/>
        </w:rPr>
      </w:pPr>
      <w:r>
        <w:rPr>
          <w:rFonts w:ascii="Arial" w:cs="Arial" w:eastAsia="Arial" w:hAnsi="Arial"/>
          <w:sz w:val="18"/>
          <w:szCs w:val="18"/>
          <w:color w:val="auto"/>
        </w:rPr>
        <w:t>instructions from your broker or bank included with these proxy materials, or contact your broker or bank to request a legal proxy form.</w:t>
      </w:r>
    </w:p>
    <w:p>
      <w:pPr>
        <w:spacing w:after="0" w:line="90" w:lineRule="exact"/>
        <w:rPr>
          <w:sz w:val="20"/>
          <w:szCs w:val="20"/>
          <w:color w:val="auto"/>
        </w:rPr>
      </w:pPr>
    </w:p>
    <w:p>
      <w:pPr>
        <w:ind w:left="1620" w:right="519"/>
        <w:spacing w:after="0" w:line="241" w:lineRule="auto"/>
        <w:rPr>
          <w:sz w:val="20"/>
          <w:szCs w:val="20"/>
          <w:color w:val="auto"/>
        </w:rPr>
      </w:pPr>
      <w:r>
        <w:rPr>
          <w:rFonts w:ascii="Arial" w:cs="Arial" w:eastAsia="Arial" w:hAnsi="Arial"/>
          <w:sz w:val="18"/>
          <w:szCs w:val="18"/>
          <w:color w:val="auto"/>
        </w:rPr>
        <w:t>After obtaining a valid legal proxy from your broker, bank or other agent, to then register to attend the Annual Meeting as a Shareholder, you must submit proof of your legal proxy reflecting the number of your shares along with your name and email address to American Stock Transfer &amp; Trust Company, LLC. Requests for registration should be directed to proxy@astfinancial.com or to facsimile number 718-765-8730. Written requests can be mailed to:</w:t>
      </w:r>
    </w:p>
    <w:p>
      <w:pPr>
        <w:spacing w:after="0" w:line="12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American Stock Transfer &amp; Trust Company LLC</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Attn: Proxy Tabulation Department</w:t>
      </w:r>
    </w:p>
    <w:p>
      <w:pPr>
        <w:ind w:left="3820"/>
        <w:spacing w:after="0"/>
        <w:rPr>
          <w:sz w:val="20"/>
          <w:szCs w:val="20"/>
          <w:color w:val="auto"/>
        </w:rPr>
      </w:pPr>
      <w:r>
        <w:rPr>
          <w:rFonts w:ascii="Arial" w:cs="Arial" w:eastAsia="Arial" w:hAnsi="Arial"/>
          <w:sz w:val="18"/>
          <w:szCs w:val="18"/>
          <w:color w:val="auto"/>
        </w:rPr>
        <w:t>6201 15th Avenue | Brooklyn, NY 11219</w:t>
      </w:r>
    </w:p>
    <w:p>
      <w:pPr>
        <w:spacing w:after="0" w:line="128" w:lineRule="exact"/>
        <w:rPr>
          <w:sz w:val="20"/>
          <w:szCs w:val="20"/>
          <w:color w:val="auto"/>
        </w:rPr>
      </w:pPr>
    </w:p>
    <w:p>
      <w:pPr>
        <w:ind w:left="1620" w:right="779"/>
        <w:spacing w:after="0" w:line="261"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May 12, 2021.</w:t>
      </w:r>
    </w:p>
    <w:p>
      <w:pPr>
        <w:spacing w:after="0" w:line="90" w:lineRule="exact"/>
        <w:rPr>
          <w:sz w:val="20"/>
          <w:szCs w:val="20"/>
          <w:color w:val="auto"/>
        </w:rPr>
      </w:pPr>
    </w:p>
    <w:p>
      <w:pPr>
        <w:ind w:left="1620" w:right="479"/>
        <w:spacing w:after="0" w:line="241"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Once registered, you may attend the Annual Meeting, submit questions and vote your shares by visiting https://web.lumiagm.com/239148853 (Password: pagp2021) during the meeting. Follow the instructions provided to vote. We encourage you to access the meeting prior to the start time leaving ample time to complete the check-in process.</w:t>
      </w:r>
    </w:p>
    <w:p>
      <w:pPr>
        <w:spacing w:after="0" w:line="11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if I have technical difficulties accessing or participating in the Annual Meeting?</w:t>
      </w:r>
    </w:p>
    <w:p>
      <w:pPr>
        <w:spacing w:after="0" w:line="148" w:lineRule="exact"/>
        <w:rPr>
          <w:sz w:val="20"/>
          <w:szCs w:val="20"/>
          <w:color w:val="auto"/>
        </w:rPr>
      </w:pPr>
    </w:p>
    <w:p>
      <w:pPr>
        <w:ind w:left="1620" w:right="899" w:hanging="360"/>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encounter difficulties accessing or participating in the Annual Meeting, please visit https:// go.lumiglobal.com/faq for help and support.</w:t>
      </w:r>
    </w:p>
    <w:p>
      <w:pPr>
        <w:spacing w:after="0" w:line="9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soliciting my proxy?</w:t>
      </w:r>
    </w:p>
    <w:p>
      <w:pPr>
        <w:spacing w:after="0" w:line="148" w:lineRule="exact"/>
        <w:rPr>
          <w:sz w:val="20"/>
          <w:szCs w:val="20"/>
          <w:color w:val="auto"/>
        </w:rPr>
      </w:pPr>
    </w:p>
    <w:p>
      <w:pPr>
        <w:ind w:left="1620" w:right="579" w:hanging="360"/>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Annual Meeting.</w:t>
      </w:r>
    </w:p>
    <w:p>
      <w:pPr>
        <w:spacing w:after="0" w:line="9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entitled to vote at the Annual Meeting?</w:t>
      </w:r>
    </w:p>
    <w:p>
      <w:pPr>
        <w:spacing w:after="0" w:line="148" w:lineRule="exact"/>
        <w:rPr>
          <w:sz w:val="20"/>
          <w:szCs w:val="20"/>
          <w:color w:val="auto"/>
        </w:rPr>
      </w:pPr>
    </w:p>
    <w:p>
      <w:pPr>
        <w:ind w:left="1620" w:right="559" w:hanging="360"/>
        <w:spacing w:after="0" w:line="263"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holders of our Class A, Class B and Class C shares at the close of business on the Record Date are entitled to receive notice of the Annual Meeting and to vote the Class A, Class B and Class C shares that they held on the Record Date at the Annual Meeting.</w:t>
      </w:r>
    </w:p>
    <w:p>
      <w:pPr>
        <w:spacing w:after="0" w:line="116" w:lineRule="exact"/>
        <w:rPr>
          <w:rFonts w:ascii="Arial" w:cs="Arial" w:eastAsia="Arial" w:hAnsi="Arial"/>
          <w:sz w:val="18"/>
          <w:szCs w:val="18"/>
          <w:color w:val="auto"/>
        </w:rPr>
      </w:pPr>
    </w:p>
    <w:p>
      <w:pPr>
        <w:ind w:left="1620" w:right="459"/>
        <w:spacing w:after="0" w:line="253" w:lineRule="auto"/>
        <w:rPr>
          <w:rFonts w:ascii="Arial" w:cs="Arial" w:eastAsia="Arial" w:hAnsi="Arial"/>
          <w:sz w:val="18"/>
          <w:szCs w:val="18"/>
          <w:color w:val="auto"/>
        </w:rPr>
      </w:pPr>
      <w:r>
        <w:rPr>
          <w:rFonts w:ascii="Arial" w:cs="Arial" w:eastAsia="Arial" w:hAnsi="Arial"/>
          <w:sz w:val="18"/>
          <w:szCs w:val="18"/>
          <w:color w:val="auto"/>
        </w:rPr>
        <w:t>Each Shareholder is entitled to one vote for each Class A, Class B and Class C share owned for proposals 1, 2 and 3, and each Class A and Class B shareholder is entitled to one vote for each Class A and Class B share owned for proposal 4. The votes cast on proposal 4 will be passed through as instructions to AAP regarding how it should vote the PAA common units it owns on proposal 4 at the PAA Annual Meeting. On March 26, 2021, 194,097,504 Class A shares, 50,811,332 Class B shares and 547,590,593 Class C shares were issued and outstanding and entitled to vote. PAA owns all of the issued and outstanding Class C shares and will vote such shares on a “pass-through” basis on proposals 1, 2 and 3 at the Annual Meeting on behalf of and according to the direction of its eligible unitholders as determined at the PAA Annual Meeting.</w:t>
      </w:r>
    </w:p>
    <w:p>
      <w:pPr>
        <w:spacing w:after="0" w:line="12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do I vote?</w:t>
      </w:r>
    </w:p>
    <w:p>
      <w:pPr>
        <w:spacing w:after="0" w:line="148" w:lineRule="exact"/>
        <w:rPr>
          <w:sz w:val="20"/>
          <w:szCs w:val="20"/>
          <w:color w:val="auto"/>
        </w:rPr>
      </w:pPr>
    </w:p>
    <w:p>
      <w:pPr>
        <w:ind w:left="1620" w:right="879" w:hanging="360"/>
        <w:spacing w:after="0" w:line="308" w:lineRule="auto"/>
        <w:tabs>
          <w:tab w:leader="none" w:pos="1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you are a Shareholder of record at the close of business on the Record Date, you may vote your shares by proxy in advance of the Annual Meeting by any of the following methods:</w:t>
      </w:r>
    </w:p>
    <w:p>
      <w:pPr>
        <w:spacing w:after="0" w:line="38" w:lineRule="exact"/>
        <w:rPr>
          <w:rFonts w:ascii="Arial" w:cs="Arial" w:eastAsia="Arial" w:hAnsi="Arial"/>
          <w:sz w:val="17"/>
          <w:szCs w:val="17"/>
          <w:color w:val="auto"/>
        </w:rPr>
      </w:pPr>
    </w:p>
    <w:p>
      <w:pPr>
        <w:ind w:left="1800" w:right="599" w:hanging="180"/>
        <w:spacing w:after="0" w:line="263"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online before the meeting. </w:t>
      </w:r>
      <w:r>
        <w:rPr>
          <w:rFonts w:ascii="Arial" w:cs="Arial" w:eastAsia="Arial" w:hAnsi="Arial"/>
          <w:sz w:val="18"/>
          <w:szCs w:val="18"/>
          <w:color w:val="auto"/>
        </w:rPr>
        <w:t>You may visit the Internet address listed on your proxy card.</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voting procedures have been established to verify your identity and to confirm your voting instructions. Please have your proxy card available when you visit the Internet address.</w:t>
      </w:r>
    </w:p>
    <w:p>
      <w:pPr>
        <w:spacing w:after="0" w:line="75" w:lineRule="exact"/>
        <w:rPr>
          <w:rFonts w:ascii="Arial" w:cs="Arial" w:eastAsia="Arial" w:hAnsi="Arial"/>
          <w:sz w:val="18"/>
          <w:szCs w:val="18"/>
          <w:color w:val="auto"/>
        </w:rPr>
      </w:pPr>
    </w:p>
    <w:p>
      <w:pPr>
        <w:ind w:left="1800" w:right="699" w:hanging="180"/>
        <w:spacing w:after="0" w:line="257"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Voting online during the meeting</w:t>
      </w:r>
      <w:r>
        <w:rPr>
          <w:rFonts w:ascii="Arial" w:cs="Arial" w:eastAsia="Arial" w:hAnsi="Arial"/>
          <w:sz w:val="18"/>
          <w:szCs w:val="18"/>
          <w:color w:val="auto"/>
        </w:rPr>
        <w:t>. You may attend the Annual Meeting by visiting https://</w:t>
      </w:r>
      <w:r>
        <w:rPr>
          <w:rFonts w:ascii="Arial" w:cs="Arial" w:eastAsia="Arial" w:hAnsi="Arial"/>
          <w:sz w:val="18"/>
          <w:szCs w:val="18"/>
          <w:i w:val="1"/>
          <w:iCs w:val="1"/>
          <w:color w:val="auto"/>
        </w:rPr>
        <w:t xml:space="preserve"> </w:t>
      </w:r>
      <w:r>
        <w:rPr>
          <w:rFonts w:ascii="Arial" w:cs="Arial" w:eastAsia="Arial" w:hAnsi="Arial"/>
          <w:sz w:val="18"/>
          <w:szCs w:val="18"/>
          <w:color w:val="auto"/>
        </w:rPr>
        <w:t>web.lumiagm.com/239148853 (Password: pagp2021), where Shareholders will be able to listen to the meeting live, submit questions and vote online during the meeting. To vote your shares online during the Annual Meeting, please read the “Beneficial Owner: Shares Registered in the Name of Broker”</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spacing w:after="0" w:line="241" w:lineRule="auto"/>
        <w:rPr>
          <w:sz w:val="20"/>
          <w:szCs w:val="20"/>
          <w:color w:val="auto"/>
        </w:rPr>
      </w:pPr>
      <w:r>
        <w:rPr>
          <w:rFonts w:ascii="Arial" w:cs="Arial" w:eastAsia="Arial" w:hAnsi="Arial"/>
          <w:sz w:val="18"/>
          <w:szCs w:val="18"/>
          <w:color w:val="auto"/>
        </w:rPr>
        <w:t>answer under the question “Who can vote and ask questions at the Annual Meeting?” for instructions on how to register to attend the Annual Meeting as a Shareholder. A beneficial owner must be registered to attend the Annual Meeting as a Shareholder and must have a Voter Control Number issued by American Stock Transfer &amp; Trust Company LLC in order to vote online during the meeting.</w:t>
      </w:r>
    </w:p>
    <w:p>
      <w:pPr>
        <w:spacing w:after="0" w:line="68" w:lineRule="exact"/>
        <w:rPr>
          <w:sz w:val="20"/>
          <w:szCs w:val="20"/>
          <w:color w:val="auto"/>
        </w:rPr>
      </w:pPr>
    </w:p>
    <w:p>
      <w:pPr>
        <w:ind w:left="1800" w:right="439" w:hanging="180"/>
        <w:spacing w:after="0" w:line="259"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Telephone. </w:t>
      </w:r>
      <w:r>
        <w:rPr>
          <w:rFonts w:ascii="Arial" w:cs="Arial" w:eastAsia="Arial" w:hAnsi="Arial"/>
          <w:sz w:val="18"/>
          <w:szCs w:val="18"/>
          <w:color w:val="auto"/>
        </w:rPr>
        <w:t>You may call the toll-free telephone number listed on your proxy card. Telephone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have been established to verify your identity, to allow you to provide proxy voting instructions and to confirm that your instructions were accurately recorded. Please have your proxy card available when you call.</w:t>
      </w:r>
    </w:p>
    <w:p>
      <w:pPr>
        <w:spacing w:after="0" w:line="78"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Mail. </w:t>
      </w:r>
      <w:r>
        <w:rPr>
          <w:rFonts w:ascii="Arial" w:cs="Arial" w:eastAsia="Arial" w:hAnsi="Arial"/>
          <w:sz w:val="18"/>
          <w:szCs w:val="18"/>
          <w:color w:val="auto"/>
        </w:rPr>
        <w:t>You may mail your completed, signed and dated proxy card in the enclosed postage-paid</w:t>
      </w:r>
      <w:r>
        <w:rPr>
          <w:rFonts w:ascii="Arial" w:cs="Arial" w:eastAsia="Arial" w:hAnsi="Arial"/>
          <w:sz w:val="18"/>
          <w:szCs w:val="18"/>
          <w:i w:val="1"/>
          <w:iCs w:val="1"/>
          <w:color w:val="auto"/>
        </w:rPr>
        <w:t xml:space="preserve"> </w:t>
      </w:r>
      <w:r>
        <w:rPr>
          <w:rFonts w:ascii="Arial" w:cs="Arial" w:eastAsia="Arial" w:hAnsi="Arial"/>
          <w:sz w:val="18"/>
          <w:szCs w:val="18"/>
          <w:color w:val="auto"/>
        </w:rPr>
        <w:t>return envelope.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Internet and telephone voting will be available to Shareholders of record 24 hours a day until</w:t>
      </w:r>
    </w:p>
    <w:p>
      <w:pPr>
        <w:spacing w:after="0" w:line="12" w:lineRule="exact"/>
        <w:rPr>
          <w:sz w:val="20"/>
          <w:szCs w:val="20"/>
          <w:color w:val="auto"/>
        </w:rPr>
      </w:pPr>
    </w:p>
    <w:p>
      <w:pPr>
        <w:ind w:left="1620" w:right="459"/>
        <w:spacing w:after="0" w:line="238" w:lineRule="auto"/>
        <w:rPr>
          <w:sz w:val="20"/>
          <w:szCs w:val="20"/>
          <w:color w:val="auto"/>
        </w:rPr>
      </w:pPr>
      <w:r>
        <w:rPr>
          <w:rFonts w:ascii="Arial" w:cs="Arial" w:eastAsia="Arial" w:hAnsi="Arial"/>
          <w:sz w:val="18"/>
          <w:szCs w:val="18"/>
          <w:color w:val="auto"/>
        </w:rPr>
        <w:t>11:59 p.m. Eastern Time on May 18, 2021, the night before the Annual Meeting. If you use the Internet or the toll-free telephone number to provide your proxy voting instructions, you do not need to mail in your proxy card. If you mail in your proxy card, it must be received by PAGP before the voting polls close at the Annual Meeting.</w:t>
      </w:r>
    </w:p>
    <w:p>
      <w:pPr>
        <w:spacing w:after="0" w:line="108" w:lineRule="exact"/>
        <w:rPr>
          <w:sz w:val="20"/>
          <w:szCs w:val="20"/>
          <w:color w:val="auto"/>
        </w:rPr>
      </w:pPr>
    </w:p>
    <w:p>
      <w:pPr>
        <w:ind w:left="1620" w:right="419"/>
        <w:spacing w:after="0" w:line="270" w:lineRule="auto"/>
        <w:rPr>
          <w:sz w:val="20"/>
          <w:szCs w:val="20"/>
          <w:color w:val="auto"/>
        </w:rPr>
      </w:pPr>
      <w:r>
        <w:rPr>
          <w:rFonts w:ascii="Arial" w:cs="Arial" w:eastAsia="Arial" w:hAnsi="Arial"/>
          <w:sz w:val="17"/>
          <w:szCs w:val="17"/>
          <w:color w:val="auto"/>
        </w:rPr>
        <w:t>Even if you plan to attend the Annual Meeting, please vote your proxy in advance of the Annual Meeting (by Internet, telephone or mail, as described above) as soon as possible so that your shares will be represented at the Annual Meeting if for any reason you are unable to attend virtually.</w:t>
      </w:r>
    </w:p>
    <w:p>
      <w:pPr>
        <w:spacing w:after="0" w:line="96" w:lineRule="exact"/>
        <w:rPr>
          <w:sz w:val="20"/>
          <w:szCs w:val="20"/>
          <w:color w:val="auto"/>
        </w:rPr>
      </w:pPr>
    </w:p>
    <w:p>
      <w:pPr>
        <w:ind w:left="1620" w:right="479"/>
        <w:spacing w:after="0" w:line="243" w:lineRule="auto"/>
        <w:rPr>
          <w:sz w:val="20"/>
          <w:szCs w:val="20"/>
          <w:color w:val="auto"/>
        </w:rPr>
      </w:pPr>
      <w:r>
        <w:rPr>
          <w:rFonts w:ascii="Arial" w:cs="Arial" w:eastAsia="Arial" w:hAnsi="Arial"/>
          <w:sz w:val="18"/>
          <w:szCs w:val="18"/>
          <w:color w:val="auto"/>
        </w:rPr>
        <w:t>If you are a beneficial owner of shares held in street name, you must either direct your broker or other nominee as to how to vote your shares, or obtain a “legal” proxy from your broker or other nominee and register to attend the Annual Meeting pursuant to the instructions above in order to vote during the Annual Meeting.</w:t>
      </w:r>
    </w:p>
    <w:p>
      <w:pPr>
        <w:spacing w:after="0" w:line="10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do I do if I want to change my vote after I have already voted by proxy?</w:t>
      </w:r>
    </w:p>
    <w:p>
      <w:pPr>
        <w:spacing w:after="0" w:line="162" w:lineRule="exact"/>
        <w:rPr>
          <w:sz w:val="20"/>
          <w:szCs w:val="20"/>
          <w:color w:val="auto"/>
        </w:rPr>
      </w:pPr>
    </w:p>
    <w:p>
      <w:pPr>
        <w:ind w:left="1620" w:right="679" w:hanging="360"/>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you are a Shareholder of record at the close of business on the Record Date, you may change your vote at any time before the voting polls close at the Annual Meeting by:</w:t>
      </w:r>
    </w:p>
    <w:p>
      <w:pPr>
        <w:spacing w:after="0" w:line="48" w:lineRule="exact"/>
        <w:rPr>
          <w:rFonts w:ascii="Arial" w:cs="Arial" w:eastAsia="Arial" w:hAnsi="Arial"/>
          <w:sz w:val="18"/>
          <w:szCs w:val="18"/>
          <w:color w:val="auto"/>
        </w:rPr>
      </w:pPr>
    </w:p>
    <w:p>
      <w:pPr>
        <w:ind w:left="1800" w:right="499" w:hanging="180"/>
        <w:spacing w:after="0" w:line="263"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however, that the deadline for voting through the Internet or by telephone is 11:59 p.m. Eastern Time on May 18, 2021);</w:t>
      </w:r>
    </w:p>
    <w:p>
      <w:pPr>
        <w:spacing w:after="0" w:line="75" w:lineRule="exact"/>
        <w:rPr>
          <w:rFonts w:ascii="Arial" w:cs="Arial" w:eastAsia="Arial" w:hAnsi="Arial"/>
          <w:sz w:val="18"/>
          <w:szCs w:val="18"/>
          <w:color w:val="auto"/>
        </w:rPr>
      </w:pPr>
    </w:p>
    <w:p>
      <w:pPr>
        <w:ind w:left="1800" w:right="679" w:hanging="180"/>
        <w:spacing w:after="0" w:line="277"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delivering a later-dated, executed proxy card to American Stock Transfer &amp; Trust Company, LLC, 6201 15th Avenue, Brooklyn, New York 11219;</w:t>
      </w:r>
    </w:p>
    <w:p>
      <w:pPr>
        <w:spacing w:after="0" w:line="62" w:lineRule="exact"/>
        <w:rPr>
          <w:rFonts w:ascii="Arial" w:cs="Arial" w:eastAsia="Arial" w:hAnsi="Arial"/>
          <w:sz w:val="18"/>
          <w:szCs w:val="18"/>
          <w:color w:val="auto"/>
        </w:rPr>
      </w:pPr>
    </w:p>
    <w:p>
      <w:pPr>
        <w:ind w:left="1800" w:right="1179" w:hanging="180"/>
        <w:spacing w:after="0" w:line="277"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delivering a written notice of revocation of your proxy to American Stock Transfer &amp; Trust Company, LLC, 6201 15th Avenue, Brooklyn, New York 11219; or</w:t>
      </w:r>
    </w:p>
    <w:p>
      <w:pPr>
        <w:spacing w:after="0" w:line="62" w:lineRule="exact"/>
        <w:rPr>
          <w:rFonts w:ascii="Arial" w:cs="Arial" w:eastAsia="Arial" w:hAnsi="Arial"/>
          <w:sz w:val="18"/>
          <w:szCs w:val="18"/>
          <w:color w:val="auto"/>
        </w:rPr>
      </w:pPr>
    </w:p>
    <w:p>
      <w:pPr>
        <w:ind w:left="1800" w:right="599" w:hanging="180"/>
        <w:spacing w:after="0" w:line="263"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attending the Annual Meeting and voting online during the Annual Meeting pursuant to the instructions above. Please note that virtual attendance at the Annual Meeting will not by itself (i.e., without also voting) revoke a previously granted proxy.</w:t>
      </w:r>
    </w:p>
    <w:p>
      <w:pPr>
        <w:spacing w:after="0" w:line="103" w:lineRule="exact"/>
        <w:rPr>
          <w:sz w:val="20"/>
          <w:szCs w:val="20"/>
          <w:color w:val="auto"/>
        </w:rPr>
      </w:pPr>
    </w:p>
    <w:p>
      <w:pPr>
        <w:ind w:left="1620" w:right="459"/>
        <w:spacing w:after="0" w:line="241" w:lineRule="auto"/>
        <w:rPr>
          <w:sz w:val="20"/>
          <w:szCs w:val="20"/>
          <w:color w:val="auto"/>
        </w:rPr>
      </w:pPr>
      <w:r>
        <w:rPr>
          <w:rFonts w:ascii="Arial" w:cs="Arial" w:eastAsia="Arial" w:hAnsi="Arial"/>
          <w:sz w:val="18"/>
          <w:szCs w:val="18"/>
          <w:color w:val="auto"/>
        </w:rPr>
        <w:t>If you are a beneficial owner of shares held in street name and you have instructed your broker or other nominee to vote your shares, you must follow the procedure your broker or other nominee provides to change those instructions. You may also vote online during the Annual Meeting if you obtain a “legal” proxy from your broker or other nominee and register to attend the Annual Meeting pursuant to the instructions above.</w:t>
      </w:r>
    </w:p>
    <w:p>
      <w:pPr>
        <w:spacing w:after="0" w:line="11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a broker non-vote?</w:t>
      </w:r>
    </w:p>
    <w:p>
      <w:pPr>
        <w:spacing w:after="0" w:line="148" w:lineRule="exact"/>
        <w:rPr>
          <w:sz w:val="20"/>
          <w:szCs w:val="20"/>
          <w:color w:val="auto"/>
        </w:rPr>
      </w:pPr>
    </w:p>
    <w:p>
      <w:pPr>
        <w:ind w:left="1620" w:right="419" w:hanging="360"/>
        <w:spacing w:after="0" w:line="272"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broker non-vote occurs when shares held by a broker, bank or other nominee on behalf of a beneficial owner are not voted with respect to a particular matter because the broker lacks discretionary authority to vote the shares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19"/>
        <w:spacing w:after="0" w:line="270" w:lineRule="auto"/>
        <w:rPr>
          <w:sz w:val="20"/>
          <w:szCs w:val="20"/>
          <w:color w:val="auto"/>
        </w:rPr>
      </w:pPr>
      <w:r>
        <w:rPr>
          <w:rFonts w:ascii="Arial" w:cs="Arial" w:eastAsia="Arial" w:hAnsi="Arial"/>
          <w:sz w:val="17"/>
          <w:szCs w:val="17"/>
          <w:color w:val="auto"/>
        </w:rPr>
        <w:t>provided voting instructions. The election of directors (Proposal 1), the advisory vote to approve our named executive officer compensation (Proposal 3) and the instruction to AAP regarding approval of the Plains All American 2021 Long-Term Incentive Plan (Proposal 4)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as votes either “FOR” or “AGAINST” Proposals 1, 3 and 4.</w:t>
      </w:r>
    </w:p>
    <w:p>
      <w:pPr>
        <w:spacing w:after="0" w:line="9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constitutes a quorum?</w:t>
      </w:r>
    </w:p>
    <w:p>
      <w:pPr>
        <w:spacing w:after="0" w:line="162" w:lineRule="exact"/>
        <w:rPr>
          <w:sz w:val="20"/>
          <w:szCs w:val="20"/>
          <w:color w:val="auto"/>
        </w:rPr>
      </w:pPr>
    </w:p>
    <w:p>
      <w:pPr>
        <w:ind w:left="1620" w:right="659" w:hanging="360"/>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 majority of the outstanding Class A, Class B and Class C shares entitled to vote and represented in person or by proxy shall constitute a quorum at the Annual Meeting.</w:t>
      </w:r>
    </w:p>
    <w:p>
      <w:pPr>
        <w:spacing w:after="0" w:line="10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Your shares will be counted as present at the Annual Meeting if:</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are virtually present and vote at the meeting; or</w:t>
      </w:r>
    </w:p>
    <w:p>
      <w:pPr>
        <w:spacing w:after="0" w:line="117" w:lineRule="exact"/>
        <w:rPr>
          <w:rFonts w:ascii="Arial" w:cs="Arial" w:eastAsia="Arial" w:hAnsi="Arial"/>
          <w:sz w:val="18"/>
          <w:szCs w:val="18"/>
          <w:color w:val="auto"/>
        </w:rPr>
      </w:pPr>
    </w:p>
    <w:p>
      <w:pPr>
        <w:ind w:left="1800" w:right="819" w:hanging="180"/>
        <w:spacing w:after="0" w:line="277"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shares held in street name, have submitted a properly executed proxy.</w:t>
      </w:r>
    </w:p>
    <w:p>
      <w:pPr>
        <w:spacing w:after="0" w:line="89" w:lineRule="exact"/>
        <w:rPr>
          <w:sz w:val="20"/>
          <w:szCs w:val="20"/>
          <w:color w:val="auto"/>
        </w:rPr>
      </w:pPr>
    </w:p>
    <w:p>
      <w:pPr>
        <w:ind w:left="1620" w:right="619"/>
        <w:spacing w:after="0" w:line="277"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9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vote is required to approve the proposals discussed in this proxy statement?</w:t>
      </w:r>
    </w:p>
    <w:p>
      <w:pPr>
        <w:spacing w:after="0" w:line="162" w:lineRule="exact"/>
        <w:rPr>
          <w:sz w:val="20"/>
          <w:szCs w:val="20"/>
          <w:color w:val="auto"/>
        </w:rPr>
      </w:pPr>
    </w:p>
    <w:p>
      <w:pPr>
        <w:ind w:left="1620" w:right="479" w:hanging="360"/>
        <w:spacing w:after="0" w:line="277"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table sets forth certain information with respect to the proposals to be voted upon by the Class A, Class B and Class C shareholders at the Annual Meeting:</w:t>
      </w:r>
    </w:p>
    <w:p>
      <w:pPr>
        <w:sectPr>
          <w:pgSz w:w="11900" w:h="16838" w:orient="portrait"/>
          <w:cols w:equalWidth="0" w:num="1">
            <w:col w:w="9879"/>
          </w:cols>
          <w:pgMar w:left="580" w:top="131" w:right="1440" w:bottom="1440" w:gutter="0" w:footer="0" w:header="0"/>
        </w:sectPr>
      </w:pPr>
    </w:p>
    <w:p>
      <w:pPr>
        <w:spacing w:after="0" w:line="283"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46990</wp:posOffset>
            </wp:positionV>
            <wp:extent cx="11912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80" w:lineRule="exact"/>
        <w:rPr>
          <w:sz w:val="20"/>
          <w:szCs w:val="20"/>
          <w:color w:val="auto"/>
        </w:rPr>
      </w:pPr>
    </w:p>
    <w:p>
      <w:pPr>
        <w:ind w:left="1620"/>
        <w:spacing w:after="0" w:line="258" w:lineRule="auto"/>
        <w:tabs>
          <w:tab w:leader="none" w:pos="19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elect four Class III directors to serve on the Board until the 2024 annual meeting.</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center"/>
        <w:ind w:left="-179"/>
        <w:spacing w:after="0"/>
        <w:rPr>
          <w:sz w:val="20"/>
          <w:szCs w:val="20"/>
          <w:color w:val="auto"/>
        </w:rPr>
      </w:pPr>
      <w:r>
        <w:rPr>
          <w:rFonts w:ascii="Arial" w:cs="Arial" w:eastAsia="Arial" w:hAnsi="Arial"/>
          <w:sz w:val="14"/>
          <w:szCs w:val="14"/>
          <w:b w:val="1"/>
          <w:bCs w:val="1"/>
          <w:color w:val="auto"/>
        </w:rPr>
        <w:t>Voting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7399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may vote “FOR”, or you may “WITHHOLD” authority to vote for, all, some or none of the nominees for director.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459"/>
        <w:spacing w:after="0"/>
        <w:rPr>
          <w:sz w:val="20"/>
          <w:szCs w:val="20"/>
          <w:color w:val="auto"/>
        </w:rPr>
      </w:pPr>
      <w:r>
        <w:rPr>
          <w:rFonts w:ascii="Arial" w:cs="Arial" w:eastAsia="Arial" w:hAnsi="Arial"/>
          <w:sz w:val="12"/>
          <w:szCs w:val="12"/>
          <w:b w:val="1"/>
          <w:bCs w:val="1"/>
          <w:color w:val="auto"/>
        </w:rPr>
        <w:t>Vote Required for Approval of Proposal at the</w:t>
      </w:r>
    </w:p>
    <w:p>
      <w:pPr>
        <w:spacing w:after="0" w:line="40"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1" w:lineRule="exact"/>
        <w:rPr>
          <w:sz w:val="20"/>
          <w:szCs w:val="20"/>
          <w:color w:val="auto"/>
        </w:rPr>
      </w:pPr>
    </w:p>
    <w:p>
      <w:pPr>
        <w:ind w:right="459"/>
        <w:spacing w:after="0" w:line="254" w:lineRule="auto"/>
        <w:rPr>
          <w:sz w:val="20"/>
          <w:szCs w:val="20"/>
          <w:color w:val="auto"/>
        </w:rPr>
      </w:pPr>
      <w:r>
        <w:rPr>
          <w:rFonts w:ascii="Arial" w:cs="Arial" w:eastAsia="Arial" w:hAnsi="Arial"/>
          <w:sz w:val="18"/>
          <w:szCs w:val="18"/>
          <w:color w:val="auto"/>
        </w:rPr>
        <w:t>Directors will be elected by a plurality of the votes cast, in person or by proxy, by the holders of our Class A, Class B and Class C shares. Abstentions and broker non-votes are not considered votes cast and will have no effect on the election of directors.</w:t>
      </w:r>
    </w:p>
    <w:p>
      <w:pPr>
        <w:spacing w:after="0" w:line="192" w:lineRule="exact"/>
        <w:rPr>
          <w:sz w:val="20"/>
          <w:szCs w:val="20"/>
          <w:color w:val="auto"/>
        </w:rPr>
      </w:pPr>
    </w:p>
    <w:p>
      <w:pPr>
        <w:sectPr>
          <w:pgSz w:w="11900" w:h="16838" w:orient="portrait"/>
          <w:cols w:equalWidth="0" w:num="3">
            <w:col w:w="3440" w:space="260"/>
            <w:col w:w="2560" w:space="400"/>
            <w:col w:w="3219"/>
          </w:cols>
          <w:pgMar w:left="580" w:top="131" w:right="1440" w:bottom="1440" w:gutter="0" w:footer="0" w:header="0"/>
          <w:type w:val="continuous"/>
        </w:sectPr>
      </w:pPr>
    </w:p>
    <w:p>
      <w:pPr>
        <w:ind w:left="1620"/>
        <w:spacing w:after="0"/>
        <w:tabs>
          <w:tab w:leader="none" w:pos="1880" w:val="left"/>
          <w:tab w:leader="none" w:pos="3680" w:val="left"/>
        </w:tabs>
        <w:rPr>
          <w:sz w:val="20"/>
          <w:szCs w:val="20"/>
          <w:color w:val="auto"/>
        </w:rPr>
      </w:pPr>
      <w:r>
        <w:rPr>
          <w:rFonts w:ascii="Arial" w:cs="Arial" w:eastAsia="Arial" w:hAnsi="Arial"/>
          <w:sz w:val="18"/>
          <w:szCs w:val="18"/>
          <w:color w:val="auto"/>
        </w:rPr>
        <w:t>2.</w:t>
        <w:tab/>
        <w:t>To ratify the</w:t>
      </w:r>
      <w:r>
        <w:rPr>
          <w:sz w:val="20"/>
          <w:szCs w:val="20"/>
          <w:color w:val="auto"/>
        </w:rPr>
        <w:tab/>
      </w:r>
      <w:r>
        <w:rPr>
          <w:rFonts w:ascii="Arial" w:cs="Arial" w:eastAsia="Arial" w:hAnsi="Arial"/>
          <w:sz w:val="17"/>
          <w:szCs w:val="17"/>
          <w:color w:val="auto"/>
        </w:rPr>
        <w:t>You may vote “FOR” or</w:t>
      </w:r>
    </w:p>
    <w:p>
      <w:pPr>
        <w:spacing w:after="0" w:line="23" w:lineRule="exact"/>
        <w:rPr>
          <w:sz w:val="20"/>
          <w:szCs w:val="20"/>
          <w:color w:val="auto"/>
        </w:rPr>
      </w:pPr>
    </w:p>
    <w:p>
      <w:pPr>
        <w:ind w:left="1620"/>
        <w:spacing w:after="0"/>
        <w:tabs>
          <w:tab w:leader="none" w:pos="3680" w:val="left"/>
        </w:tabs>
        <w:rPr>
          <w:sz w:val="20"/>
          <w:szCs w:val="20"/>
          <w:color w:val="auto"/>
        </w:rPr>
      </w:pPr>
      <w:r>
        <w:rPr>
          <w:rFonts w:ascii="Arial" w:cs="Arial" w:eastAsia="Arial" w:hAnsi="Arial"/>
          <w:sz w:val="18"/>
          <w:szCs w:val="18"/>
          <w:color w:val="auto"/>
        </w:rPr>
        <w:t>appointment of</w:t>
      </w:r>
      <w:r>
        <w:rPr>
          <w:sz w:val="20"/>
          <w:szCs w:val="20"/>
          <w:color w:val="auto"/>
        </w:rPr>
        <w:tab/>
      </w:r>
      <w:r>
        <w:rPr>
          <w:rFonts w:ascii="Arial" w:cs="Arial" w:eastAsia="Arial" w:hAnsi="Arial"/>
          <w:sz w:val="17"/>
          <w:szCs w:val="17"/>
          <w:color w:val="auto"/>
        </w:rPr>
        <w:t>“AGAINST” the proposal, or you</w:t>
      </w:r>
    </w:p>
    <w:p>
      <w:pPr>
        <w:spacing w:after="0" w:line="9" w:lineRule="exact"/>
        <w:rPr>
          <w:sz w:val="20"/>
          <w:szCs w:val="20"/>
          <w:color w:val="auto"/>
        </w:rPr>
      </w:pPr>
    </w:p>
    <w:p>
      <w:pPr>
        <w:ind w:left="1620"/>
        <w:spacing w:after="0"/>
        <w:tabs>
          <w:tab w:leader="none" w:pos="3680" w:val="left"/>
        </w:tabs>
        <w:rPr>
          <w:sz w:val="20"/>
          <w:szCs w:val="20"/>
          <w:color w:val="auto"/>
        </w:rPr>
      </w:pPr>
      <w:r>
        <w:rPr>
          <w:rFonts w:ascii="Arial" w:cs="Arial" w:eastAsia="Arial" w:hAnsi="Arial"/>
          <w:sz w:val="18"/>
          <w:szCs w:val="18"/>
          <w:color w:val="auto"/>
        </w:rPr>
        <w:t>PricewaterhouseCoopers</w:t>
        <w:tab/>
        <w:t>may “ABSTAIN” from voting.</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LLP as PAGP’s and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PAA’s independent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registered public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accounting firm for the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fiscal year ending</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December 31, 2021.</w:t>
      </w:r>
    </w:p>
    <w:p>
      <w:pPr>
        <w:spacing w:after="0" w:line="20" w:lineRule="exact"/>
        <w:rPr>
          <w:sz w:val="20"/>
          <w:szCs w:val="20"/>
          <w:color w:val="auto"/>
        </w:rPr>
      </w:pPr>
      <w:r>
        <w:rPr>
          <w:sz w:val="20"/>
          <w:szCs w:val="20"/>
          <w:color w:val="auto"/>
        </w:rPr>
        <w:br w:type="column"/>
      </w:r>
    </w:p>
    <w:p>
      <w:pPr>
        <w:ind w:right="459"/>
        <w:spacing w:after="0" w:line="287" w:lineRule="auto"/>
        <w:rPr>
          <w:sz w:val="20"/>
          <w:szCs w:val="20"/>
          <w:color w:val="auto"/>
        </w:rPr>
      </w:pPr>
      <w:r>
        <w:rPr>
          <w:rFonts w:ascii="Arial" w:cs="Arial" w:eastAsia="Arial" w:hAnsi="Arial"/>
          <w:sz w:val="16"/>
          <w:szCs w:val="16"/>
          <w:color w:val="auto"/>
        </w:rPr>
        <w:t>This proposal must receive a majority of the votes cast, in person or by proxy, by the holders of our Class A, Class B and Class C shares present and entitled to vote, voting as a single class. Abstentions will be counted as votes present and entitled to vote and will have the same effect as votes “AGAINST” this proposal. We do not expect there to be any broker non-votes for this proposal.</w:t>
      </w:r>
    </w:p>
    <w:p>
      <w:pPr>
        <w:spacing w:after="0" w:line="200" w:lineRule="exact"/>
        <w:rPr>
          <w:sz w:val="20"/>
          <w:szCs w:val="20"/>
          <w:color w:val="auto"/>
        </w:rPr>
      </w:pPr>
    </w:p>
    <w:p>
      <w:pPr>
        <w:sectPr>
          <w:pgSz w:w="11900" w:h="16838" w:orient="portrait"/>
          <w:cols w:equalWidth="0" w:num="2">
            <w:col w:w="6240" w:space="420"/>
            <w:col w:w="321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180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220" w:type="dxa"/>
            <w:vAlign w:val="bottom"/>
          </w:tcPr>
          <w:p>
            <w:pPr>
              <w:spacing w:after="0"/>
              <w:rPr>
                <w:sz w:val="16"/>
                <w:szCs w:val="16"/>
                <w:color w:val="auto"/>
              </w:rPr>
            </w:pPr>
          </w:p>
        </w:tc>
        <w:tc>
          <w:tcPr>
            <w:tcW w:w="2800" w:type="dxa"/>
            <w:vAlign w:val="bottom"/>
          </w:tcPr>
          <w:p>
            <w:pPr>
              <w:ind w:left="960"/>
              <w:spacing w:after="0"/>
              <w:rPr>
                <w:sz w:val="20"/>
                <w:szCs w:val="20"/>
                <w:color w:val="auto"/>
              </w:rPr>
            </w:pPr>
            <w:r>
              <w:rPr>
                <w:rFonts w:ascii="Arial" w:cs="Arial" w:eastAsia="Arial" w:hAnsi="Arial"/>
                <w:sz w:val="14"/>
                <w:szCs w:val="14"/>
                <w:b w:val="1"/>
                <w:bCs w:val="1"/>
                <w:color w:val="auto"/>
              </w:rPr>
              <w:t>Voting Options</w:t>
            </w:r>
          </w:p>
        </w:tc>
      </w:tr>
      <w:tr>
        <w:trPr>
          <w:trHeight w:val="26"/>
        </w:trPr>
        <w:tc>
          <w:tcPr>
            <w:tcW w:w="1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3.  To approve, on a</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You may vote “FOR” or</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non-binding advisory</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“AGAINST” the proposal, or you</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basis, our named</w:t>
            </w: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may “ABSTAIN” from voting.</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executive officer</w:t>
            </w: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compensation.</w:t>
            </w: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59"/>
        <w:spacing w:after="0"/>
        <w:rPr>
          <w:sz w:val="20"/>
          <w:szCs w:val="20"/>
          <w:color w:val="auto"/>
        </w:rPr>
      </w:pPr>
      <w:r>
        <w:rPr>
          <w:rFonts w:ascii="Arial" w:cs="Arial" w:eastAsia="Arial" w:hAnsi="Arial"/>
          <w:sz w:val="12"/>
          <w:szCs w:val="12"/>
          <w:b w:val="1"/>
          <w:bCs w:val="1"/>
          <w:color w:val="auto"/>
        </w:rPr>
        <w:t>Vote Required for Approval of Proposal at the</w:t>
      </w:r>
    </w:p>
    <w:p>
      <w:pPr>
        <w:spacing w:after="0" w:line="40"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1" w:lineRule="exact"/>
        <w:rPr>
          <w:sz w:val="20"/>
          <w:szCs w:val="20"/>
          <w:color w:val="auto"/>
        </w:rPr>
      </w:pPr>
    </w:p>
    <w:p>
      <w:pPr>
        <w:ind w:right="459"/>
        <w:spacing w:after="0" w:line="287" w:lineRule="auto"/>
        <w:rPr>
          <w:sz w:val="20"/>
          <w:szCs w:val="20"/>
          <w:color w:val="auto"/>
        </w:rPr>
      </w:pPr>
      <w:r>
        <w:rPr>
          <w:rFonts w:ascii="Arial" w:cs="Arial" w:eastAsia="Arial" w:hAnsi="Arial"/>
          <w:sz w:val="16"/>
          <w:szCs w:val="16"/>
          <w:color w:val="auto"/>
        </w:rPr>
        <w:t>This proposal must receive a majority of the votes cast, in person or by proxy, by the holders of our Class A, Class B and Class C shares present and entitled to vote, voting as a single class. Abstentions will be counted as votes present and entitled to vote and will have the same effect as votes “AGAINST” this proposal. Broker non-votes are not considered votes cast and will have no effect on the outcome of this proposal.</w:t>
      </w:r>
    </w:p>
    <w:p>
      <w:pPr>
        <w:spacing w:after="0" w:line="200" w:lineRule="exact"/>
        <w:rPr>
          <w:sz w:val="20"/>
          <w:szCs w:val="20"/>
          <w:color w:val="auto"/>
        </w:rPr>
      </w:pPr>
    </w:p>
    <w:p>
      <w:pPr>
        <w:sectPr>
          <w:pgSz w:w="11900" w:h="16838" w:orient="portrait"/>
          <w:cols w:equalWidth="0" w:num="2">
            <w:col w:w="6440" w:space="220"/>
            <w:col w:w="3219"/>
          </w:cols>
          <w:pgMar w:left="580" w:top="132" w:right="1440" w:bottom="1440" w:gutter="0" w:footer="0" w:header="0"/>
        </w:sectPr>
      </w:pPr>
    </w:p>
    <w:p>
      <w:pPr>
        <w:spacing w:after="0" w:line="89" w:lineRule="exact"/>
        <w:rPr>
          <w:sz w:val="20"/>
          <w:szCs w:val="20"/>
          <w:color w:val="auto"/>
        </w:rPr>
      </w:pPr>
    </w:p>
    <w:p>
      <w:pPr>
        <w:ind w:left="1620" w:right="539"/>
        <w:spacing w:after="0" w:line="257" w:lineRule="auto"/>
        <w:rPr>
          <w:sz w:val="20"/>
          <w:szCs w:val="20"/>
          <w:color w:val="auto"/>
        </w:rPr>
      </w:pPr>
      <w:r>
        <w:rPr>
          <w:rFonts w:ascii="Arial" w:cs="Arial" w:eastAsia="Arial" w:hAnsi="Arial"/>
          <w:sz w:val="18"/>
          <w:szCs w:val="18"/>
          <w:color w:val="auto"/>
        </w:rPr>
        <w:t>The following table sets forth certain information regarding the additional proposal with respect to which Class A and Class B Shareholders will instruct AAP how to vote its PAA common units at the PAA Annual Meeting. AAP will vote (or refrain from voting) on this matter at the PAA Annual Meeting consistent with instructions received from the PAGP Class A and Class B shareholders on the same proposal at the Annual Meeting.</w:t>
      </w:r>
    </w:p>
    <w:p>
      <w:pPr>
        <w:sectPr>
          <w:pgSz w:w="11900" w:h="16838" w:orient="portrait"/>
          <w:cols w:equalWidth="0" w:num="1">
            <w:col w:w="9879"/>
          </w:cols>
          <w:pgMar w:left="580" w:top="132" w:right="1440" w:bottom="1440" w:gutter="0" w:footer="0" w:header="0"/>
          <w:type w:val="continuous"/>
        </w:sectPr>
      </w:pPr>
    </w:p>
    <w:p>
      <w:pPr>
        <w:spacing w:after="0" w:line="301" w:lineRule="exact"/>
        <w:rPr>
          <w:sz w:val="20"/>
          <w:szCs w:val="20"/>
          <w:color w:val="auto"/>
        </w:rPr>
      </w:pPr>
    </w:p>
    <w:p>
      <w:pPr>
        <w:jc w:val="center"/>
        <w:ind w:left="460"/>
        <w:spacing w:after="0"/>
        <w:rPr>
          <w:sz w:val="20"/>
          <w:szCs w:val="20"/>
          <w:color w:val="auto"/>
        </w:rPr>
      </w:pPr>
      <w:r>
        <w:rPr>
          <w:rFonts w:ascii="Arial" w:cs="Arial" w:eastAsia="Arial" w:hAnsi="Arial"/>
          <w:sz w:val="12"/>
          <w:szCs w:val="12"/>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46990</wp:posOffset>
            </wp:positionV>
            <wp:extent cx="11398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80" w:lineRule="exact"/>
        <w:rPr>
          <w:sz w:val="20"/>
          <w:szCs w:val="20"/>
          <w:color w:val="auto"/>
        </w:rPr>
      </w:pPr>
    </w:p>
    <w:p>
      <w:pPr>
        <w:ind w:left="1620"/>
        <w:spacing w:after="0" w:line="272" w:lineRule="auto"/>
        <w:tabs>
          <w:tab w:leader="none" w:pos="19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instruct AAP regarding its vote on the approval of the Plains All American 2021 Long-Term Incentive Plan at the PAA Annual Meeting.</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Voting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783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You may instruct AAP to vote “FOR” or “AGAINST” the proposal, or to “ABSTAIN” from voting.</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2"/>
          <w:szCs w:val="12"/>
          <w:b w:val="1"/>
          <w:bCs w:val="1"/>
          <w:color w:val="auto"/>
        </w:rPr>
        <w:t>Vote Required for Approval of Proposal at the</w:t>
      </w:r>
    </w:p>
    <w:p>
      <w:pPr>
        <w:spacing w:after="0" w:line="40"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PAA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78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41" w:lineRule="exact"/>
        <w:rPr>
          <w:sz w:val="20"/>
          <w:szCs w:val="20"/>
          <w:color w:val="auto"/>
        </w:rPr>
      </w:pPr>
    </w:p>
    <w:p>
      <w:pPr>
        <w:ind w:right="459"/>
        <w:spacing w:after="0" w:line="268" w:lineRule="auto"/>
        <w:rPr>
          <w:sz w:val="20"/>
          <w:szCs w:val="20"/>
          <w:color w:val="auto"/>
        </w:rPr>
      </w:pPr>
      <w:r>
        <w:rPr>
          <w:rFonts w:ascii="Arial" w:cs="Arial" w:eastAsia="Arial" w:hAnsi="Arial"/>
          <w:sz w:val="17"/>
          <w:szCs w:val="17"/>
          <w:color w:val="auto"/>
        </w:rPr>
        <w:t>This proposal must receive a majority of the votes cast, in person or by proxy, by the holders of PAA’s common units and Series A preferred units present and entitled to vote, voting as a single class at the PAA Annual Meeting. Abstentions will be counted as votes present and entitled to vote and will have the same effect as votes “AGAINST” this proposal. Broker non-votes are not considered votes cast and will have no effect on the outcome of this proposal.</w:t>
      </w:r>
    </w:p>
    <w:p>
      <w:pPr>
        <w:spacing w:after="0" w:line="200" w:lineRule="exact"/>
        <w:rPr>
          <w:sz w:val="20"/>
          <w:szCs w:val="20"/>
          <w:color w:val="auto"/>
        </w:rPr>
      </w:pPr>
    </w:p>
    <w:p>
      <w:pPr>
        <w:sectPr>
          <w:pgSz w:w="11900" w:h="16838" w:orient="portrait"/>
          <w:cols w:equalWidth="0" w:num="3">
            <w:col w:w="3300" w:space="340"/>
            <w:col w:w="2780" w:space="240"/>
            <w:col w:w="3219"/>
          </w:cols>
          <w:pgMar w:left="580" w:top="132" w:right="1440" w:bottom="1440" w:gutter="0" w:footer="0" w:header="0"/>
          <w:type w:val="continuous"/>
        </w:sectPr>
      </w:pPr>
    </w:p>
    <w:p>
      <w:pPr>
        <w:spacing w:after="0" w:line="4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covers the expense of the proxy solicitation?</w:t>
      </w:r>
    </w:p>
    <w:p>
      <w:pPr>
        <w:spacing w:after="0" w:line="175" w:lineRule="exact"/>
        <w:rPr>
          <w:sz w:val="20"/>
          <w:szCs w:val="20"/>
          <w:color w:val="auto"/>
        </w:rPr>
      </w:pPr>
    </w:p>
    <w:p>
      <w:pPr>
        <w:ind w:left="1620" w:right="439" w:hanging="360"/>
        <w:spacing w:after="0" w:line="269" w:lineRule="auto"/>
        <w:tabs>
          <w:tab w:leader="none" w:pos="1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expense of preparing, printing and mailing this proxy statement and the proxies solicited hereby will be borne by us. In addition to the use of the mail, proxies may be solicited by PAGP GP’s directors and officers, as well as by employees of Plains All American GP LLC (“GP LLC”), without additional remuneration, by mail, phone, fax or in person. We will also request brokerage firms, banks, nominees, custodians and fiduciaries to forward proxy materials to the beneficial owners of our shares as of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expenses. We have hired Georgeson LLC to solicit proxies for a fee of $10,000 plus reasonable expenses for additional services.</w:t>
      </w:r>
    </w:p>
    <w:p>
      <w:pPr>
        <w:spacing w:after="0" w:line="12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if I do not mark a voting choice for some of the matters listed on my proxy card?</w:t>
      </w:r>
    </w:p>
    <w:p>
      <w:pPr>
        <w:spacing w:after="0" w:line="189" w:lineRule="exact"/>
        <w:rPr>
          <w:sz w:val="20"/>
          <w:szCs w:val="20"/>
          <w:color w:val="auto"/>
        </w:rPr>
      </w:pPr>
    </w:p>
    <w:p>
      <w:pPr>
        <w:ind w:left="1620" w:right="579" w:hanging="360"/>
        <w:spacing w:after="0" w:line="263"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shares will be voted in accordance with the Board’s recommendation for each proposal with respect to which a voting choice is not indicated.</w:t>
      </w:r>
    </w:p>
    <w:p>
      <w:pPr>
        <w:sectPr>
          <w:pgSz w:w="11900" w:h="16838" w:orient="portrait"/>
          <w:cols w:equalWidth="0" w:num="1">
            <w:col w:w="9879"/>
          </w:cols>
          <w:pgMar w:left="580" w:top="132" w:right="1440" w:bottom="1440" w:gutter="0" w:footer="0" w:header="0"/>
          <w:type w:val="continuous"/>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will tabulate and certify the vote?</w:t>
      </w:r>
    </w:p>
    <w:p>
      <w:pPr>
        <w:spacing w:after="0" w:line="148" w:lineRule="exact"/>
        <w:rPr>
          <w:sz w:val="20"/>
          <w:szCs w:val="20"/>
          <w:color w:val="auto"/>
        </w:rPr>
      </w:pPr>
    </w:p>
    <w:p>
      <w:pPr>
        <w:jc w:val="both"/>
        <w:ind w:left="1620" w:right="739" w:hanging="360"/>
        <w:spacing w:after="0" w:line="263"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American Stock Transfer &amp; Trust Company, LLC will tabulate and certify the vote, and will have a representative present at the Annual Meeting to act as the independent inspector of elections for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1 — ELECTION OF CLASS III DIRECTORS</w:t>
      </w:r>
    </w:p>
    <w:p>
      <w:pPr>
        <w:spacing w:after="0" w:line="7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THE BOARD OF DIRECTORS UNANIMOUSLY RECOMMENDS THAT YOU VOTE “FOR” THE</w:t>
      </w:r>
    </w:p>
    <w:p>
      <w:pPr>
        <w:spacing w:after="0" w:line="16" w:lineRule="exact"/>
        <w:rPr>
          <w:sz w:val="20"/>
          <w:szCs w:val="20"/>
          <w:color w:val="auto"/>
        </w:rPr>
      </w:pPr>
    </w:p>
    <w:p>
      <w:pPr>
        <w:jc w:val="center"/>
        <w:ind w:left="1860"/>
        <w:spacing w:after="0" w:line="239" w:lineRule="auto"/>
        <w:rPr>
          <w:sz w:val="20"/>
          <w:szCs w:val="20"/>
          <w:color w:val="auto"/>
        </w:rPr>
      </w:pPr>
      <w:r>
        <w:rPr>
          <w:rFonts w:ascii="Arial" w:cs="Arial" w:eastAsia="Arial" w:hAnsi="Arial"/>
          <w:sz w:val="18"/>
          <w:szCs w:val="18"/>
          <w:b w:val="1"/>
          <w:bCs w:val="1"/>
          <w:color w:val="auto"/>
        </w:rPr>
        <w:t>ELECTION OF EACH OF GREG L. ARMSTRONG, JOHN T. RAYMOND, BOBBY S. SHACKOULS AND CHRISTOPHER M. TEMPLE AS A CLASS III DIRECTOR OF OUR GENERAL PARTNER’S BOARD OF DIRECTORS.</w:t>
      </w:r>
    </w:p>
    <w:p>
      <w:pPr>
        <w:spacing w:after="0" w:line="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and Governance Structure</w:t>
      </w:r>
    </w:p>
    <w:p>
      <w:pPr>
        <w:spacing w:after="0" w:line="94"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i w:val="1"/>
          <w:iCs w:val="1"/>
          <w:color w:val="auto"/>
        </w:rPr>
        <w:t xml:space="preserve">Summary of Recent Changes. </w:t>
      </w:r>
      <w:r>
        <w:rPr>
          <w:rFonts w:ascii="Arial" w:cs="Arial" w:eastAsia="Arial" w:hAnsi="Arial"/>
          <w:sz w:val="18"/>
          <w:szCs w:val="18"/>
          <w:color w:val="auto"/>
        </w:rPr>
        <w:t>Investors have voiced a preference for certain governance practices,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course of the last several years, our board and governance structure has evolved and changed in ways that we believe are meaningfully beneficial to investors. Highlights of some of the key changes are as follows:</w:t>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2016</w:t>
      </w:r>
    </w:p>
    <w:p>
      <w:pPr>
        <w:spacing w:after="0" w:line="117" w:lineRule="exact"/>
        <w:rPr>
          <w:sz w:val="20"/>
          <w:szCs w:val="20"/>
          <w:color w:val="auto"/>
        </w:rPr>
      </w:pPr>
    </w:p>
    <w:p>
      <w:pPr>
        <w:ind w:left="1800" w:right="979" w:hanging="180"/>
        <w:spacing w:after="0" w:line="308"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Replaced our dual board structure for PAA and PAGP with a unified governance structure that resulted in the Board being solely responsible for the governance of PAA, AAP and PAGP;</w:t>
      </w:r>
    </w:p>
    <w:p>
      <w:pPr>
        <w:spacing w:after="0" w:line="24" w:lineRule="exact"/>
        <w:rPr>
          <w:rFonts w:ascii="Arial" w:cs="Arial" w:eastAsia="Arial" w:hAnsi="Arial"/>
          <w:sz w:val="17"/>
          <w:szCs w:val="17"/>
          <w:color w:val="auto"/>
        </w:rPr>
      </w:pPr>
    </w:p>
    <w:p>
      <w:pPr>
        <w:ind w:left="1800" w:right="53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Amended our governing documents to enfranchise all shareholders of PAGP and all public common unitholders and Series A preferred unitholders of PAA by providing for shareholder elections of directors commencing in 2018 (on a staggered three year rolling basis);</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2017</w:t>
      </w:r>
    </w:p>
    <w:p>
      <w:pPr>
        <w:spacing w:after="0" w:line="104" w:lineRule="exact"/>
        <w:rPr>
          <w:sz w:val="20"/>
          <w:szCs w:val="20"/>
          <w:color w:val="auto"/>
        </w:rPr>
      </w:pPr>
    </w:p>
    <w:p>
      <w:pPr>
        <w:ind w:left="1800" w:right="9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Added Asian American director to the Board (subsequently became Chairman of the Board in January 2020);</w:t>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2018</w:t>
      </w:r>
    </w:p>
    <w:p>
      <w:pPr>
        <w:spacing w:after="0" w:line="117" w:lineRule="exact"/>
        <w:rPr>
          <w:sz w:val="20"/>
          <w:szCs w:val="20"/>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Held first annual meeting for the election of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Added new independent female director to the Board;</w:t>
      </w:r>
    </w:p>
    <w:p>
      <w:pPr>
        <w:spacing w:after="0" w:line="117"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u w:val="single" w:color="auto"/>
          <w:color w:val="auto"/>
        </w:rPr>
        <w:t>2019</w:t>
      </w:r>
    </w:p>
    <w:p>
      <w:pPr>
        <w:spacing w:after="0" w:line="117"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Amended our governing documents to require that a majority of our Board satisfy applicable stock exchange independence requirements, despite the fact that as a limited partnership we are exempt from such requirements (seven out of 11 (64%) of our current Board members have been assessed by the Board and determined to be independent);</w:t>
      </w:r>
    </w:p>
    <w:p>
      <w:pPr>
        <w:spacing w:after="0" w:line="65"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Amended our governing documents to create a strong lead independent director role in connection with the retirement of our former Chairman and the re-combination of the roles of Chairman and CEO;</w:t>
      </w:r>
    </w:p>
    <w:p>
      <w:pPr>
        <w:spacing w:after="0" w:line="75" w:lineRule="exact"/>
        <w:rPr>
          <w:rFonts w:ascii="Arial" w:cs="Arial" w:eastAsia="Arial" w:hAnsi="Arial"/>
          <w:sz w:val="18"/>
          <w:szCs w:val="18"/>
          <w:color w:val="auto"/>
        </w:rPr>
      </w:pPr>
    </w:p>
    <w:p>
      <w:pPr>
        <w:ind w:left="1800" w:right="879" w:hanging="180"/>
        <w:spacing w:after="0" w:line="311" w:lineRule="auto"/>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the assistance of our governance committee, executed a comprehensive board assessment, refreshment and succession planning process that included a skills and needs assessment, the development of a formal board succession plan and director performance evaluations;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2020</w:t>
      </w:r>
    </w:p>
    <w:p>
      <w:pPr>
        <w:spacing w:after="0" w:line="117"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Added new independent director to the Board;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Appointed independent chairman to compensation committee;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Adopted Equity Ownership Guidelines and Clawback Policy;</w:t>
      </w:r>
    </w:p>
    <w:p>
      <w:pPr>
        <w:spacing w:after="0" w:line="130"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u w:val="single" w:color="auto"/>
          <w:color w:val="auto"/>
        </w:rPr>
        <w:t>2021</w:t>
      </w:r>
    </w:p>
    <w:p>
      <w:pPr>
        <w:spacing w:after="0" w:line="117"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Established a new committee, the Health, Safety, Environmental and Sustainability (“HSES”) Committee, to assist the Board in its oversight of various HSES matters and facilitate the efforts of management to further strengthen our focus on sustainability and ESG matters;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Mandated that the members of all Board committees be independent; and</w:t>
      </w:r>
    </w:p>
    <w:p>
      <w:pPr>
        <w:spacing w:after="0" w:line="117"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Amended our governing documents to increase the number of directors subject to public election by adding the three directors who are current or former members of management (resulting in 10 of our 11 current director positions being subject to public election, with the only exception being our remaining designated director).</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i w:val="1"/>
          <w:iCs w:val="1"/>
          <w:color w:val="auto"/>
        </w:rPr>
        <w:t xml:space="preserve">General Overview and Board Makeup. </w:t>
      </w:r>
      <w:r>
        <w:rPr>
          <w:rFonts w:ascii="Arial" w:cs="Arial" w:eastAsia="Arial" w:hAnsi="Arial"/>
          <w:sz w:val="17"/>
          <w:szCs w:val="17"/>
          <w:color w:val="auto"/>
        </w:rPr>
        <w:t>Our Board has responsibility for managing the business and</w:t>
      </w:r>
      <w:r>
        <w:rPr>
          <w:rFonts w:ascii="Arial" w:cs="Arial" w:eastAsia="Arial" w:hAnsi="Arial"/>
          <w:sz w:val="17"/>
          <w:szCs w:val="17"/>
          <w:i w:val="1"/>
          <w:iCs w:val="1"/>
          <w:color w:val="auto"/>
        </w:rPr>
        <w:t xml:space="preserve"> </w:t>
      </w:r>
      <w:r>
        <w:rPr>
          <w:rFonts w:ascii="Arial" w:cs="Arial" w:eastAsia="Arial" w:hAnsi="Arial"/>
          <w:sz w:val="17"/>
          <w:szCs w:val="17"/>
          <w:color w:val="auto"/>
        </w:rPr>
        <w:t>affairs of PAGP, PAA and AAP. The Board currently has 11 members, including the CEO, who currently serves as Chairman of the Board. As contemplated by our governing documents, because the roles of CEO and Chairman of the Board are held by the same person, the Board has designated one of our independent directors (Bobby Shackouls) to serve as Lead Director. Our governing documents also require that at least a majority of directors must meet the independence requirements of the national securities exchange on which the securities of PAA and PAGP are listed (currently Nasdaq).</w:t>
      </w:r>
    </w:p>
    <w:p>
      <w:pPr>
        <w:spacing w:after="0" w:line="96"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The Board is divided into three staggered classes, as set forth below. 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55"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360" w:type="dxa"/>
            <w:vAlign w:val="bottom"/>
            <w:tcBorders>
              <w:left w:val="single" w:sz="8" w:color="434F69"/>
              <w:right w:val="single" w:sz="8" w:color="434F69"/>
            </w:tcBorders>
            <w:shd w:val="clear" w:color="auto" w:fill="434F69"/>
          </w:tcPr>
          <w:p>
            <w:pPr>
              <w:spacing w:after="0"/>
              <w:rPr>
                <w:sz w:val="20"/>
                <w:szCs w:val="20"/>
                <w:color w:val="auto"/>
              </w:rPr>
            </w:pPr>
          </w:p>
        </w:tc>
        <w:tc>
          <w:tcPr>
            <w:tcW w:w="880" w:type="dxa"/>
            <w:vAlign w:val="bottom"/>
            <w:tcBorders>
              <w:right w:val="single" w:sz="8" w:color="434F69"/>
            </w:tcBorders>
            <w:shd w:val="clear" w:color="auto" w:fill="434F69"/>
          </w:tcPr>
          <w:p>
            <w:pPr>
              <w:spacing w:after="0"/>
              <w:rPr>
                <w:sz w:val="20"/>
                <w:szCs w:val="20"/>
                <w:color w:val="auto"/>
              </w:rPr>
            </w:pPr>
          </w:p>
        </w:tc>
        <w:tc>
          <w:tcPr>
            <w:tcW w:w="800" w:type="dxa"/>
            <w:vAlign w:val="bottom"/>
            <w:tcBorders>
              <w:right w:val="single" w:sz="8" w:color="434F69"/>
            </w:tcBorders>
            <w:shd w:val="clear" w:color="auto" w:fill="434F69"/>
          </w:tcPr>
          <w:p>
            <w:pPr>
              <w:spacing w:after="0"/>
              <w:rPr>
                <w:sz w:val="20"/>
                <w:szCs w:val="20"/>
                <w:color w:val="auto"/>
              </w:rPr>
            </w:pPr>
          </w:p>
        </w:tc>
        <w:tc>
          <w:tcPr>
            <w:tcW w:w="1020" w:type="dxa"/>
            <w:vAlign w:val="bottom"/>
            <w:tcBorders>
              <w:right w:val="single" w:sz="8" w:color="434F69"/>
            </w:tcBorders>
            <w:shd w:val="clear" w:color="auto" w:fill="434F69"/>
          </w:tcPr>
          <w:p>
            <w:pPr>
              <w:spacing w:after="0"/>
              <w:rPr>
                <w:sz w:val="20"/>
                <w:szCs w:val="20"/>
                <w:color w:val="auto"/>
              </w:rPr>
            </w:pPr>
          </w:p>
        </w:tc>
        <w:tc>
          <w:tcPr>
            <w:tcW w:w="880" w:type="dxa"/>
            <w:vAlign w:val="bottom"/>
            <w:tcBorders>
              <w:right w:val="single" w:sz="8" w:color="434F69"/>
            </w:tcBorders>
            <w:shd w:val="clear" w:color="auto" w:fill="434F69"/>
          </w:tcPr>
          <w:p>
            <w:pPr>
              <w:spacing w:after="0"/>
              <w:rPr>
                <w:sz w:val="20"/>
                <w:szCs w:val="20"/>
                <w:color w:val="auto"/>
              </w:rPr>
            </w:pPr>
          </w:p>
        </w:tc>
        <w:tc>
          <w:tcPr>
            <w:tcW w:w="800" w:type="dxa"/>
            <w:vAlign w:val="bottom"/>
            <w:tcBorders>
              <w:right w:val="single" w:sz="8" w:color="434F69"/>
            </w:tcBorders>
            <w:shd w:val="clear" w:color="auto" w:fill="434F69"/>
          </w:tcPr>
          <w:p>
            <w:pPr>
              <w:spacing w:after="0"/>
              <w:rPr>
                <w:sz w:val="20"/>
                <w:szCs w:val="20"/>
                <w:color w:val="auto"/>
              </w:rPr>
            </w:pPr>
          </w:p>
        </w:tc>
        <w:tc>
          <w:tcPr>
            <w:tcW w:w="7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Chairman</w:t>
            </w:r>
          </w:p>
        </w:tc>
        <w:tc>
          <w:tcPr>
            <w:tcW w:w="700" w:type="dxa"/>
            <w:vAlign w:val="bottom"/>
            <w:tcBorders>
              <w:right w:val="single" w:sz="8" w:color="434F69"/>
            </w:tcBorders>
            <w:shd w:val="clear" w:color="auto" w:fill="434F69"/>
          </w:tcPr>
          <w:p>
            <w:pPr>
              <w:spacing w:after="0"/>
              <w:rPr>
                <w:sz w:val="20"/>
                <w:szCs w:val="20"/>
                <w:color w:val="auto"/>
              </w:rPr>
            </w:pPr>
          </w:p>
        </w:tc>
      </w:tr>
      <w:tr>
        <w:trPr>
          <w:trHeight w:val="162"/>
        </w:trPr>
        <w:tc>
          <w:tcPr>
            <w:tcW w:w="2360" w:type="dxa"/>
            <w:vAlign w:val="bottom"/>
            <w:tcBorders>
              <w:left w:val="single" w:sz="8" w:color="434F69"/>
              <w:right w:val="single" w:sz="8" w:color="434F69"/>
            </w:tcBorders>
            <w:shd w:val="clear" w:color="auto" w:fill="434F69"/>
          </w:tcPr>
          <w:p>
            <w:pPr>
              <w:spacing w:after="0"/>
              <w:rPr>
                <w:sz w:val="14"/>
                <w:szCs w:val="14"/>
                <w:color w:val="auto"/>
              </w:rPr>
            </w:pPr>
          </w:p>
        </w:tc>
        <w:tc>
          <w:tcPr>
            <w:tcW w:w="880" w:type="dxa"/>
            <w:vAlign w:val="bottom"/>
            <w:tcBorders>
              <w:right w:val="single" w:sz="8" w:color="434F69"/>
            </w:tcBorders>
            <w:shd w:val="clear" w:color="auto" w:fill="434F69"/>
          </w:tcPr>
          <w:p>
            <w:pPr>
              <w:spacing w:after="0"/>
              <w:rPr>
                <w:sz w:val="14"/>
                <w:szCs w:val="14"/>
                <w:color w:val="auto"/>
              </w:rPr>
            </w:pPr>
          </w:p>
        </w:tc>
        <w:tc>
          <w:tcPr>
            <w:tcW w:w="800" w:type="dxa"/>
            <w:vAlign w:val="bottom"/>
            <w:tcBorders>
              <w:right w:val="single" w:sz="8" w:color="434F69"/>
            </w:tcBorders>
            <w:shd w:val="clear" w:color="auto" w:fill="434F69"/>
          </w:tcPr>
          <w:p>
            <w:pPr>
              <w:ind w:left="200"/>
              <w:spacing w:after="0"/>
              <w:rPr>
                <w:sz w:val="20"/>
                <w:szCs w:val="20"/>
                <w:color w:val="auto"/>
              </w:rPr>
            </w:pPr>
            <w:r>
              <w:rPr>
                <w:rFonts w:ascii="Arial" w:cs="Arial" w:eastAsia="Arial" w:hAnsi="Arial"/>
                <w:sz w:val="14"/>
                <w:szCs w:val="14"/>
                <w:b w:val="1"/>
                <w:bCs w:val="1"/>
                <w:color w:val="FFFFFF"/>
              </w:rPr>
              <w:t>Audit</w:t>
            </w:r>
          </w:p>
        </w:tc>
        <w:tc>
          <w:tcPr>
            <w:tcW w:w="10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Compensation</w:t>
            </w:r>
          </w:p>
        </w:tc>
        <w:tc>
          <w:tcPr>
            <w:tcW w:w="880" w:type="dxa"/>
            <w:vAlign w:val="bottom"/>
            <w:tcBorders>
              <w:right w:val="single" w:sz="8" w:color="434F69"/>
            </w:tcBorders>
            <w:shd w:val="clear" w:color="auto" w:fill="434F69"/>
          </w:tcPr>
          <w:p>
            <w:pPr>
              <w:jc w:val="center"/>
              <w:ind w:right="8"/>
              <w:spacing w:after="0"/>
              <w:rPr>
                <w:sz w:val="20"/>
                <w:szCs w:val="20"/>
                <w:color w:val="auto"/>
              </w:rPr>
            </w:pPr>
            <w:r>
              <w:rPr>
                <w:rFonts w:ascii="Arial" w:cs="Arial" w:eastAsia="Arial" w:hAnsi="Arial"/>
                <w:sz w:val="14"/>
                <w:szCs w:val="14"/>
                <w:b w:val="1"/>
                <w:bCs w:val="1"/>
                <w:color w:val="FFFFFF"/>
                <w:w w:val="88"/>
              </w:rPr>
              <w:t>Governance</w:t>
            </w:r>
          </w:p>
        </w:tc>
        <w:tc>
          <w:tcPr>
            <w:tcW w:w="8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HSES</w:t>
            </w:r>
          </w:p>
        </w:tc>
        <w:tc>
          <w:tcPr>
            <w:tcW w:w="7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3"/>
              </w:rPr>
              <w:t>of the</w:t>
            </w:r>
          </w:p>
        </w:tc>
        <w:tc>
          <w:tcPr>
            <w:tcW w:w="700" w:type="dxa"/>
            <w:vAlign w:val="bottom"/>
            <w:tcBorders>
              <w:right w:val="single" w:sz="8" w:color="434F69"/>
            </w:tcBorders>
            <w:shd w:val="clear" w:color="auto" w:fill="434F69"/>
          </w:tcPr>
          <w:p>
            <w:pPr>
              <w:jc w:val="center"/>
              <w:ind w:right="48"/>
              <w:spacing w:after="0"/>
              <w:rPr>
                <w:sz w:val="20"/>
                <w:szCs w:val="20"/>
                <w:color w:val="auto"/>
              </w:rPr>
            </w:pPr>
            <w:r>
              <w:rPr>
                <w:rFonts w:ascii="Arial" w:cs="Arial" w:eastAsia="Arial" w:hAnsi="Arial"/>
                <w:sz w:val="14"/>
                <w:szCs w:val="14"/>
                <w:b w:val="1"/>
                <w:bCs w:val="1"/>
                <w:color w:val="FFFFFF"/>
                <w:w w:val="91"/>
              </w:rPr>
              <w:t>Lead</w:t>
            </w:r>
          </w:p>
        </w:tc>
      </w:tr>
      <w:tr>
        <w:trPr>
          <w:trHeight w:val="198"/>
        </w:trPr>
        <w:tc>
          <w:tcPr>
            <w:tcW w:w="2360" w:type="dxa"/>
            <w:vAlign w:val="bottom"/>
            <w:tcBorders>
              <w:left w:val="single" w:sz="8" w:color="434F69"/>
              <w:right w:val="single" w:sz="8" w:color="434F69"/>
            </w:tcBorders>
            <w:shd w:val="clear" w:color="auto" w:fill="434F69"/>
          </w:tcPr>
          <w:p>
            <w:pPr>
              <w:spacing w:after="0"/>
              <w:rPr>
                <w:sz w:val="17"/>
                <w:szCs w:val="17"/>
                <w:color w:val="auto"/>
              </w:rPr>
            </w:pPr>
          </w:p>
        </w:tc>
        <w:tc>
          <w:tcPr>
            <w:tcW w:w="1680" w:type="dxa"/>
            <w:vAlign w:val="bottom"/>
            <w:tcBorders>
              <w:right w:val="single" w:sz="8" w:color="434F69"/>
            </w:tcBorders>
            <w:gridSpan w:val="2"/>
            <w:shd w:val="clear" w:color="auto" w:fill="434F69"/>
          </w:tcPr>
          <w:p>
            <w:pPr>
              <w:ind w:left="40"/>
              <w:spacing w:after="0"/>
              <w:rPr>
                <w:sz w:val="20"/>
                <w:szCs w:val="20"/>
                <w:color w:val="auto"/>
              </w:rPr>
            </w:pPr>
            <w:r>
              <w:rPr>
                <w:rFonts w:ascii="Arial" w:cs="Arial" w:eastAsia="Arial" w:hAnsi="Arial"/>
                <w:sz w:val="14"/>
                <w:szCs w:val="14"/>
                <w:b w:val="1"/>
                <w:bCs w:val="1"/>
                <w:color w:val="FFFFFF"/>
                <w:w w:val="97"/>
              </w:rPr>
              <w:t>Independent  Committee</w:t>
            </w:r>
          </w:p>
        </w:tc>
        <w:tc>
          <w:tcPr>
            <w:tcW w:w="10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Committee</w:t>
            </w:r>
          </w:p>
        </w:tc>
        <w:tc>
          <w:tcPr>
            <w:tcW w:w="8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Committee</w:t>
            </w:r>
          </w:p>
        </w:tc>
        <w:tc>
          <w:tcPr>
            <w:tcW w:w="8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Committee</w:t>
            </w:r>
          </w:p>
        </w:tc>
        <w:tc>
          <w:tcPr>
            <w:tcW w:w="7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Board</w:t>
            </w:r>
          </w:p>
        </w:tc>
        <w:tc>
          <w:tcPr>
            <w:tcW w:w="700" w:type="dxa"/>
            <w:vAlign w:val="bottom"/>
            <w:tcBorders>
              <w:right w:val="single" w:sz="8" w:color="434F69"/>
            </w:tcBorders>
            <w:shd w:val="clear" w:color="auto" w:fill="434F69"/>
          </w:tcPr>
          <w:p>
            <w:pPr>
              <w:jc w:val="center"/>
              <w:ind w:right="8"/>
              <w:spacing w:after="0"/>
              <w:rPr>
                <w:sz w:val="20"/>
                <w:szCs w:val="20"/>
                <w:color w:val="auto"/>
              </w:rPr>
            </w:pPr>
            <w:r>
              <w:rPr>
                <w:rFonts w:ascii="Arial" w:cs="Arial" w:eastAsia="Arial" w:hAnsi="Arial"/>
                <w:sz w:val="14"/>
                <w:szCs w:val="14"/>
                <w:b w:val="1"/>
                <w:bCs w:val="1"/>
                <w:color w:val="FFFFFF"/>
                <w:w w:val="93"/>
              </w:rPr>
              <w:t>Director</w:t>
            </w:r>
          </w:p>
        </w:tc>
      </w:tr>
      <w:tr>
        <w:trPr>
          <w:trHeight w:val="242"/>
        </w:trPr>
        <w:tc>
          <w:tcPr>
            <w:tcW w:w="2360" w:type="dxa"/>
            <w:vAlign w:val="bottom"/>
            <w:tcBorders>
              <w:left w:val="single" w:sz="8" w:color="434F69"/>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rPr>
              <w:t>Class I Directors</w:t>
            </w:r>
          </w:p>
        </w:tc>
        <w:tc>
          <w:tcPr>
            <w:tcW w:w="880" w:type="dxa"/>
            <w:vAlign w:val="bottom"/>
            <w:tcBorders>
              <w:right w:val="single" w:sz="8" w:color="434F69"/>
            </w:tcBorders>
            <w:shd w:val="clear" w:color="auto" w:fill="D9DCE1"/>
          </w:tcPr>
          <w:p>
            <w:pPr>
              <w:spacing w:after="0"/>
              <w:rPr>
                <w:sz w:val="21"/>
                <w:szCs w:val="21"/>
                <w:color w:val="auto"/>
              </w:rPr>
            </w:pPr>
          </w:p>
        </w:tc>
        <w:tc>
          <w:tcPr>
            <w:tcW w:w="800" w:type="dxa"/>
            <w:vAlign w:val="bottom"/>
            <w:tcBorders>
              <w:right w:val="single" w:sz="8" w:color="434F69"/>
            </w:tcBorders>
            <w:shd w:val="clear" w:color="auto" w:fill="D9DCE1"/>
          </w:tcPr>
          <w:p>
            <w:pPr>
              <w:spacing w:after="0"/>
              <w:rPr>
                <w:sz w:val="21"/>
                <w:szCs w:val="21"/>
                <w:color w:val="auto"/>
              </w:rPr>
            </w:pPr>
          </w:p>
        </w:tc>
        <w:tc>
          <w:tcPr>
            <w:tcW w:w="1020" w:type="dxa"/>
            <w:vAlign w:val="bottom"/>
            <w:tcBorders>
              <w:right w:val="single" w:sz="8" w:color="434F69"/>
            </w:tcBorders>
            <w:shd w:val="clear" w:color="auto" w:fill="D9DCE1"/>
          </w:tcPr>
          <w:p>
            <w:pPr>
              <w:spacing w:after="0"/>
              <w:rPr>
                <w:sz w:val="21"/>
                <w:szCs w:val="21"/>
                <w:color w:val="auto"/>
              </w:rPr>
            </w:pPr>
          </w:p>
        </w:tc>
        <w:tc>
          <w:tcPr>
            <w:tcW w:w="880" w:type="dxa"/>
            <w:vAlign w:val="bottom"/>
            <w:tcBorders>
              <w:right w:val="single" w:sz="8" w:color="434F69"/>
            </w:tcBorders>
            <w:shd w:val="clear" w:color="auto" w:fill="D9DCE1"/>
          </w:tcPr>
          <w:p>
            <w:pPr>
              <w:spacing w:after="0"/>
              <w:rPr>
                <w:sz w:val="21"/>
                <w:szCs w:val="21"/>
                <w:color w:val="auto"/>
              </w:rPr>
            </w:pPr>
          </w:p>
        </w:tc>
        <w:tc>
          <w:tcPr>
            <w:tcW w:w="800" w:type="dxa"/>
            <w:vAlign w:val="bottom"/>
            <w:tcBorders>
              <w:right w:val="single" w:sz="8" w:color="434F69"/>
            </w:tcBorders>
            <w:shd w:val="clear" w:color="auto" w:fill="D9DCE1"/>
          </w:tcPr>
          <w:p>
            <w:pPr>
              <w:spacing w:after="0"/>
              <w:rPr>
                <w:sz w:val="21"/>
                <w:szCs w:val="21"/>
                <w:color w:val="auto"/>
              </w:rPr>
            </w:pPr>
          </w:p>
        </w:tc>
        <w:tc>
          <w:tcPr>
            <w:tcW w:w="780" w:type="dxa"/>
            <w:vAlign w:val="bottom"/>
            <w:tcBorders>
              <w:right w:val="single" w:sz="8" w:color="434F69"/>
            </w:tcBorders>
            <w:shd w:val="clear" w:color="auto" w:fill="D9DCE1"/>
          </w:tcPr>
          <w:p>
            <w:pPr>
              <w:spacing w:after="0"/>
              <w:rPr>
                <w:sz w:val="21"/>
                <w:szCs w:val="21"/>
                <w:color w:val="auto"/>
              </w:rPr>
            </w:pPr>
          </w:p>
        </w:tc>
        <w:tc>
          <w:tcPr>
            <w:tcW w:w="700" w:type="dxa"/>
            <w:vAlign w:val="bottom"/>
            <w:tcBorders>
              <w:right w:val="single" w:sz="8" w:color="434F69"/>
            </w:tcBorders>
            <w:shd w:val="clear" w:color="auto" w:fill="D9DCE1"/>
          </w:tcPr>
          <w:p>
            <w:pPr>
              <w:spacing w:after="0"/>
              <w:rPr>
                <w:sz w:val="21"/>
                <w:szCs w:val="21"/>
                <w:color w:val="auto"/>
              </w:rPr>
            </w:pPr>
          </w:p>
        </w:tc>
      </w:tr>
      <w:tr>
        <w:trPr>
          <w:trHeight w:val="230"/>
        </w:trPr>
        <w:tc>
          <w:tcPr>
            <w:tcW w:w="2360" w:type="dxa"/>
            <w:vAlign w:val="bottom"/>
            <w:tcBorders>
              <w:left w:val="single" w:sz="8" w:color="434F69"/>
              <w:bottom w:val="single" w:sz="8" w:color="434F69"/>
              <w:right w:val="single" w:sz="8" w:color="434F69"/>
            </w:tcBorders>
            <w:shd w:val="clear" w:color="auto" w:fill="D9DCE1"/>
          </w:tcPr>
          <w:p>
            <w:pPr>
              <w:ind w:left="260"/>
              <w:spacing w:after="0"/>
              <w:rPr>
                <w:sz w:val="20"/>
                <w:szCs w:val="20"/>
                <w:color w:val="auto"/>
              </w:rPr>
            </w:pPr>
            <w:r>
              <w:rPr>
                <w:rFonts w:ascii="Arial" w:cs="Arial" w:eastAsia="Arial" w:hAnsi="Arial"/>
                <w:sz w:val="18"/>
                <w:szCs w:val="18"/>
                <w:color w:val="auto"/>
              </w:rPr>
              <w:t>(Term expires 2023)</w:t>
            </w:r>
          </w:p>
        </w:tc>
        <w:tc>
          <w:tcPr>
            <w:tcW w:w="880" w:type="dxa"/>
            <w:vAlign w:val="bottom"/>
            <w:tcBorders>
              <w:bottom w:val="single" w:sz="8" w:color="434F69"/>
              <w:right w:val="single" w:sz="8" w:color="434F69"/>
            </w:tcBorders>
            <w:shd w:val="clear" w:color="auto" w:fill="D9DCE1"/>
          </w:tcPr>
          <w:p>
            <w:pPr>
              <w:spacing w:after="0"/>
              <w:rPr>
                <w:sz w:val="20"/>
                <w:szCs w:val="20"/>
                <w:color w:val="auto"/>
              </w:rPr>
            </w:pPr>
          </w:p>
        </w:tc>
        <w:tc>
          <w:tcPr>
            <w:tcW w:w="800" w:type="dxa"/>
            <w:vAlign w:val="bottom"/>
            <w:tcBorders>
              <w:bottom w:val="single" w:sz="8" w:color="434F69"/>
              <w:right w:val="single" w:sz="8" w:color="434F69"/>
            </w:tcBorders>
            <w:shd w:val="clear" w:color="auto" w:fill="D9DCE1"/>
          </w:tcPr>
          <w:p>
            <w:pPr>
              <w:spacing w:after="0"/>
              <w:rPr>
                <w:sz w:val="20"/>
                <w:szCs w:val="20"/>
                <w:color w:val="auto"/>
              </w:rPr>
            </w:pPr>
          </w:p>
        </w:tc>
        <w:tc>
          <w:tcPr>
            <w:tcW w:w="1020" w:type="dxa"/>
            <w:vAlign w:val="bottom"/>
            <w:tcBorders>
              <w:bottom w:val="single" w:sz="8" w:color="434F69"/>
              <w:right w:val="single" w:sz="8" w:color="434F69"/>
            </w:tcBorders>
            <w:shd w:val="clear" w:color="auto" w:fill="D9DCE1"/>
          </w:tcPr>
          <w:p>
            <w:pPr>
              <w:spacing w:after="0"/>
              <w:rPr>
                <w:sz w:val="20"/>
                <w:szCs w:val="20"/>
                <w:color w:val="auto"/>
              </w:rPr>
            </w:pPr>
          </w:p>
        </w:tc>
        <w:tc>
          <w:tcPr>
            <w:tcW w:w="880" w:type="dxa"/>
            <w:vAlign w:val="bottom"/>
            <w:tcBorders>
              <w:bottom w:val="single" w:sz="8" w:color="434F69"/>
              <w:right w:val="single" w:sz="8" w:color="434F69"/>
            </w:tcBorders>
            <w:shd w:val="clear" w:color="auto" w:fill="D9DCE1"/>
          </w:tcPr>
          <w:p>
            <w:pPr>
              <w:spacing w:after="0"/>
              <w:rPr>
                <w:sz w:val="20"/>
                <w:szCs w:val="20"/>
                <w:color w:val="auto"/>
              </w:rPr>
            </w:pPr>
          </w:p>
        </w:tc>
        <w:tc>
          <w:tcPr>
            <w:tcW w:w="800" w:type="dxa"/>
            <w:vAlign w:val="bottom"/>
            <w:tcBorders>
              <w:bottom w:val="single" w:sz="8" w:color="434F69"/>
              <w:right w:val="single" w:sz="8" w:color="434F69"/>
            </w:tcBorders>
            <w:shd w:val="clear" w:color="auto" w:fill="D9DCE1"/>
          </w:tcPr>
          <w:p>
            <w:pPr>
              <w:spacing w:after="0"/>
              <w:rPr>
                <w:sz w:val="20"/>
                <w:szCs w:val="20"/>
                <w:color w:val="auto"/>
              </w:rPr>
            </w:pPr>
          </w:p>
        </w:tc>
        <w:tc>
          <w:tcPr>
            <w:tcW w:w="780" w:type="dxa"/>
            <w:vAlign w:val="bottom"/>
            <w:tcBorders>
              <w:bottom w:val="single" w:sz="8" w:color="434F69"/>
              <w:right w:val="single" w:sz="8" w:color="434F69"/>
            </w:tcBorders>
            <w:shd w:val="clear" w:color="auto" w:fill="D9DCE1"/>
          </w:tcPr>
          <w:p>
            <w:pPr>
              <w:spacing w:after="0"/>
              <w:rPr>
                <w:sz w:val="20"/>
                <w:szCs w:val="20"/>
                <w:color w:val="auto"/>
              </w:rPr>
            </w:pPr>
          </w:p>
        </w:tc>
        <w:tc>
          <w:tcPr>
            <w:tcW w:w="700" w:type="dxa"/>
            <w:vAlign w:val="bottom"/>
            <w:tcBorders>
              <w:bottom w:val="single" w:sz="8" w:color="434F69"/>
              <w:right w:val="single" w:sz="8" w:color="434F69"/>
            </w:tcBorders>
            <w:shd w:val="clear" w:color="auto" w:fill="D9DCE1"/>
          </w:tcPr>
          <w:p>
            <w:pPr>
              <w:spacing w:after="0"/>
              <w:rPr>
                <w:sz w:val="20"/>
                <w:szCs w:val="20"/>
                <w:color w:val="auto"/>
              </w:rPr>
            </w:pPr>
          </w:p>
        </w:tc>
      </w:tr>
      <w:tr>
        <w:trPr>
          <w:trHeight w:val="236"/>
        </w:trPr>
        <w:tc>
          <w:tcPr>
            <w:tcW w:w="2360" w:type="dxa"/>
            <w:vAlign w:val="bottom"/>
            <w:tcBorders>
              <w:left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Willie Chiang, Chairman</w:t>
            </w:r>
          </w:p>
        </w:tc>
        <w:tc>
          <w:tcPr>
            <w:tcW w:w="880" w:type="dxa"/>
            <w:vAlign w:val="bottom"/>
            <w:tcBorders>
              <w:right w:val="single" w:sz="8" w:color="434F69"/>
            </w:tcBorders>
          </w:tcPr>
          <w:p>
            <w:pPr>
              <w:spacing w:after="0"/>
              <w:rPr>
                <w:sz w:val="20"/>
                <w:szCs w:val="20"/>
                <w:color w:val="auto"/>
              </w:rPr>
            </w:pPr>
          </w:p>
        </w:tc>
        <w:tc>
          <w:tcPr>
            <w:tcW w:w="800" w:type="dxa"/>
            <w:vAlign w:val="bottom"/>
            <w:tcBorders>
              <w:right w:val="single" w:sz="8" w:color="434F69"/>
            </w:tcBorders>
          </w:tcPr>
          <w:p>
            <w:pPr>
              <w:spacing w:after="0"/>
              <w:rPr>
                <w:sz w:val="20"/>
                <w:szCs w:val="20"/>
                <w:color w:val="auto"/>
              </w:rPr>
            </w:pPr>
          </w:p>
        </w:tc>
        <w:tc>
          <w:tcPr>
            <w:tcW w:w="1020" w:type="dxa"/>
            <w:vAlign w:val="bottom"/>
            <w:tcBorders>
              <w:right w:val="single" w:sz="8" w:color="434F69"/>
            </w:tcBorders>
          </w:tcPr>
          <w:p>
            <w:pPr>
              <w:spacing w:after="0"/>
              <w:rPr>
                <w:sz w:val="20"/>
                <w:szCs w:val="20"/>
                <w:color w:val="auto"/>
              </w:rPr>
            </w:pPr>
          </w:p>
        </w:tc>
        <w:tc>
          <w:tcPr>
            <w:tcW w:w="880" w:type="dxa"/>
            <w:vAlign w:val="bottom"/>
            <w:tcBorders>
              <w:right w:val="single" w:sz="8" w:color="434F69"/>
            </w:tcBorders>
          </w:tcPr>
          <w:p>
            <w:pPr>
              <w:spacing w:after="0"/>
              <w:rPr>
                <w:sz w:val="20"/>
                <w:szCs w:val="20"/>
                <w:color w:val="auto"/>
              </w:rPr>
            </w:pPr>
          </w:p>
        </w:tc>
        <w:tc>
          <w:tcPr>
            <w:tcW w:w="800" w:type="dxa"/>
            <w:vAlign w:val="bottom"/>
            <w:tcBorders>
              <w:right w:val="single" w:sz="8" w:color="434F69"/>
            </w:tcBorders>
          </w:tcPr>
          <w:p>
            <w:pPr>
              <w:spacing w:after="0"/>
              <w:rPr>
                <w:sz w:val="20"/>
                <w:szCs w:val="20"/>
                <w:color w:val="auto"/>
              </w:rPr>
            </w:pPr>
          </w:p>
        </w:tc>
        <w:tc>
          <w:tcPr>
            <w:tcW w:w="780" w:type="dxa"/>
            <w:vAlign w:val="bottom"/>
            <w:tcBorders>
              <w:right w:val="single" w:sz="8" w:color="434F69"/>
            </w:tcBorders>
          </w:tcPr>
          <w:p>
            <w:pPr>
              <w:spacing w:after="0"/>
              <w:rPr>
                <w:sz w:val="20"/>
                <w:szCs w:val="20"/>
                <w:color w:val="auto"/>
              </w:rPr>
            </w:pPr>
          </w:p>
        </w:tc>
        <w:tc>
          <w:tcPr>
            <w:tcW w:w="700" w:type="dxa"/>
            <w:vAlign w:val="bottom"/>
            <w:tcBorders>
              <w:right w:val="single" w:sz="8" w:color="434F69"/>
            </w:tcBorders>
          </w:tcPr>
          <w:p>
            <w:pPr>
              <w:spacing w:after="0"/>
              <w:rPr>
                <w:sz w:val="20"/>
                <w:szCs w:val="20"/>
                <w:color w:val="auto"/>
              </w:rPr>
            </w:pPr>
          </w:p>
        </w:tc>
      </w:tr>
      <w:tr>
        <w:trPr>
          <w:trHeight w:val="230"/>
        </w:trPr>
        <w:tc>
          <w:tcPr>
            <w:tcW w:w="2360" w:type="dxa"/>
            <w:vAlign w:val="bottom"/>
            <w:tcBorders>
              <w:left w:val="single" w:sz="8" w:color="434F69"/>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of the Board and CEO</w:t>
            </w:r>
          </w:p>
        </w:tc>
        <w:tc>
          <w:tcPr>
            <w:tcW w:w="88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1020" w:type="dxa"/>
            <w:vAlign w:val="bottom"/>
            <w:tcBorders>
              <w:bottom w:val="single" w:sz="8" w:color="434F69"/>
              <w:right w:val="single" w:sz="8" w:color="434F69"/>
            </w:tcBorders>
          </w:tcPr>
          <w:p>
            <w:pPr>
              <w:spacing w:after="0"/>
              <w:rPr>
                <w:sz w:val="20"/>
                <w:szCs w:val="20"/>
                <w:color w:val="auto"/>
              </w:rPr>
            </w:pPr>
          </w:p>
        </w:tc>
        <w:tc>
          <w:tcPr>
            <w:tcW w:w="88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780" w:type="dxa"/>
            <w:vAlign w:val="bottom"/>
            <w:tcBorders>
              <w:bottom w:val="single" w:sz="8" w:color="434F69"/>
              <w:right w:val="single" w:sz="8" w:color="434F69"/>
            </w:tcBorders>
          </w:tcPr>
          <w:p>
            <w:pPr>
              <w:spacing w:after="0"/>
              <w:rPr>
                <w:sz w:val="20"/>
                <w:szCs w:val="20"/>
                <w:color w:val="auto"/>
              </w:rPr>
            </w:pPr>
          </w:p>
        </w:tc>
        <w:tc>
          <w:tcPr>
            <w:tcW w:w="700" w:type="dxa"/>
            <w:vAlign w:val="bottom"/>
            <w:tcBorders>
              <w:bottom w:val="single" w:sz="8" w:color="434F69"/>
              <w:right w:val="single" w:sz="8" w:color="434F69"/>
            </w:tcBorders>
          </w:tcPr>
          <w:p>
            <w:pPr>
              <w:spacing w:after="0"/>
              <w:rPr>
                <w:sz w:val="20"/>
                <w:szCs w:val="20"/>
                <w:color w:val="auto"/>
              </w:rPr>
            </w:pPr>
          </w:p>
        </w:tc>
      </w:tr>
      <w:tr>
        <w:trPr>
          <w:trHeight w:val="291"/>
        </w:trPr>
        <w:tc>
          <w:tcPr>
            <w:tcW w:w="2360" w:type="dxa"/>
            <w:vAlign w:val="bottom"/>
            <w:tcBorders>
              <w:left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Alexandra D. Pruner</w:t>
            </w: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1020" w:type="dxa"/>
            <w:vAlign w:val="bottom"/>
            <w:tcBorders>
              <w:right w:val="single" w:sz="8" w:color="434F69"/>
            </w:tcBorders>
          </w:tcPr>
          <w:p>
            <w:pPr>
              <w:spacing w:after="0"/>
              <w:rPr>
                <w:sz w:val="24"/>
                <w:szCs w:val="24"/>
                <w:color w:val="auto"/>
              </w:rPr>
            </w:pP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780" w:type="dxa"/>
            <w:vAlign w:val="bottom"/>
            <w:tcBorders>
              <w:right w:val="single" w:sz="8" w:color="434F69"/>
            </w:tcBorders>
          </w:tcPr>
          <w:p>
            <w:pPr>
              <w:spacing w:after="0"/>
              <w:rPr>
                <w:sz w:val="24"/>
                <w:szCs w:val="24"/>
                <w:color w:val="auto"/>
              </w:rPr>
            </w:pPr>
          </w:p>
        </w:tc>
        <w:tc>
          <w:tcPr>
            <w:tcW w:w="700" w:type="dxa"/>
            <w:vAlign w:val="bottom"/>
            <w:tcBorders>
              <w:right w:val="single" w:sz="8" w:color="434F69"/>
            </w:tcBorders>
          </w:tcPr>
          <w:p>
            <w:pPr>
              <w:spacing w:after="0"/>
              <w:rPr>
                <w:sz w:val="24"/>
                <w:szCs w:val="24"/>
                <w:color w:val="auto"/>
              </w:rPr>
            </w:pPr>
          </w:p>
        </w:tc>
      </w:tr>
      <w:tr>
        <w:trPr>
          <w:trHeight w:val="54"/>
        </w:trPr>
        <w:tc>
          <w:tcPr>
            <w:tcW w:w="2360" w:type="dxa"/>
            <w:vAlign w:val="bottom"/>
            <w:tcBorders>
              <w:left w:val="single" w:sz="8" w:color="434F69"/>
              <w:bottom w:val="single" w:sz="8" w:color="434F69"/>
              <w:right w:val="single" w:sz="8" w:color="434F69"/>
            </w:tcBorders>
          </w:tcPr>
          <w:p>
            <w:pPr>
              <w:spacing w:after="0"/>
              <w:rPr>
                <w:sz w:val="4"/>
                <w:szCs w:val="4"/>
                <w:color w:val="auto"/>
              </w:rPr>
            </w:pPr>
          </w:p>
        </w:tc>
        <w:tc>
          <w:tcPr>
            <w:tcW w:w="880" w:type="dxa"/>
            <w:vAlign w:val="bottom"/>
            <w:tcBorders>
              <w:bottom w:val="single" w:sz="8" w:color="434F69"/>
              <w:right w:val="single" w:sz="8" w:color="434F69"/>
            </w:tcBorders>
          </w:tcPr>
          <w:p>
            <w:pPr>
              <w:spacing w:after="0"/>
              <w:rPr>
                <w:sz w:val="4"/>
                <w:szCs w:val="4"/>
                <w:color w:val="auto"/>
              </w:rPr>
            </w:pPr>
          </w:p>
        </w:tc>
        <w:tc>
          <w:tcPr>
            <w:tcW w:w="800" w:type="dxa"/>
            <w:vAlign w:val="bottom"/>
            <w:tcBorders>
              <w:bottom w:val="single" w:sz="8" w:color="434F69"/>
              <w:right w:val="single" w:sz="8" w:color="434F69"/>
            </w:tcBorders>
          </w:tcPr>
          <w:p>
            <w:pPr>
              <w:spacing w:after="0"/>
              <w:rPr>
                <w:sz w:val="4"/>
                <w:szCs w:val="4"/>
                <w:color w:val="auto"/>
              </w:rPr>
            </w:pPr>
          </w:p>
        </w:tc>
        <w:tc>
          <w:tcPr>
            <w:tcW w:w="1020" w:type="dxa"/>
            <w:vAlign w:val="bottom"/>
            <w:tcBorders>
              <w:bottom w:val="single" w:sz="8" w:color="434F69"/>
              <w:right w:val="single" w:sz="8" w:color="434F69"/>
            </w:tcBorders>
          </w:tcPr>
          <w:p>
            <w:pPr>
              <w:spacing w:after="0"/>
              <w:rPr>
                <w:sz w:val="4"/>
                <w:szCs w:val="4"/>
                <w:color w:val="auto"/>
              </w:rPr>
            </w:pPr>
          </w:p>
        </w:tc>
        <w:tc>
          <w:tcPr>
            <w:tcW w:w="880" w:type="dxa"/>
            <w:vAlign w:val="bottom"/>
            <w:tcBorders>
              <w:bottom w:val="single" w:sz="8" w:color="434F69"/>
              <w:right w:val="single" w:sz="8" w:color="434F69"/>
            </w:tcBorders>
          </w:tcPr>
          <w:p>
            <w:pPr>
              <w:spacing w:after="0"/>
              <w:rPr>
                <w:sz w:val="4"/>
                <w:szCs w:val="4"/>
                <w:color w:val="auto"/>
              </w:rPr>
            </w:pPr>
          </w:p>
        </w:tc>
        <w:tc>
          <w:tcPr>
            <w:tcW w:w="800" w:type="dxa"/>
            <w:vAlign w:val="bottom"/>
            <w:tcBorders>
              <w:bottom w:val="single" w:sz="8" w:color="434F69"/>
              <w:right w:val="single" w:sz="8" w:color="434F69"/>
            </w:tcBorders>
          </w:tcPr>
          <w:p>
            <w:pPr>
              <w:spacing w:after="0"/>
              <w:rPr>
                <w:sz w:val="4"/>
                <w:szCs w:val="4"/>
                <w:color w:val="auto"/>
              </w:rPr>
            </w:pPr>
          </w:p>
        </w:tc>
        <w:tc>
          <w:tcPr>
            <w:tcW w:w="780" w:type="dxa"/>
            <w:vAlign w:val="bottom"/>
            <w:tcBorders>
              <w:bottom w:val="single" w:sz="8" w:color="434F69"/>
              <w:right w:val="single" w:sz="8" w:color="434F69"/>
            </w:tcBorders>
          </w:tcPr>
          <w:p>
            <w:pPr>
              <w:spacing w:after="0"/>
              <w:rPr>
                <w:sz w:val="4"/>
                <w:szCs w:val="4"/>
                <w:color w:val="auto"/>
              </w:rPr>
            </w:pPr>
          </w:p>
        </w:tc>
        <w:tc>
          <w:tcPr>
            <w:tcW w:w="700" w:type="dxa"/>
            <w:vAlign w:val="bottom"/>
            <w:tcBorders>
              <w:bottom w:val="single" w:sz="8" w:color="434F69"/>
              <w:right w:val="single" w:sz="8" w:color="434F69"/>
            </w:tcBorders>
          </w:tcPr>
          <w:p>
            <w:pPr>
              <w:spacing w:after="0"/>
              <w:rPr>
                <w:sz w:val="4"/>
                <w:szCs w:val="4"/>
                <w:color w:val="auto"/>
              </w:rPr>
            </w:pPr>
          </w:p>
        </w:tc>
      </w:tr>
      <w:tr>
        <w:trPr>
          <w:trHeight w:val="291"/>
        </w:trPr>
        <w:tc>
          <w:tcPr>
            <w:tcW w:w="2360" w:type="dxa"/>
            <w:vAlign w:val="bottom"/>
            <w:tcBorders>
              <w:left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Lawrence M. Ziemba</w:t>
            </w: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1020" w:type="dxa"/>
            <w:vAlign w:val="bottom"/>
            <w:tcBorders>
              <w:right w:val="single" w:sz="8" w:color="434F69"/>
            </w:tcBorders>
          </w:tcPr>
          <w:p>
            <w:pPr>
              <w:spacing w:after="0"/>
              <w:rPr>
                <w:sz w:val="24"/>
                <w:szCs w:val="24"/>
                <w:color w:val="auto"/>
              </w:rPr>
            </w:pP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780" w:type="dxa"/>
            <w:vAlign w:val="bottom"/>
            <w:tcBorders>
              <w:right w:val="single" w:sz="8" w:color="434F69"/>
            </w:tcBorders>
          </w:tcPr>
          <w:p>
            <w:pPr>
              <w:spacing w:after="0"/>
              <w:rPr>
                <w:sz w:val="24"/>
                <w:szCs w:val="24"/>
                <w:color w:val="auto"/>
              </w:rPr>
            </w:pPr>
          </w:p>
        </w:tc>
        <w:tc>
          <w:tcPr>
            <w:tcW w:w="700" w:type="dxa"/>
            <w:vAlign w:val="bottom"/>
            <w:tcBorders>
              <w:right w:val="single" w:sz="8" w:color="434F69"/>
            </w:tcBorders>
          </w:tcPr>
          <w:p>
            <w:pPr>
              <w:spacing w:after="0"/>
              <w:rPr>
                <w:sz w:val="24"/>
                <w:szCs w:val="24"/>
                <w:color w:val="auto"/>
              </w:rPr>
            </w:pPr>
          </w:p>
        </w:tc>
      </w:tr>
      <w:tr>
        <w:trPr>
          <w:trHeight w:val="54"/>
        </w:trPr>
        <w:tc>
          <w:tcPr>
            <w:tcW w:w="2360" w:type="dxa"/>
            <w:vAlign w:val="bottom"/>
            <w:tcBorders>
              <w:left w:val="single" w:sz="8" w:color="434F69"/>
              <w:bottom w:val="single" w:sz="8" w:color="434F69"/>
              <w:right w:val="single" w:sz="8" w:color="434F69"/>
            </w:tcBorders>
          </w:tcPr>
          <w:p>
            <w:pPr>
              <w:spacing w:after="0"/>
              <w:rPr>
                <w:sz w:val="4"/>
                <w:szCs w:val="4"/>
                <w:color w:val="auto"/>
              </w:rPr>
            </w:pPr>
          </w:p>
        </w:tc>
        <w:tc>
          <w:tcPr>
            <w:tcW w:w="880" w:type="dxa"/>
            <w:vAlign w:val="bottom"/>
            <w:tcBorders>
              <w:bottom w:val="single" w:sz="8" w:color="434F69"/>
              <w:right w:val="single" w:sz="8" w:color="434F69"/>
            </w:tcBorders>
          </w:tcPr>
          <w:p>
            <w:pPr>
              <w:spacing w:after="0"/>
              <w:rPr>
                <w:sz w:val="4"/>
                <w:szCs w:val="4"/>
                <w:color w:val="auto"/>
              </w:rPr>
            </w:pPr>
          </w:p>
        </w:tc>
        <w:tc>
          <w:tcPr>
            <w:tcW w:w="800" w:type="dxa"/>
            <w:vAlign w:val="bottom"/>
            <w:tcBorders>
              <w:bottom w:val="single" w:sz="8" w:color="434F69"/>
              <w:right w:val="single" w:sz="8" w:color="434F69"/>
            </w:tcBorders>
          </w:tcPr>
          <w:p>
            <w:pPr>
              <w:spacing w:after="0"/>
              <w:rPr>
                <w:sz w:val="4"/>
                <w:szCs w:val="4"/>
                <w:color w:val="auto"/>
              </w:rPr>
            </w:pPr>
          </w:p>
        </w:tc>
        <w:tc>
          <w:tcPr>
            <w:tcW w:w="1020" w:type="dxa"/>
            <w:vAlign w:val="bottom"/>
            <w:tcBorders>
              <w:bottom w:val="single" w:sz="8" w:color="434F69"/>
              <w:right w:val="single" w:sz="8" w:color="434F69"/>
            </w:tcBorders>
          </w:tcPr>
          <w:p>
            <w:pPr>
              <w:spacing w:after="0"/>
              <w:rPr>
                <w:sz w:val="4"/>
                <w:szCs w:val="4"/>
                <w:color w:val="auto"/>
              </w:rPr>
            </w:pPr>
          </w:p>
        </w:tc>
        <w:tc>
          <w:tcPr>
            <w:tcW w:w="880" w:type="dxa"/>
            <w:vAlign w:val="bottom"/>
            <w:tcBorders>
              <w:bottom w:val="single" w:sz="8" w:color="434F69"/>
              <w:right w:val="single" w:sz="8" w:color="434F69"/>
            </w:tcBorders>
          </w:tcPr>
          <w:p>
            <w:pPr>
              <w:spacing w:after="0"/>
              <w:rPr>
                <w:sz w:val="4"/>
                <w:szCs w:val="4"/>
                <w:color w:val="auto"/>
              </w:rPr>
            </w:pPr>
          </w:p>
        </w:tc>
        <w:tc>
          <w:tcPr>
            <w:tcW w:w="800" w:type="dxa"/>
            <w:vAlign w:val="bottom"/>
            <w:tcBorders>
              <w:bottom w:val="single" w:sz="8" w:color="434F69"/>
              <w:right w:val="single" w:sz="8" w:color="434F69"/>
            </w:tcBorders>
          </w:tcPr>
          <w:p>
            <w:pPr>
              <w:spacing w:after="0"/>
              <w:rPr>
                <w:sz w:val="4"/>
                <w:szCs w:val="4"/>
                <w:color w:val="auto"/>
              </w:rPr>
            </w:pPr>
          </w:p>
        </w:tc>
        <w:tc>
          <w:tcPr>
            <w:tcW w:w="780" w:type="dxa"/>
            <w:vAlign w:val="bottom"/>
            <w:tcBorders>
              <w:bottom w:val="single" w:sz="8" w:color="434F69"/>
              <w:right w:val="single" w:sz="8" w:color="434F69"/>
            </w:tcBorders>
          </w:tcPr>
          <w:p>
            <w:pPr>
              <w:spacing w:after="0"/>
              <w:rPr>
                <w:sz w:val="4"/>
                <w:szCs w:val="4"/>
                <w:color w:val="auto"/>
              </w:rPr>
            </w:pPr>
          </w:p>
        </w:tc>
        <w:tc>
          <w:tcPr>
            <w:tcW w:w="700" w:type="dxa"/>
            <w:vAlign w:val="bottom"/>
            <w:tcBorders>
              <w:bottom w:val="single" w:sz="8" w:color="434F69"/>
              <w:right w:val="single" w:sz="8" w:color="434F69"/>
            </w:tcBorders>
          </w:tcPr>
          <w:p>
            <w:pPr>
              <w:spacing w:after="0"/>
              <w:rPr>
                <w:sz w:val="4"/>
                <w:szCs w:val="4"/>
                <w:color w:val="auto"/>
              </w:rPr>
            </w:pPr>
          </w:p>
        </w:tc>
      </w:tr>
      <w:tr>
        <w:trPr>
          <w:trHeight w:val="236"/>
        </w:trPr>
        <w:tc>
          <w:tcPr>
            <w:tcW w:w="2360" w:type="dxa"/>
            <w:vAlign w:val="bottom"/>
            <w:tcBorders>
              <w:left w:val="single" w:sz="8" w:color="434F69"/>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rPr>
              <w:t>Class II Directors</w:t>
            </w:r>
          </w:p>
        </w:tc>
        <w:tc>
          <w:tcPr>
            <w:tcW w:w="880" w:type="dxa"/>
            <w:vAlign w:val="bottom"/>
            <w:tcBorders>
              <w:right w:val="single" w:sz="8" w:color="434F69"/>
            </w:tcBorders>
            <w:shd w:val="clear" w:color="auto" w:fill="D9DCE1"/>
          </w:tcPr>
          <w:p>
            <w:pPr>
              <w:spacing w:after="0"/>
              <w:rPr>
                <w:sz w:val="20"/>
                <w:szCs w:val="20"/>
                <w:color w:val="auto"/>
              </w:rPr>
            </w:pPr>
          </w:p>
        </w:tc>
        <w:tc>
          <w:tcPr>
            <w:tcW w:w="800" w:type="dxa"/>
            <w:vAlign w:val="bottom"/>
            <w:tcBorders>
              <w:right w:val="single" w:sz="8" w:color="434F69"/>
            </w:tcBorders>
            <w:shd w:val="clear" w:color="auto" w:fill="D9DCE1"/>
          </w:tcPr>
          <w:p>
            <w:pPr>
              <w:spacing w:after="0"/>
              <w:rPr>
                <w:sz w:val="20"/>
                <w:szCs w:val="20"/>
                <w:color w:val="auto"/>
              </w:rPr>
            </w:pPr>
          </w:p>
        </w:tc>
        <w:tc>
          <w:tcPr>
            <w:tcW w:w="1020" w:type="dxa"/>
            <w:vAlign w:val="bottom"/>
            <w:tcBorders>
              <w:right w:val="single" w:sz="8" w:color="434F69"/>
            </w:tcBorders>
            <w:shd w:val="clear" w:color="auto" w:fill="D9DCE1"/>
          </w:tcPr>
          <w:p>
            <w:pPr>
              <w:spacing w:after="0"/>
              <w:rPr>
                <w:sz w:val="20"/>
                <w:szCs w:val="20"/>
                <w:color w:val="auto"/>
              </w:rPr>
            </w:pPr>
          </w:p>
        </w:tc>
        <w:tc>
          <w:tcPr>
            <w:tcW w:w="880" w:type="dxa"/>
            <w:vAlign w:val="bottom"/>
            <w:tcBorders>
              <w:right w:val="single" w:sz="8" w:color="434F69"/>
            </w:tcBorders>
            <w:shd w:val="clear" w:color="auto" w:fill="D9DCE1"/>
          </w:tcPr>
          <w:p>
            <w:pPr>
              <w:spacing w:after="0"/>
              <w:rPr>
                <w:sz w:val="20"/>
                <w:szCs w:val="20"/>
                <w:color w:val="auto"/>
              </w:rPr>
            </w:pPr>
          </w:p>
        </w:tc>
        <w:tc>
          <w:tcPr>
            <w:tcW w:w="800" w:type="dxa"/>
            <w:vAlign w:val="bottom"/>
            <w:tcBorders>
              <w:right w:val="single" w:sz="8" w:color="434F69"/>
            </w:tcBorders>
            <w:shd w:val="clear" w:color="auto" w:fill="D9DCE1"/>
          </w:tcPr>
          <w:p>
            <w:pPr>
              <w:spacing w:after="0"/>
              <w:rPr>
                <w:sz w:val="20"/>
                <w:szCs w:val="20"/>
                <w:color w:val="auto"/>
              </w:rPr>
            </w:pPr>
          </w:p>
        </w:tc>
        <w:tc>
          <w:tcPr>
            <w:tcW w:w="780" w:type="dxa"/>
            <w:vAlign w:val="bottom"/>
            <w:tcBorders>
              <w:right w:val="single" w:sz="8" w:color="434F69"/>
            </w:tcBorders>
            <w:shd w:val="clear" w:color="auto" w:fill="D9DCE1"/>
          </w:tcPr>
          <w:p>
            <w:pPr>
              <w:spacing w:after="0"/>
              <w:rPr>
                <w:sz w:val="20"/>
                <w:szCs w:val="20"/>
                <w:color w:val="auto"/>
              </w:rPr>
            </w:pPr>
          </w:p>
        </w:tc>
        <w:tc>
          <w:tcPr>
            <w:tcW w:w="700" w:type="dxa"/>
            <w:vAlign w:val="bottom"/>
            <w:tcBorders>
              <w:right w:val="single" w:sz="8" w:color="434F69"/>
            </w:tcBorders>
            <w:shd w:val="clear" w:color="auto" w:fill="D9DCE1"/>
          </w:tcPr>
          <w:p>
            <w:pPr>
              <w:spacing w:after="0"/>
              <w:rPr>
                <w:sz w:val="20"/>
                <w:szCs w:val="20"/>
                <w:color w:val="auto"/>
              </w:rPr>
            </w:pPr>
          </w:p>
        </w:tc>
      </w:tr>
      <w:tr>
        <w:trPr>
          <w:trHeight w:val="230"/>
        </w:trPr>
        <w:tc>
          <w:tcPr>
            <w:tcW w:w="2360" w:type="dxa"/>
            <w:vAlign w:val="bottom"/>
            <w:tcBorders>
              <w:left w:val="single" w:sz="8" w:color="434F69"/>
              <w:bottom w:val="single" w:sz="8" w:color="434F69"/>
              <w:right w:val="single" w:sz="8" w:color="434F69"/>
            </w:tcBorders>
            <w:shd w:val="clear" w:color="auto" w:fill="D9DCE1"/>
          </w:tcPr>
          <w:p>
            <w:pPr>
              <w:ind w:left="260"/>
              <w:spacing w:after="0"/>
              <w:rPr>
                <w:sz w:val="20"/>
                <w:szCs w:val="20"/>
                <w:color w:val="auto"/>
              </w:rPr>
            </w:pPr>
            <w:r>
              <w:rPr>
                <w:rFonts w:ascii="Arial" w:cs="Arial" w:eastAsia="Arial" w:hAnsi="Arial"/>
                <w:sz w:val="18"/>
                <w:szCs w:val="18"/>
                <w:color w:val="auto"/>
              </w:rPr>
              <w:t>(Term expires 2022)</w:t>
            </w:r>
          </w:p>
        </w:tc>
        <w:tc>
          <w:tcPr>
            <w:tcW w:w="880" w:type="dxa"/>
            <w:vAlign w:val="bottom"/>
            <w:tcBorders>
              <w:bottom w:val="single" w:sz="8" w:color="434F69"/>
              <w:right w:val="single" w:sz="8" w:color="434F69"/>
            </w:tcBorders>
            <w:shd w:val="clear" w:color="auto" w:fill="D9DCE1"/>
          </w:tcPr>
          <w:p>
            <w:pPr>
              <w:spacing w:after="0"/>
              <w:rPr>
                <w:sz w:val="20"/>
                <w:szCs w:val="20"/>
                <w:color w:val="auto"/>
              </w:rPr>
            </w:pPr>
          </w:p>
        </w:tc>
        <w:tc>
          <w:tcPr>
            <w:tcW w:w="800" w:type="dxa"/>
            <w:vAlign w:val="bottom"/>
            <w:tcBorders>
              <w:bottom w:val="single" w:sz="8" w:color="434F69"/>
              <w:right w:val="single" w:sz="8" w:color="434F69"/>
            </w:tcBorders>
            <w:shd w:val="clear" w:color="auto" w:fill="D9DCE1"/>
          </w:tcPr>
          <w:p>
            <w:pPr>
              <w:spacing w:after="0"/>
              <w:rPr>
                <w:sz w:val="20"/>
                <w:szCs w:val="20"/>
                <w:color w:val="auto"/>
              </w:rPr>
            </w:pPr>
          </w:p>
        </w:tc>
        <w:tc>
          <w:tcPr>
            <w:tcW w:w="1020" w:type="dxa"/>
            <w:vAlign w:val="bottom"/>
            <w:tcBorders>
              <w:bottom w:val="single" w:sz="8" w:color="434F69"/>
              <w:right w:val="single" w:sz="8" w:color="434F69"/>
            </w:tcBorders>
            <w:shd w:val="clear" w:color="auto" w:fill="D9DCE1"/>
          </w:tcPr>
          <w:p>
            <w:pPr>
              <w:spacing w:after="0"/>
              <w:rPr>
                <w:sz w:val="20"/>
                <w:szCs w:val="20"/>
                <w:color w:val="auto"/>
              </w:rPr>
            </w:pPr>
          </w:p>
        </w:tc>
        <w:tc>
          <w:tcPr>
            <w:tcW w:w="880" w:type="dxa"/>
            <w:vAlign w:val="bottom"/>
            <w:tcBorders>
              <w:bottom w:val="single" w:sz="8" w:color="434F69"/>
              <w:right w:val="single" w:sz="8" w:color="434F69"/>
            </w:tcBorders>
            <w:shd w:val="clear" w:color="auto" w:fill="D9DCE1"/>
          </w:tcPr>
          <w:p>
            <w:pPr>
              <w:spacing w:after="0"/>
              <w:rPr>
                <w:sz w:val="20"/>
                <w:szCs w:val="20"/>
                <w:color w:val="auto"/>
              </w:rPr>
            </w:pPr>
          </w:p>
        </w:tc>
        <w:tc>
          <w:tcPr>
            <w:tcW w:w="800" w:type="dxa"/>
            <w:vAlign w:val="bottom"/>
            <w:tcBorders>
              <w:bottom w:val="single" w:sz="8" w:color="434F69"/>
              <w:right w:val="single" w:sz="8" w:color="434F69"/>
            </w:tcBorders>
            <w:shd w:val="clear" w:color="auto" w:fill="D9DCE1"/>
          </w:tcPr>
          <w:p>
            <w:pPr>
              <w:spacing w:after="0"/>
              <w:rPr>
                <w:sz w:val="20"/>
                <w:szCs w:val="20"/>
                <w:color w:val="auto"/>
              </w:rPr>
            </w:pPr>
          </w:p>
        </w:tc>
        <w:tc>
          <w:tcPr>
            <w:tcW w:w="780" w:type="dxa"/>
            <w:vAlign w:val="bottom"/>
            <w:tcBorders>
              <w:bottom w:val="single" w:sz="8" w:color="434F69"/>
              <w:right w:val="single" w:sz="8" w:color="434F69"/>
            </w:tcBorders>
            <w:shd w:val="clear" w:color="auto" w:fill="D9DCE1"/>
          </w:tcPr>
          <w:p>
            <w:pPr>
              <w:spacing w:after="0"/>
              <w:rPr>
                <w:sz w:val="20"/>
                <w:szCs w:val="20"/>
                <w:color w:val="auto"/>
              </w:rPr>
            </w:pPr>
          </w:p>
        </w:tc>
        <w:tc>
          <w:tcPr>
            <w:tcW w:w="700" w:type="dxa"/>
            <w:vAlign w:val="bottom"/>
            <w:tcBorders>
              <w:bottom w:val="single" w:sz="8" w:color="434F69"/>
              <w:right w:val="single" w:sz="8" w:color="434F69"/>
            </w:tcBorders>
            <w:shd w:val="clear" w:color="auto" w:fill="D9DCE1"/>
          </w:tcPr>
          <w:p>
            <w:pPr>
              <w:spacing w:after="0"/>
              <w:rPr>
                <w:sz w:val="20"/>
                <w:szCs w:val="20"/>
                <w:color w:val="auto"/>
              </w:rPr>
            </w:pPr>
          </w:p>
        </w:tc>
      </w:tr>
      <w:tr>
        <w:trPr>
          <w:trHeight w:val="291"/>
        </w:trPr>
        <w:tc>
          <w:tcPr>
            <w:tcW w:w="2360" w:type="dxa"/>
            <w:vAlign w:val="bottom"/>
            <w:tcBorders>
              <w:left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Victor Burk</w:t>
            </w: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1020" w:type="dxa"/>
            <w:vAlign w:val="bottom"/>
            <w:tcBorders>
              <w:right w:val="single" w:sz="8" w:color="434F69"/>
            </w:tcBorders>
          </w:tcPr>
          <w:p>
            <w:pPr>
              <w:spacing w:after="0"/>
              <w:rPr>
                <w:sz w:val="24"/>
                <w:szCs w:val="24"/>
                <w:color w:val="auto"/>
              </w:rPr>
            </w:pP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780" w:type="dxa"/>
            <w:vAlign w:val="bottom"/>
            <w:tcBorders>
              <w:right w:val="single" w:sz="8" w:color="434F69"/>
            </w:tcBorders>
          </w:tcPr>
          <w:p>
            <w:pPr>
              <w:spacing w:after="0"/>
              <w:rPr>
                <w:sz w:val="24"/>
                <w:szCs w:val="24"/>
                <w:color w:val="auto"/>
              </w:rPr>
            </w:pPr>
          </w:p>
        </w:tc>
        <w:tc>
          <w:tcPr>
            <w:tcW w:w="700" w:type="dxa"/>
            <w:vAlign w:val="bottom"/>
            <w:tcBorders>
              <w:right w:val="single" w:sz="8" w:color="434F69"/>
            </w:tcBorders>
          </w:tcPr>
          <w:p>
            <w:pPr>
              <w:spacing w:after="0"/>
              <w:rPr>
                <w:sz w:val="24"/>
                <w:szCs w:val="24"/>
                <w:color w:val="auto"/>
              </w:rPr>
            </w:pPr>
          </w:p>
        </w:tc>
      </w:tr>
      <w:tr>
        <w:trPr>
          <w:trHeight w:val="54"/>
        </w:trPr>
        <w:tc>
          <w:tcPr>
            <w:tcW w:w="2360" w:type="dxa"/>
            <w:vAlign w:val="bottom"/>
            <w:tcBorders>
              <w:left w:val="single" w:sz="8" w:color="434F69"/>
              <w:bottom w:val="single" w:sz="8" w:color="434F69"/>
              <w:right w:val="single" w:sz="8" w:color="434F69"/>
            </w:tcBorders>
          </w:tcPr>
          <w:p>
            <w:pPr>
              <w:spacing w:after="0"/>
              <w:rPr>
                <w:sz w:val="4"/>
                <w:szCs w:val="4"/>
                <w:color w:val="auto"/>
              </w:rPr>
            </w:pPr>
          </w:p>
        </w:tc>
        <w:tc>
          <w:tcPr>
            <w:tcW w:w="880" w:type="dxa"/>
            <w:vAlign w:val="bottom"/>
            <w:tcBorders>
              <w:bottom w:val="single" w:sz="8" w:color="434F69"/>
              <w:right w:val="single" w:sz="8" w:color="434F69"/>
            </w:tcBorders>
          </w:tcPr>
          <w:p>
            <w:pPr>
              <w:spacing w:after="0"/>
              <w:rPr>
                <w:sz w:val="4"/>
                <w:szCs w:val="4"/>
                <w:color w:val="auto"/>
              </w:rPr>
            </w:pPr>
          </w:p>
        </w:tc>
        <w:tc>
          <w:tcPr>
            <w:tcW w:w="800" w:type="dxa"/>
            <w:vAlign w:val="bottom"/>
            <w:tcBorders>
              <w:bottom w:val="single" w:sz="8" w:color="434F69"/>
              <w:right w:val="single" w:sz="8" w:color="434F69"/>
            </w:tcBorders>
          </w:tcPr>
          <w:p>
            <w:pPr>
              <w:spacing w:after="0"/>
              <w:rPr>
                <w:sz w:val="4"/>
                <w:szCs w:val="4"/>
                <w:color w:val="auto"/>
              </w:rPr>
            </w:pPr>
          </w:p>
        </w:tc>
        <w:tc>
          <w:tcPr>
            <w:tcW w:w="1020" w:type="dxa"/>
            <w:vAlign w:val="bottom"/>
            <w:tcBorders>
              <w:bottom w:val="single" w:sz="8" w:color="434F69"/>
              <w:right w:val="single" w:sz="8" w:color="434F69"/>
            </w:tcBorders>
          </w:tcPr>
          <w:p>
            <w:pPr>
              <w:spacing w:after="0"/>
              <w:rPr>
                <w:sz w:val="4"/>
                <w:szCs w:val="4"/>
                <w:color w:val="auto"/>
              </w:rPr>
            </w:pPr>
          </w:p>
        </w:tc>
        <w:tc>
          <w:tcPr>
            <w:tcW w:w="880" w:type="dxa"/>
            <w:vAlign w:val="bottom"/>
            <w:tcBorders>
              <w:bottom w:val="single" w:sz="8" w:color="434F69"/>
              <w:right w:val="single" w:sz="8" w:color="434F69"/>
            </w:tcBorders>
          </w:tcPr>
          <w:p>
            <w:pPr>
              <w:spacing w:after="0"/>
              <w:rPr>
                <w:sz w:val="4"/>
                <w:szCs w:val="4"/>
                <w:color w:val="auto"/>
              </w:rPr>
            </w:pPr>
          </w:p>
        </w:tc>
        <w:tc>
          <w:tcPr>
            <w:tcW w:w="800" w:type="dxa"/>
            <w:vAlign w:val="bottom"/>
            <w:tcBorders>
              <w:bottom w:val="single" w:sz="8" w:color="434F69"/>
              <w:right w:val="single" w:sz="8" w:color="434F69"/>
            </w:tcBorders>
          </w:tcPr>
          <w:p>
            <w:pPr>
              <w:spacing w:after="0"/>
              <w:rPr>
                <w:sz w:val="4"/>
                <w:szCs w:val="4"/>
                <w:color w:val="auto"/>
              </w:rPr>
            </w:pPr>
          </w:p>
        </w:tc>
        <w:tc>
          <w:tcPr>
            <w:tcW w:w="780" w:type="dxa"/>
            <w:vAlign w:val="bottom"/>
            <w:tcBorders>
              <w:bottom w:val="single" w:sz="8" w:color="434F69"/>
              <w:right w:val="single" w:sz="8" w:color="434F69"/>
            </w:tcBorders>
          </w:tcPr>
          <w:p>
            <w:pPr>
              <w:spacing w:after="0"/>
              <w:rPr>
                <w:sz w:val="4"/>
                <w:szCs w:val="4"/>
                <w:color w:val="auto"/>
              </w:rPr>
            </w:pPr>
          </w:p>
        </w:tc>
        <w:tc>
          <w:tcPr>
            <w:tcW w:w="700" w:type="dxa"/>
            <w:vAlign w:val="bottom"/>
            <w:tcBorders>
              <w:bottom w:val="single" w:sz="8" w:color="434F69"/>
              <w:right w:val="single" w:sz="8" w:color="434F69"/>
            </w:tcBorders>
          </w:tcPr>
          <w:p>
            <w:pPr>
              <w:spacing w:after="0"/>
              <w:rPr>
                <w:sz w:val="4"/>
                <w:szCs w:val="4"/>
                <w:color w:val="auto"/>
              </w:rPr>
            </w:pPr>
          </w:p>
        </w:tc>
      </w:tr>
      <w:tr>
        <w:trPr>
          <w:trHeight w:val="358"/>
        </w:trPr>
        <w:tc>
          <w:tcPr>
            <w:tcW w:w="2360" w:type="dxa"/>
            <w:vAlign w:val="bottom"/>
            <w:tcBorders>
              <w:left w:val="single" w:sz="8" w:color="434F69"/>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Kevin S. McCarthy</w:t>
            </w:r>
            <w:r>
              <w:rPr>
                <w:rFonts w:ascii="Arial" w:cs="Arial" w:eastAsia="Arial" w:hAnsi="Arial"/>
                <w:sz w:val="26"/>
                <w:szCs w:val="26"/>
                <w:color w:val="auto"/>
                <w:vertAlign w:val="superscript"/>
              </w:rPr>
              <w:t>1</w:t>
            </w:r>
          </w:p>
        </w:tc>
        <w:tc>
          <w:tcPr>
            <w:tcW w:w="880" w:type="dxa"/>
            <w:vAlign w:val="bottom"/>
            <w:tcBorders>
              <w:bottom w:val="single" w:sz="8" w:color="434F69"/>
              <w:right w:val="single" w:sz="8" w:color="434F69"/>
            </w:tcBorders>
          </w:tcPr>
          <w:p>
            <w:pPr>
              <w:spacing w:after="0"/>
              <w:rPr>
                <w:sz w:val="24"/>
                <w:szCs w:val="24"/>
                <w:color w:val="auto"/>
              </w:rPr>
            </w:pPr>
          </w:p>
        </w:tc>
        <w:tc>
          <w:tcPr>
            <w:tcW w:w="800" w:type="dxa"/>
            <w:vAlign w:val="bottom"/>
            <w:tcBorders>
              <w:bottom w:val="single" w:sz="8" w:color="434F69"/>
              <w:right w:val="single" w:sz="8" w:color="434F69"/>
            </w:tcBorders>
          </w:tcPr>
          <w:p>
            <w:pPr>
              <w:spacing w:after="0"/>
              <w:rPr>
                <w:sz w:val="24"/>
                <w:szCs w:val="24"/>
                <w:color w:val="auto"/>
              </w:rPr>
            </w:pPr>
          </w:p>
        </w:tc>
        <w:tc>
          <w:tcPr>
            <w:tcW w:w="1020" w:type="dxa"/>
            <w:vAlign w:val="bottom"/>
            <w:tcBorders>
              <w:bottom w:val="single" w:sz="8" w:color="434F69"/>
              <w:right w:val="single" w:sz="8" w:color="434F69"/>
            </w:tcBorders>
          </w:tcPr>
          <w:p>
            <w:pPr>
              <w:spacing w:after="0"/>
              <w:rPr>
                <w:sz w:val="24"/>
                <w:szCs w:val="24"/>
                <w:color w:val="auto"/>
              </w:rPr>
            </w:pPr>
          </w:p>
        </w:tc>
        <w:tc>
          <w:tcPr>
            <w:tcW w:w="880" w:type="dxa"/>
            <w:vAlign w:val="bottom"/>
            <w:tcBorders>
              <w:bottom w:val="single" w:sz="8" w:color="434F69"/>
              <w:right w:val="single" w:sz="8" w:color="434F69"/>
            </w:tcBorders>
          </w:tcPr>
          <w:p>
            <w:pPr>
              <w:spacing w:after="0"/>
              <w:rPr>
                <w:sz w:val="24"/>
                <w:szCs w:val="24"/>
                <w:color w:val="auto"/>
              </w:rPr>
            </w:pPr>
          </w:p>
        </w:tc>
        <w:tc>
          <w:tcPr>
            <w:tcW w:w="800" w:type="dxa"/>
            <w:vAlign w:val="bottom"/>
            <w:tcBorders>
              <w:bottom w:val="single" w:sz="8" w:color="434F69"/>
              <w:right w:val="single" w:sz="8" w:color="434F69"/>
            </w:tcBorders>
          </w:tcPr>
          <w:p>
            <w:pPr>
              <w:spacing w:after="0"/>
              <w:rPr>
                <w:sz w:val="24"/>
                <w:szCs w:val="24"/>
                <w:color w:val="auto"/>
              </w:rPr>
            </w:pPr>
          </w:p>
        </w:tc>
        <w:tc>
          <w:tcPr>
            <w:tcW w:w="780" w:type="dxa"/>
            <w:vAlign w:val="bottom"/>
            <w:tcBorders>
              <w:bottom w:val="single" w:sz="8" w:color="434F69"/>
              <w:right w:val="single" w:sz="8" w:color="434F69"/>
            </w:tcBorders>
          </w:tcPr>
          <w:p>
            <w:pPr>
              <w:spacing w:after="0"/>
              <w:rPr>
                <w:sz w:val="24"/>
                <w:szCs w:val="24"/>
                <w:color w:val="auto"/>
              </w:rPr>
            </w:pPr>
          </w:p>
        </w:tc>
        <w:tc>
          <w:tcPr>
            <w:tcW w:w="700" w:type="dxa"/>
            <w:vAlign w:val="bottom"/>
            <w:tcBorders>
              <w:bottom w:val="single" w:sz="8" w:color="434F69"/>
              <w:right w:val="single" w:sz="8" w:color="434F69"/>
            </w:tcBorders>
          </w:tcPr>
          <w:p>
            <w:pPr>
              <w:spacing w:after="0"/>
              <w:rPr>
                <w:sz w:val="24"/>
                <w:szCs w:val="24"/>
                <w:color w:val="auto"/>
              </w:rPr>
            </w:pPr>
          </w:p>
        </w:tc>
      </w:tr>
      <w:tr>
        <w:trPr>
          <w:trHeight w:val="236"/>
        </w:trPr>
        <w:tc>
          <w:tcPr>
            <w:tcW w:w="2360" w:type="dxa"/>
            <w:vAlign w:val="bottom"/>
            <w:tcBorders>
              <w:left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Harry N. Pefanis,</w:t>
            </w:r>
          </w:p>
        </w:tc>
        <w:tc>
          <w:tcPr>
            <w:tcW w:w="880" w:type="dxa"/>
            <w:vAlign w:val="bottom"/>
            <w:tcBorders>
              <w:right w:val="single" w:sz="8" w:color="434F69"/>
            </w:tcBorders>
          </w:tcPr>
          <w:p>
            <w:pPr>
              <w:spacing w:after="0"/>
              <w:rPr>
                <w:sz w:val="20"/>
                <w:szCs w:val="20"/>
                <w:color w:val="auto"/>
              </w:rPr>
            </w:pPr>
          </w:p>
        </w:tc>
        <w:tc>
          <w:tcPr>
            <w:tcW w:w="800" w:type="dxa"/>
            <w:vAlign w:val="bottom"/>
            <w:tcBorders>
              <w:right w:val="single" w:sz="8" w:color="434F69"/>
            </w:tcBorders>
          </w:tcPr>
          <w:p>
            <w:pPr>
              <w:spacing w:after="0"/>
              <w:rPr>
                <w:sz w:val="20"/>
                <w:szCs w:val="20"/>
                <w:color w:val="auto"/>
              </w:rPr>
            </w:pPr>
          </w:p>
        </w:tc>
        <w:tc>
          <w:tcPr>
            <w:tcW w:w="1020" w:type="dxa"/>
            <w:vAlign w:val="bottom"/>
            <w:tcBorders>
              <w:right w:val="single" w:sz="8" w:color="434F69"/>
            </w:tcBorders>
          </w:tcPr>
          <w:p>
            <w:pPr>
              <w:spacing w:after="0"/>
              <w:rPr>
                <w:sz w:val="20"/>
                <w:szCs w:val="20"/>
                <w:color w:val="auto"/>
              </w:rPr>
            </w:pPr>
          </w:p>
        </w:tc>
        <w:tc>
          <w:tcPr>
            <w:tcW w:w="880" w:type="dxa"/>
            <w:vAlign w:val="bottom"/>
            <w:tcBorders>
              <w:right w:val="single" w:sz="8" w:color="434F69"/>
            </w:tcBorders>
          </w:tcPr>
          <w:p>
            <w:pPr>
              <w:spacing w:after="0"/>
              <w:rPr>
                <w:sz w:val="20"/>
                <w:szCs w:val="20"/>
                <w:color w:val="auto"/>
              </w:rPr>
            </w:pPr>
          </w:p>
        </w:tc>
        <w:tc>
          <w:tcPr>
            <w:tcW w:w="800" w:type="dxa"/>
            <w:vAlign w:val="bottom"/>
            <w:tcBorders>
              <w:right w:val="single" w:sz="8" w:color="434F69"/>
            </w:tcBorders>
          </w:tcPr>
          <w:p>
            <w:pPr>
              <w:spacing w:after="0"/>
              <w:rPr>
                <w:sz w:val="20"/>
                <w:szCs w:val="20"/>
                <w:color w:val="auto"/>
              </w:rPr>
            </w:pPr>
          </w:p>
        </w:tc>
        <w:tc>
          <w:tcPr>
            <w:tcW w:w="780" w:type="dxa"/>
            <w:vAlign w:val="bottom"/>
            <w:tcBorders>
              <w:right w:val="single" w:sz="8" w:color="434F69"/>
            </w:tcBorders>
          </w:tcPr>
          <w:p>
            <w:pPr>
              <w:spacing w:after="0"/>
              <w:rPr>
                <w:sz w:val="20"/>
                <w:szCs w:val="20"/>
                <w:color w:val="auto"/>
              </w:rPr>
            </w:pPr>
          </w:p>
        </w:tc>
        <w:tc>
          <w:tcPr>
            <w:tcW w:w="700" w:type="dxa"/>
            <w:vAlign w:val="bottom"/>
            <w:tcBorders>
              <w:right w:val="single" w:sz="8" w:color="434F69"/>
            </w:tcBorders>
          </w:tcPr>
          <w:p>
            <w:pPr>
              <w:spacing w:after="0"/>
              <w:rPr>
                <w:sz w:val="20"/>
                <w:szCs w:val="20"/>
                <w:color w:val="auto"/>
              </w:rPr>
            </w:pPr>
          </w:p>
        </w:tc>
      </w:tr>
      <w:tr>
        <w:trPr>
          <w:trHeight w:val="230"/>
        </w:trPr>
        <w:tc>
          <w:tcPr>
            <w:tcW w:w="2360" w:type="dxa"/>
            <w:vAlign w:val="bottom"/>
            <w:tcBorders>
              <w:left w:val="single" w:sz="8" w:color="434F69"/>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President</w:t>
            </w:r>
          </w:p>
        </w:tc>
        <w:tc>
          <w:tcPr>
            <w:tcW w:w="88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1020" w:type="dxa"/>
            <w:vAlign w:val="bottom"/>
            <w:tcBorders>
              <w:bottom w:val="single" w:sz="8" w:color="434F69"/>
              <w:right w:val="single" w:sz="8" w:color="434F69"/>
            </w:tcBorders>
          </w:tcPr>
          <w:p>
            <w:pPr>
              <w:spacing w:after="0"/>
              <w:rPr>
                <w:sz w:val="20"/>
                <w:szCs w:val="20"/>
                <w:color w:val="auto"/>
              </w:rPr>
            </w:pPr>
          </w:p>
        </w:tc>
        <w:tc>
          <w:tcPr>
            <w:tcW w:w="88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780" w:type="dxa"/>
            <w:vAlign w:val="bottom"/>
            <w:tcBorders>
              <w:bottom w:val="single" w:sz="8" w:color="434F69"/>
              <w:right w:val="single" w:sz="8" w:color="434F69"/>
            </w:tcBorders>
          </w:tcPr>
          <w:p>
            <w:pPr>
              <w:spacing w:after="0"/>
              <w:rPr>
                <w:sz w:val="20"/>
                <w:szCs w:val="20"/>
                <w:color w:val="auto"/>
              </w:rPr>
            </w:pPr>
          </w:p>
        </w:tc>
        <w:tc>
          <w:tcPr>
            <w:tcW w:w="700" w:type="dxa"/>
            <w:vAlign w:val="bottom"/>
            <w:tcBorders>
              <w:bottom w:val="single" w:sz="8" w:color="434F69"/>
              <w:right w:val="single" w:sz="8" w:color="434F69"/>
            </w:tcBorders>
          </w:tcPr>
          <w:p>
            <w:pPr>
              <w:spacing w:after="0"/>
              <w:rPr>
                <w:sz w:val="20"/>
                <w:szCs w:val="20"/>
                <w:color w:val="auto"/>
              </w:rPr>
            </w:pPr>
          </w:p>
        </w:tc>
      </w:tr>
      <w:tr>
        <w:trPr>
          <w:trHeight w:val="291"/>
        </w:trPr>
        <w:tc>
          <w:tcPr>
            <w:tcW w:w="2360" w:type="dxa"/>
            <w:vAlign w:val="bottom"/>
            <w:tcBorders>
              <w:left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Gary R. Petersen</w:t>
            </w: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1020" w:type="dxa"/>
            <w:vAlign w:val="bottom"/>
            <w:tcBorders>
              <w:right w:val="single" w:sz="8" w:color="434F69"/>
            </w:tcBorders>
          </w:tcPr>
          <w:p>
            <w:pPr>
              <w:spacing w:after="0"/>
              <w:rPr>
                <w:sz w:val="24"/>
                <w:szCs w:val="24"/>
                <w:color w:val="auto"/>
              </w:rPr>
            </w:pP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780" w:type="dxa"/>
            <w:vAlign w:val="bottom"/>
            <w:tcBorders>
              <w:right w:val="single" w:sz="8" w:color="434F69"/>
            </w:tcBorders>
          </w:tcPr>
          <w:p>
            <w:pPr>
              <w:spacing w:after="0"/>
              <w:rPr>
                <w:sz w:val="24"/>
                <w:szCs w:val="24"/>
                <w:color w:val="auto"/>
              </w:rPr>
            </w:pPr>
          </w:p>
        </w:tc>
        <w:tc>
          <w:tcPr>
            <w:tcW w:w="700" w:type="dxa"/>
            <w:vAlign w:val="bottom"/>
            <w:tcBorders>
              <w:right w:val="single" w:sz="8" w:color="434F69"/>
            </w:tcBorders>
          </w:tcPr>
          <w:p>
            <w:pPr>
              <w:spacing w:after="0"/>
              <w:rPr>
                <w:sz w:val="24"/>
                <w:szCs w:val="24"/>
                <w:color w:val="auto"/>
              </w:rPr>
            </w:pPr>
          </w:p>
        </w:tc>
      </w:tr>
      <w:tr>
        <w:trPr>
          <w:trHeight w:val="54"/>
        </w:trPr>
        <w:tc>
          <w:tcPr>
            <w:tcW w:w="2360" w:type="dxa"/>
            <w:vAlign w:val="bottom"/>
            <w:tcBorders>
              <w:left w:val="single" w:sz="8" w:color="434F69"/>
              <w:bottom w:val="single" w:sz="8" w:color="434F69"/>
              <w:right w:val="single" w:sz="8" w:color="434F69"/>
            </w:tcBorders>
          </w:tcPr>
          <w:p>
            <w:pPr>
              <w:spacing w:after="0"/>
              <w:rPr>
                <w:sz w:val="4"/>
                <w:szCs w:val="4"/>
                <w:color w:val="auto"/>
              </w:rPr>
            </w:pPr>
          </w:p>
        </w:tc>
        <w:tc>
          <w:tcPr>
            <w:tcW w:w="880" w:type="dxa"/>
            <w:vAlign w:val="bottom"/>
            <w:tcBorders>
              <w:bottom w:val="single" w:sz="8" w:color="434F69"/>
              <w:right w:val="single" w:sz="8" w:color="434F69"/>
            </w:tcBorders>
          </w:tcPr>
          <w:p>
            <w:pPr>
              <w:spacing w:after="0"/>
              <w:rPr>
                <w:sz w:val="4"/>
                <w:szCs w:val="4"/>
                <w:color w:val="auto"/>
              </w:rPr>
            </w:pPr>
          </w:p>
        </w:tc>
        <w:tc>
          <w:tcPr>
            <w:tcW w:w="800" w:type="dxa"/>
            <w:vAlign w:val="bottom"/>
            <w:tcBorders>
              <w:bottom w:val="single" w:sz="8" w:color="434F69"/>
              <w:right w:val="single" w:sz="8" w:color="434F69"/>
            </w:tcBorders>
          </w:tcPr>
          <w:p>
            <w:pPr>
              <w:spacing w:after="0"/>
              <w:rPr>
                <w:sz w:val="4"/>
                <w:szCs w:val="4"/>
                <w:color w:val="auto"/>
              </w:rPr>
            </w:pPr>
          </w:p>
        </w:tc>
        <w:tc>
          <w:tcPr>
            <w:tcW w:w="1020" w:type="dxa"/>
            <w:vAlign w:val="bottom"/>
            <w:tcBorders>
              <w:bottom w:val="single" w:sz="8" w:color="434F69"/>
              <w:right w:val="single" w:sz="8" w:color="434F69"/>
            </w:tcBorders>
          </w:tcPr>
          <w:p>
            <w:pPr>
              <w:spacing w:after="0"/>
              <w:rPr>
                <w:sz w:val="4"/>
                <w:szCs w:val="4"/>
                <w:color w:val="auto"/>
              </w:rPr>
            </w:pPr>
          </w:p>
        </w:tc>
        <w:tc>
          <w:tcPr>
            <w:tcW w:w="880" w:type="dxa"/>
            <w:vAlign w:val="bottom"/>
            <w:tcBorders>
              <w:bottom w:val="single" w:sz="8" w:color="434F69"/>
              <w:right w:val="single" w:sz="8" w:color="434F69"/>
            </w:tcBorders>
          </w:tcPr>
          <w:p>
            <w:pPr>
              <w:spacing w:after="0"/>
              <w:rPr>
                <w:sz w:val="4"/>
                <w:szCs w:val="4"/>
                <w:color w:val="auto"/>
              </w:rPr>
            </w:pPr>
          </w:p>
        </w:tc>
        <w:tc>
          <w:tcPr>
            <w:tcW w:w="800" w:type="dxa"/>
            <w:vAlign w:val="bottom"/>
            <w:tcBorders>
              <w:bottom w:val="single" w:sz="8" w:color="434F69"/>
              <w:right w:val="single" w:sz="8" w:color="434F69"/>
            </w:tcBorders>
          </w:tcPr>
          <w:p>
            <w:pPr>
              <w:spacing w:after="0"/>
              <w:rPr>
                <w:sz w:val="4"/>
                <w:szCs w:val="4"/>
                <w:color w:val="auto"/>
              </w:rPr>
            </w:pPr>
          </w:p>
        </w:tc>
        <w:tc>
          <w:tcPr>
            <w:tcW w:w="780" w:type="dxa"/>
            <w:vAlign w:val="bottom"/>
            <w:tcBorders>
              <w:bottom w:val="single" w:sz="8" w:color="434F69"/>
              <w:right w:val="single" w:sz="8" w:color="434F69"/>
            </w:tcBorders>
          </w:tcPr>
          <w:p>
            <w:pPr>
              <w:spacing w:after="0"/>
              <w:rPr>
                <w:sz w:val="4"/>
                <w:szCs w:val="4"/>
                <w:color w:val="auto"/>
              </w:rPr>
            </w:pPr>
          </w:p>
        </w:tc>
        <w:tc>
          <w:tcPr>
            <w:tcW w:w="700" w:type="dxa"/>
            <w:vAlign w:val="bottom"/>
            <w:tcBorders>
              <w:bottom w:val="single" w:sz="8" w:color="434F69"/>
              <w:right w:val="single" w:sz="8" w:color="434F69"/>
            </w:tcBorders>
          </w:tcPr>
          <w:p>
            <w:pPr>
              <w:spacing w:after="0"/>
              <w:rPr>
                <w:sz w:val="4"/>
                <w:szCs w:val="4"/>
                <w:color w:val="auto"/>
              </w:rPr>
            </w:pPr>
          </w:p>
        </w:tc>
      </w:tr>
      <w:tr>
        <w:trPr>
          <w:trHeight w:val="236"/>
        </w:trPr>
        <w:tc>
          <w:tcPr>
            <w:tcW w:w="2360" w:type="dxa"/>
            <w:vAlign w:val="bottom"/>
            <w:tcBorders>
              <w:left w:val="single" w:sz="8" w:color="434F69"/>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rPr>
              <w:t>Class III Directors</w:t>
            </w:r>
          </w:p>
        </w:tc>
        <w:tc>
          <w:tcPr>
            <w:tcW w:w="880" w:type="dxa"/>
            <w:vAlign w:val="bottom"/>
            <w:tcBorders>
              <w:right w:val="single" w:sz="8" w:color="434F69"/>
            </w:tcBorders>
            <w:shd w:val="clear" w:color="auto" w:fill="D9DCE1"/>
          </w:tcPr>
          <w:p>
            <w:pPr>
              <w:spacing w:after="0"/>
              <w:rPr>
                <w:sz w:val="20"/>
                <w:szCs w:val="20"/>
                <w:color w:val="auto"/>
              </w:rPr>
            </w:pPr>
          </w:p>
        </w:tc>
        <w:tc>
          <w:tcPr>
            <w:tcW w:w="800" w:type="dxa"/>
            <w:vAlign w:val="bottom"/>
            <w:tcBorders>
              <w:right w:val="single" w:sz="8" w:color="434F69"/>
            </w:tcBorders>
            <w:shd w:val="clear" w:color="auto" w:fill="D9DCE1"/>
          </w:tcPr>
          <w:p>
            <w:pPr>
              <w:spacing w:after="0"/>
              <w:rPr>
                <w:sz w:val="20"/>
                <w:szCs w:val="20"/>
                <w:color w:val="auto"/>
              </w:rPr>
            </w:pPr>
          </w:p>
        </w:tc>
        <w:tc>
          <w:tcPr>
            <w:tcW w:w="1020" w:type="dxa"/>
            <w:vAlign w:val="bottom"/>
            <w:tcBorders>
              <w:right w:val="single" w:sz="8" w:color="434F69"/>
            </w:tcBorders>
            <w:shd w:val="clear" w:color="auto" w:fill="D9DCE1"/>
          </w:tcPr>
          <w:p>
            <w:pPr>
              <w:spacing w:after="0"/>
              <w:rPr>
                <w:sz w:val="20"/>
                <w:szCs w:val="20"/>
                <w:color w:val="auto"/>
              </w:rPr>
            </w:pPr>
          </w:p>
        </w:tc>
        <w:tc>
          <w:tcPr>
            <w:tcW w:w="880" w:type="dxa"/>
            <w:vAlign w:val="bottom"/>
            <w:tcBorders>
              <w:right w:val="single" w:sz="8" w:color="434F69"/>
            </w:tcBorders>
            <w:shd w:val="clear" w:color="auto" w:fill="D9DCE1"/>
          </w:tcPr>
          <w:p>
            <w:pPr>
              <w:spacing w:after="0"/>
              <w:rPr>
                <w:sz w:val="20"/>
                <w:szCs w:val="20"/>
                <w:color w:val="auto"/>
              </w:rPr>
            </w:pPr>
          </w:p>
        </w:tc>
        <w:tc>
          <w:tcPr>
            <w:tcW w:w="800" w:type="dxa"/>
            <w:vAlign w:val="bottom"/>
            <w:tcBorders>
              <w:right w:val="single" w:sz="8" w:color="434F69"/>
            </w:tcBorders>
            <w:shd w:val="clear" w:color="auto" w:fill="D9DCE1"/>
          </w:tcPr>
          <w:p>
            <w:pPr>
              <w:spacing w:after="0"/>
              <w:rPr>
                <w:sz w:val="20"/>
                <w:szCs w:val="20"/>
                <w:color w:val="auto"/>
              </w:rPr>
            </w:pPr>
          </w:p>
        </w:tc>
        <w:tc>
          <w:tcPr>
            <w:tcW w:w="780" w:type="dxa"/>
            <w:vAlign w:val="bottom"/>
            <w:tcBorders>
              <w:right w:val="single" w:sz="8" w:color="434F69"/>
            </w:tcBorders>
            <w:shd w:val="clear" w:color="auto" w:fill="D9DCE1"/>
          </w:tcPr>
          <w:p>
            <w:pPr>
              <w:spacing w:after="0"/>
              <w:rPr>
                <w:sz w:val="20"/>
                <w:szCs w:val="20"/>
                <w:color w:val="auto"/>
              </w:rPr>
            </w:pPr>
          </w:p>
        </w:tc>
        <w:tc>
          <w:tcPr>
            <w:tcW w:w="700" w:type="dxa"/>
            <w:vAlign w:val="bottom"/>
            <w:tcBorders>
              <w:right w:val="single" w:sz="8" w:color="434F69"/>
            </w:tcBorders>
            <w:shd w:val="clear" w:color="auto" w:fill="D9DCE1"/>
          </w:tcPr>
          <w:p>
            <w:pPr>
              <w:spacing w:after="0"/>
              <w:rPr>
                <w:sz w:val="20"/>
                <w:szCs w:val="20"/>
                <w:color w:val="auto"/>
              </w:rPr>
            </w:pPr>
          </w:p>
        </w:tc>
      </w:tr>
      <w:tr>
        <w:trPr>
          <w:trHeight w:val="237"/>
        </w:trPr>
        <w:tc>
          <w:tcPr>
            <w:tcW w:w="2360" w:type="dxa"/>
            <w:vAlign w:val="bottom"/>
            <w:tcBorders>
              <w:left w:val="single" w:sz="8" w:color="434F69"/>
              <w:bottom w:val="single" w:sz="8" w:color="434F69"/>
              <w:right w:val="single" w:sz="8" w:color="434F69"/>
            </w:tcBorders>
            <w:shd w:val="clear" w:color="auto" w:fill="D9DCE1"/>
          </w:tcPr>
          <w:p>
            <w:pPr>
              <w:ind w:left="260"/>
              <w:spacing w:after="0"/>
              <w:rPr>
                <w:sz w:val="20"/>
                <w:szCs w:val="20"/>
                <w:color w:val="auto"/>
              </w:rPr>
            </w:pPr>
            <w:r>
              <w:rPr>
                <w:rFonts w:ascii="Arial" w:cs="Arial" w:eastAsia="Arial" w:hAnsi="Arial"/>
                <w:sz w:val="18"/>
                <w:szCs w:val="18"/>
                <w:color w:val="auto"/>
              </w:rPr>
              <w:t>(Term expires 2021)</w:t>
            </w:r>
          </w:p>
        </w:tc>
        <w:tc>
          <w:tcPr>
            <w:tcW w:w="880" w:type="dxa"/>
            <w:vAlign w:val="bottom"/>
            <w:tcBorders>
              <w:bottom w:val="single" w:sz="8" w:color="434F69"/>
              <w:right w:val="single" w:sz="8" w:color="434F69"/>
            </w:tcBorders>
            <w:shd w:val="clear" w:color="auto" w:fill="D9DCE1"/>
          </w:tcPr>
          <w:p>
            <w:pPr>
              <w:spacing w:after="0"/>
              <w:rPr>
                <w:sz w:val="20"/>
                <w:szCs w:val="20"/>
                <w:color w:val="auto"/>
              </w:rPr>
            </w:pPr>
          </w:p>
        </w:tc>
        <w:tc>
          <w:tcPr>
            <w:tcW w:w="800" w:type="dxa"/>
            <w:vAlign w:val="bottom"/>
            <w:tcBorders>
              <w:bottom w:val="single" w:sz="8" w:color="434F69"/>
              <w:right w:val="single" w:sz="8" w:color="434F69"/>
            </w:tcBorders>
            <w:shd w:val="clear" w:color="auto" w:fill="D9DCE1"/>
          </w:tcPr>
          <w:p>
            <w:pPr>
              <w:spacing w:after="0"/>
              <w:rPr>
                <w:sz w:val="20"/>
                <w:szCs w:val="20"/>
                <w:color w:val="auto"/>
              </w:rPr>
            </w:pPr>
          </w:p>
        </w:tc>
        <w:tc>
          <w:tcPr>
            <w:tcW w:w="1020" w:type="dxa"/>
            <w:vAlign w:val="bottom"/>
            <w:tcBorders>
              <w:bottom w:val="single" w:sz="8" w:color="434F69"/>
              <w:right w:val="single" w:sz="8" w:color="434F69"/>
            </w:tcBorders>
            <w:shd w:val="clear" w:color="auto" w:fill="D9DCE1"/>
          </w:tcPr>
          <w:p>
            <w:pPr>
              <w:spacing w:after="0"/>
              <w:rPr>
                <w:sz w:val="20"/>
                <w:szCs w:val="20"/>
                <w:color w:val="auto"/>
              </w:rPr>
            </w:pPr>
          </w:p>
        </w:tc>
        <w:tc>
          <w:tcPr>
            <w:tcW w:w="880" w:type="dxa"/>
            <w:vAlign w:val="bottom"/>
            <w:tcBorders>
              <w:bottom w:val="single" w:sz="8" w:color="434F69"/>
              <w:right w:val="single" w:sz="8" w:color="434F69"/>
            </w:tcBorders>
            <w:shd w:val="clear" w:color="auto" w:fill="D9DCE1"/>
          </w:tcPr>
          <w:p>
            <w:pPr>
              <w:spacing w:after="0"/>
              <w:rPr>
                <w:sz w:val="20"/>
                <w:szCs w:val="20"/>
                <w:color w:val="auto"/>
              </w:rPr>
            </w:pPr>
          </w:p>
        </w:tc>
        <w:tc>
          <w:tcPr>
            <w:tcW w:w="800" w:type="dxa"/>
            <w:vAlign w:val="bottom"/>
            <w:tcBorders>
              <w:bottom w:val="single" w:sz="8" w:color="434F69"/>
              <w:right w:val="single" w:sz="8" w:color="434F69"/>
            </w:tcBorders>
            <w:shd w:val="clear" w:color="auto" w:fill="D9DCE1"/>
          </w:tcPr>
          <w:p>
            <w:pPr>
              <w:spacing w:after="0"/>
              <w:rPr>
                <w:sz w:val="20"/>
                <w:szCs w:val="20"/>
                <w:color w:val="auto"/>
              </w:rPr>
            </w:pPr>
          </w:p>
        </w:tc>
        <w:tc>
          <w:tcPr>
            <w:tcW w:w="780" w:type="dxa"/>
            <w:vAlign w:val="bottom"/>
            <w:tcBorders>
              <w:bottom w:val="single" w:sz="8" w:color="434F69"/>
              <w:right w:val="single" w:sz="8" w:color="434F69"/>
            </w:tcBorders>
            <w:shd w:val="clear" w:color="auto" w:fill="D9DCE1"/>
          </w:tcPr>
          <w:p>
            <w:pPr>
              <w:spacing w:after="0"/>
              <w:rPr>
                <w:sz w:val="20"/>
                <w:szCs w:val="20"/>
                <w:color w:val="auto"/>
              </w:rPr>
            </w:pPr>
          </w:p>
        </w:tc>
        <w:tc>
          <w:tcPr>
            <w:tcW w:w="700" w:type="dxa"/>
            <w:vAlign w:val="bottom"/>
            <w:tcBorders>
              <w:bottom w:val="single" w:sz="8" w:color="434F69"/>
              <w:right w:val="single" w:sz="8" w:color="434F69"/>
            </w:tcBorders>
            <w:shd w:val="clear" w:color="auto" w:fill="D9DCE1"/>
          </w:tcPr>
          <w:p>
            <w:pPr>
              <w:spacing w:after="0"/>
              <w:rPr>
                <w:sz w:val="20"/>
                <w:szCs w:val="20"/>
                <w:color w:val="auto"/>
              </w:rPr>
            </w:pPr>
          </w:p>
        </w:tc>
      </w:tr>
      <w:tr>
        <w:trPr>
          <w:trHeight w:val="242"/>
        </w:trPr>
        <w:tc>
          <w:tcPr>
            <w:tcW w:w="2360" w:type="dxa"/>
            <w:vAlign w:val="bottom"/>
            <w:tcBorders>
              <w:left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Greg L. Armstrong,</w:t>
            </w:r>
          </w:p>
        </w:tc>
        <w:tc>
          <w:tcPr>
            <w:tcW w:w="880" w:type="dxa"/>
            <w:vAlign w:val="bottom"/>
            <w:tcBorders>
              <w:right w:val="single" w:sz="8" w:color="434F69"/>
            </w:tcBorders>
          </w:tcPr>
          <w:p>
            <w:pPr>
              <w:spacing w:after="0"/>
              <w:rPr>
                <w:sz w:val="21"/>
                <w:szCs w:val="21"/>
                <w:color w:val="auto"/>
              </w:rPr>
            </w:pPr>
          </w:p>
        </w:tc>
        <w:tc>
          <w:tcPr>
            <w:tcW w:w="800" w:type="dxa"/>
            <w:vAlign w:val="bottom"/>
            <w:tcBorders>
              <w:right w:val="single" w:sz="8" w:color="434F69"/>
            </w:tcBorders>
          </w:tcPr>
          <w:p>
            <w:pPr>
              <w:spacing w:after="0"/>
              <w:rPr>
                <w:sz w:val="21"/>
                <w:szCs w:val="21"/>
                <w:color w:val="auto"/>
              </w:rPr>
            </w:pPr>
          </w:p>
        </w:tc>
        <w:tc>
          <w:tcPr>
            <w:tcW w:w="1020" w:type="dxa"/>
            <w:vAlign w:val="bottom"/>
            <w:tcBorders>
              <w:right w:val="single" w:sz="8" w:color="434F69"/>
            </w:tcBorders>
          </w:tcPr>
          <w:p>
            <w:pPr>
              <w:spacing w:after="0"/>
              <w:rPr>
                <w:sz w:val="21"/>
                <w:szCs w:val="21"/>
                <w:color w:val="auto"/>
              </w:rPr>
            </w:pPr>
          </w:p>
        </w:tc>
        <w:tc>
          <w:tcPr>
            <w:tcW w:w="880" w:type="dxa"/>
            <w:vAlign w:val="bottom"/>
            <w:tcBorders>
              <w:right w:val="single" w:sz="8" w:color="434F69"/>
            </w:tcBorders>
          </w:tcPr>
          <w:p>
            <w:pPr>
              <w:spacing w:after="0"/>
              <w:rPr>
                <w:sz w:val="21"/>
                <w:szCs w:val="21"/>
                <w:color w:val="auto"/>
              </w:rPr>
            </w:pPr>
          </w:p>
        </w:tc>
        <w:tc>
          <w:tcPr>
            <w:tcW w:w="800" w:type="dxa"/>
            <w:vAlign w:val="bottom"/>
            <w:tcBorders>
              <w:right w:val="single" w:sz="8" w:color="434F69"/>
            </w:tcBorders>
          </w:tcPr>
          <w:p>
            <w:pPr>
              <w:spacing w:after="0"/>
              <w:rPr>
                <w:sz w:val="21"/>
                <w:szCs w:val="21"/>
                <w:color w:val="auto"/>
              </w:rPr>
            </w:pPr>
          </w:p>
        </w:tc>
        <w:tc>
          <w:tcPr>
            <w:tcW w:w="780" w:type="dxa"/>
            <w:vAlign w:val="bottom"/>
            <w:tcBorders>
              <w:right w:val="single" w:sz="8" w:color="434F69"/>
            </w:tcBorders>
          </w:tcPr>
          <w:p>
            <w:pPr>
              <w:spacing w:after="0"/>
              <w:rPr>
                <w:sz w:val="21"/>
                <w:szCs w:val="21"/>
                <w:color w:val="auto"/>
              </w:rPr>
            </w:pPr>
          </w:p>
        </w:tc>
        <w:tc>
          <w:tcPr>
            <w:tcW w:w="700" w:type="dxa"/>
            <w:vAlign w:val="bottom"/>
            <w:tcBorders>
              <w:right w:val="single" w:sz="8" w:color="434F69"/>
            </w:tcBorders>
          </w:tcPr>
          <w:p>
            <w:pPr>
              <w:spacing w:after="0"/>
              <w:rPr>
                <w:sz w:val="21"/>
                <w:szCs w:val="21"/>
                <w:color w:val="auto"/>
              </w:rPr>
            </w:pPr>
          </w:p>
        </w:tc>
      </w:tr>
      <w:tr>
        <w:trPr>
          <w:trHeight w:val="216"/>
        </w:trPr>
        <w:tc>
          <w:tcPr>
            <w:tcW w:w="2360" w:type="dxa"/>
            <w:vAlign w:val="bottom"/>
            <w:tcBorders>
              <w:left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Senior Advisor to the</w:t>
            </w:r>
          </w:p>
        </w:tc>
        <w:tc>
          <w:tcPr>
            <w:tcW w:w="880" w:type="dxa"/>
            <w:vAlign w:val="bottom"/>
            <w:tcBorders>
              <w:right w:val="single" w:sz="8" w:color="434F69"/>
            </w:tcBorders>
          </w:tcPr>
          <w:p>
            <w:pPr>
              <w:spacing w:after="0"/>
              <w:rPr>
                <w:sz w:val="18"/>
                <w:szCs w:val="18"/>
                <w:color w:val="auto"/>
              </w:rPr>
            </w:pPr>
          </w:p>
        </w:tc>
        <w:tc>
          <w:tcPr>
            <w:tcW w:w="800" w:type="dxa"/>
            <w:vAlign w:val="bottom"/>
            <w:tcBorders>
              <w:right w:val="single" w:sz="8" w:color="434F69"/>
            </w:tcBorders>
          </w:tcPr>
          <w:p>
            <w:pPr>
              <w:spacing w:after="0"/>
              <w:rPr>
                <w:sz w:val="18"/>
                <w:szCs w:val="18"/>
                <w:color w:val="auto"/>
              </w:rPr>
            </w:pPr>
          </w:p>
        </w:tc>
        <w:tc>
          <w:tcPr>
            <w:tcW w:w="1020" w:type="dxa"/>
            <w:vAlign w:val="bottom"/>
            <w:tcBorders>
              <w:right w:val="single" w:sz="8" w:color="434F69"/>
            </w:tcBorders>
          </w:tcPr>
          <w:p>
            <w:pPr>
              <w:spacing w:after="0"/>
              <w:rPr>
                <w:sz w:val="18"/>
                <w:szCs w:val="18"/>
                <w:color w:val="auto"/>
              </w:rPr>
            </w:pPr>
          </w:p>
        </w:tc>
        <w:tc>
          <w:tcPr>
            <w:tcW w:w="880" w:type="dxa"/>
            <w:vAlign w:val="bottom"/>
            <w:tcBorders>
              <w:right w:val="single" w:sz="8" w:color="434F69"/>
            </w:tcBorders>
          </w:tcPr>
          <w:p>
            <w:pPr>
              <w:spacing w:after="0"/>
              <w:rPr>
                <w:sz w:val="18"/>
                <w:szCs w:val="18"/>
                <w:color w:val="auto"/>
              </w:rPr>
            </w:pPr>
          </w:p>
        </w:tc>
        <w:tc>
          <w:tcPr>
            <w:tcW w:w="800" w:type="dxa"/>
            <w:vAlign w:val="bottom"/>
            <w:tcBorders>
              <w:right w:val="single" w:sz="8" w:color="434F69"/>
            </w:tcBorders>
          </w:tcPr>
          <w:p>
            <w:pPr>
              <w:spacing w:after="0"/>
              <w:rPr>
                <w:sz w:val="18"/>
                <w:szCs w:val="18"/>
                <w:color w:val="auto"/>
              </w:rPr>
            </w:pPr>
          </w:p>
        </w:tc>
        <w:tc>
          <w:tcPr>
            <w:tcW w:w="780" w:type="dxa"/>
            <w:vAlign w:val="bottom"/>
            <w:tcBorders>
              <w:right w:val="single" w:sz="8" w:color="434F69"/>
            </w:tcBorders>
          </w:tcPr>
          <w:p>
            <w:pPr>
              <w:spacing w:after="0"/>
              <w:rPr>
                <w:sz w:val="18"/>
                <w:szCs w:val="18"/>
                <w:color w:val="auto"/>
              </w:rPr>
            </w:pPr>
          </w:p>
        </w:tc>
        <w:tc>
          <w:tcPr>
            <w:tcW w:w="700" w:type="dxa"/>
            <w:vAlign w:val="bottom"/>
            <w:tcBorders>
              <w:right w:val="single" w:sz="8" w:color="434F69"/>
            </w:tcBorders>
          </w:tcPr>
          <w:p>
            <w:pPr>
              <w:spacing w:after="0"/>
              <w:rPr>
                <w:sz w:val="18"/>
                <w:szCs w:val="18"/>
                <w:color w:val="auto"/>
              </w:rPr>
            </w:pPr>
          </w:p>
        </w:tc>
      </w:tr>
      <w:tr>
        <w:trPr>
          <w:trHeight w:val="216"/>
        </w:trPr>
        <w:tc>
          <w:tcPr>
            <w:tcW w:w="2360" w:type="dxa"/>
            <w:vAlign w:val="bottom"/>
            <w:tcBorders>
              <w:left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CEO (former Chairman of</w:t>
            </w:r>
          </w:p>
        </w:tc>
        <w:tc>
          <w:tcPr>
            <w:tcW w:w="880" w:type="dxa"/>
            <w:vAlign w:val="bottom"/>
            <w:tcBorders>
              <w:right w:val="single" w:sz="8" w:color="434F69"/>
            </w:tcBorders>
          </w:tcPr>
          <w:p>
            <w:pPr>
              <w:spacing w:after="0"/>
              <w:rPr>
                <w:sz w:val="18"/>
                <w:szCs w:val="18"/>
                <w:color w:val="auto"/>
              </w:rPr>
            </w:pPr>
          </w:p>
        </w:tc>
        <w:tc>
          <w:tcPr>
            <w:tcW w:w="800" w:type="dxa"/>
            <w:vAlign w:val="bottom"/>
            <w:tcBorders>
              <w:right w:val="single" w:sz="8" w:color="434F69"/>
            </w:tcBorders>
          </w:tcPr>
          <w:p>
            <w:pPr>
              <w:spacing w:after="0"/>
              <w:rPr>
                <w:sz w:val="18"/>
                <w:szCs w:val="18"/>
                <w:color w:val="auto"/>
              </w:rPr>
            </w:pPr>
          </w:p>
        </w:tc>
        <w:tc>
          <w:tcPr>
            <w:tcW w:w="1020" w:type="dxa"/>
            <w:vAlign w:val="bottom"/>
            <w:tcBorders>
              <w:right w:val="single" w:sz="8" w:color="434F69"/>
            </w:tcBorders>
          </w:tcPr>
          <w:p>
            <w:pPr>
              <w:spacing w:after="0"/>
              <w:rPr>
                <w:sz w:val="18"/>
                <w:szCs w:val="18"/>
                <w:color w:val="auto"/>
              </w:rPr>
            </w:pPr>
          </w:p>
        </w:tc>
        <w:tc>
          <w:tcPr>
            <w:tcW w:w="880" w:type="dxa"/>
            <w:vAlign w:val="bottom"/>
            <w:tcBorders>
              <w:right w:val="single" w:sz="8" w:color="434F69"/>
            </w:tcBorders>
          </w:tcPr>
          <w:p>
            <w:pPr>
              <w:spacing w:after="0"/>
              <w:rPr>
                <w:sz w:val="18"/>
                <w:szCs w:val="18"/>
                <w:color w:val="auto"/>
              </w:rPr>
            </w:pPr>
          </w:p>
        </w:tc>
        <w:tc>
          <w:tcPr>
            <w:tcW w:w="800" w:type="dxa"/>
            <w:vAlign w:val="bottom"/>
            <w:tcBorders>
              <w:right w:val="single" w:sz="8" w:color="434F69"/>
            </w:tcBorders>
          </w:tcPr>
          <w:p>
            <w:pPr>
              <w:spacing w:after="0"/>
              <w:rPr>
                <w:sz w:val="18"/>
                <w:szCs w:val="18"/>
                <w:color w:val="auto"/>
              </w:rPr>
            </w:pPr>
          </w:p>
        </w:tc>
        <w:tc>
          <w:tcPr>
            <w:tcW w:w="780" w:type="dxa"/>
            <w:vAlign w:val="bottom"/>
            <w:tcBorders>
              <w:right w:val="single" w:sz="8" w:color="434F69"/>
            </w:tcBorders>
          </w:tcPr>
          <w:p>
            <w:pPr>
              <w:spacing w:after="0"/>
              <w:rPr>
                <w:sz w:val="18"/>
                <w:szCs w:val="18"/>
                <w:color w:val="auto"/>
              </w:rPr>
            </w:pPr>
          </w:p>
        </w:tc>
        <w:tc>
          <w:tcPr>
            <w:tcW w:w="700" w:type="dxa"/>
            <w:vAlign w:val="bottom"/>
            <w:tcBorders>
              <w:right w:val="single" w:sz="8" w:color="434F69"/>
            </w:tcBorders>
          </w:tcPr>
          <w:p>
            <w:pPr>
              <w:spacing w:after="0"/>
              <w:rPr>
                <w:sz w:val="18"/>
                <w:szCs w:val="18"/>
                <w:color w:val="auto"/>
              </w:rPr>
            </w:pPr>
          </w:p>
        </w:tc>
      </w:tr>
      <w:tr>
        <w:trPr>
          <w:trHeight w:val="237"/>
        </w:trPr>
        <w:tc>
          <w:tcPr>
            <w:tcW w:w="2360" w:type="dxa"/>
            <w:vAlign w:val="bottom"/>
            <w:tcBorders>
              <w:left w:val="single" w:sz="8" w:color="434F69"/>
              <w:bottom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the Board and CEO)*</w:t>
            </w:r>
          </w:p>
        </w:tc>
        <w:tc>
          <w:tcPr>
            <w:tcW w:w="88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1020" w:type="dxa"/>
            <w:vAlign w:val="bottom"/>
            <w:tcBorders>
              <w:bottom w:val="single" w:sz="8" w:color="434F69"/>
              <w:right w:val="single" w:sz="8" w:color="434F69"/>
            </w:tcBorders>
          </w:tcPr>
          <w:p>
            <w:pPr>
              <w:spacing w:after="0"/>
              <w:rPr>
                <w:sz w:val="20"/>
                <w:szCs w:val="20"/>
                <w:color w:val="auto"/>
              </w:rPr>
            </w:pPr>
          </w:p>
        </w:tc>
        <w:tc>
          <w:tcPr>
            <w:tcW w:w="880" w:type="dxa"/>
            <w:vAlign w:val="bottom"/>
            <w:tcBorders>
              <w:bottom w:val="single" w:sz="8" w:color="434F69"/>
              <w:right w:val="single" w:sz="8" w:color="434F69"/>
            </w:tcBorders>
          </w:tcPr>
          <w:p>
            <w:pPr>
              <w:spacing w:after="0"/>
              <w:rPr>
                <w:sz w:val="20"/>
                <w:szCs w:val="20"/>
                <w:color w:val="auto"/>
              </w:rPr>
            </w:pPr>
          </w:p>
        </w:tc>
        <w:tc>
          <w:tcPr>
            <w:tcW w:w="800" w:type="dxa"/>
            <w:vAlign w:val="bottom"/>
            <w:tcBorders>
              <w:bottom w:val="single" w:sz="8" w:color="434F69"/>
              <w:right w:val="single" w:sz="8" w:color="434F69"/>
            </w:tcBorders>
          </w:tcPr>
          <w:p>
            <w:pPr>
              <w:spacing w:after="0"/>
              <w:rPr>
                <w:sz w:val="20"/>
                <w:szCs w:val="20"/>
                <w:color w:val="auto"/>
              </w:rPr>
            </w:pPr>
          </w:p>
        </w:tc>
        <w:tc>
          <w:tcPr>
            <w:tcW w:w="780" w:type="dxa"/>
            <w:vAlign w:val="bottom"/>
            <w:tcBorders>
              <w:bottom w:val="single" w:sz="8" w:color="434F69"/>
              <w:right w:val="single" w:sz="8" w:color="434F69"/>
            </w:tcBorders>
          </w:tcPr>
          <w:p>
            <w:pPr>
              <w:spacing w:after="0"/>
              <w:rPr>
                <w:sz w:val="20"/>
                <w:szCs w:val="20"/>
                <w:color w:val="auto"/>
              </w:rPr>
            </w:pPr>
          </w:p>
        </w:tc>
        <w:tc>
          <w:tcPr>
            <w:tcW w:w="700" w:type="dxa"/>
            <w:vAlign w:val="bottom"/>
            <w:tcBorders>
              <w:bottom w:val="single" w:sz="8" w:color="434F69"/>
              <w:right w:val="single" w:sz="8" w:color="434F69"/>
            </w:tcBorders>
          </w:tcPr>
          <w:p>
            <w:pPr>
              <w:spacing w:after="0"/>
              <w:rPr>
                <w:sz w:val="20"/>
                <w:szCs w:val="20"/>
                <w:color w:val="auto"/>
              </w:rPr>
            </w:pPr>
          </w:p>
        </w:tc>
      </w:tr>
      <w:tr>
        <w:trPr>
          <w:trHeight w:val="297"/>
        </w:trPr>
        <w:tc>
          <w:tcPr>
            <w:tcW w:w="2360" w:type="dxa"/>
            <w:vAlign w:val="bottom"/>
            <w:tcBorders>
              <w:left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John T. Raymond*</w:t>
            </w: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1020" w:type="dxa"/>
            <w:vAlign w:val="bottom"/>
            <w:tcBorders>
              <w:right w:val="single" w:sz="8" w:color="434F69"/>
            </w:tcBorders>
          </w:tcPr>
          <w:p>
            <w:pPr>
              <w:spacing w:after="0"/>
              <w:rPr>
                <w:sz w:val="24"/>
                <w:szCs w:val="24"/>
                <w:color w:val="auto"/>
              </w:rPr>
            </w:pP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780" w:type="dxa"/>
            <w:vAlign w:val="bottom"/>
            <w:tcBorders>
              <w:right w:val="single" w:sz="8" w:color="434F69"/>
            </w:tcBorders>
          </w:tcPr>
          <w:p>
            <w:pPr>
              <w:spacing w:after="0"/>
              <w:rPr>
                <w:sz w:val="24"/>
                <w:szCs w:val="24"/>
                <w:color w:val="auto"/>
              </w:rPr>
            </w:pPr>
          </w:p>
        </w:tc>
        <w:tc>
          <w:tcPr>
            <w:tcW w:w="700" w:type="dxa"/>
            <w:vAlign w:val="bottom"/>
            <w:tcBorders>
              <w:right w:val="single" w:sz="8" w:color="434F69"/>
            </w:tcBorders>
          </w:tcPr>
          <w:p>
            <w:pPr>
              <w:spacing w:after="0"/>
              <w:rPr>
                <w:sz w:val="24"/>
                <w:szCs w:val="24"/>
                <w:color w:val="auto"/>
              </w:rPr>
            </w:pPr>
          </w:p>
        </w:tc>
      </w:tr>
      <w:tr>
        <w:trPr>
          <w:trHeight w:val="54"/>
        </w:trPr>
        <w:tc>
          <w:tcPr>
            <w:tcW w:w="2360" w:type="dxa"/>
            <w:vAlign w:val="bottom"/>
            <w:tcBorders>
              <w:left w:val="single" w:sz="8" w:color="434F69"/>
              <w:bottom w:val="single" w:sz="8" w:color="434F69"/>
              <w:right w:val="single" w:sz="8" w:color="434F69"/>
            </w:tcBorders>
          </w:tcPr>
          <w:p>
            <w:pPr>
              <w:spacing w:after="0"/>
              <w:rPr>
                <w:sz w:val="4"/>
                <w:szCs w:val="4"/>
                <w:color w:val="auto"/>
              </w:rPr>
            </w:pPr>
          </w:p>
        </w:tc>
        <w:tc>
          <w:tcPr>
            <w:tcW w:w="880" w:type="dxa"/>
            <w:vAlign w:val="bottom"/>
            <w:tcBorders>
              <w:bottom w:val="single" w:sz="8" w:color="434F69"/>
              <w:right w:val="single" w:sz="8" w:color="434F69"/>
            </w:tcBorders>
          </w:tcPr>
          <w:p>
            <w:pPr>
              <w:spacing w:after="0"/>
              <w:rPr>
                <w:sz w:val="4"/>
                <w:szCs w:val="4"/>
                <w:color w:val="auto"/>
              </w:rPr>
            </w:pPr>
          </w:p>
        </w:tc>
        <w:tc>
          <w:tcPr>
            <w:tcW w:w="800" w:type="dxa"/>
            <w:vAlign w:val="bottom"/>
            <w:tcBorders>
              <w:bottom w:val="single" w:sz="8" w:color="434F69"/>
              <w:right w:val="single" w:sz="8" w:color="434F69"/>
            </w:tcBorders>
          </w:tcPr>
          <w:p>
            <w:pPr>
              <w:spacing w:after="0"/>
              <w:rPr>
                <w:sz w:val="4"/>
                <w:szCs w:val="4"/>
                <w:color w:val="auto"/>
              </w:rPr>
            </w:pPr>
          </w:p>
        </w:tc>
        <w:tc>
          <w:tcPr>
            <w:tcW w:w="1020" w:type="dxa"/>
            <w:vAlign w:val="bottom"/>
            <w:tcBorders>
              <w:bottom w:val="single" w:sz="8" w:color="434F69"/>
              <w:right w:val="single" w:sz="8" w:color="434F69"/>
            </w:tcBorders>
          </w:tcPr>
          <w:p>
            <w:pPr>
              <w:spacing w:after="0"/>
              <w:rPr>
                <w:sz w:val="4"/>
                <w:szCs w:val="4"/>
                <w:color w:val="auto"/>
              </w:rPr>
            </w:pPr>
          </w:p>
        </w:tc>
        <w:tc>
          <w:tcPr>
            <w:tcW w:w="880" w:type="dxa"/>
            <w:vAlign w:val="bottom"/>
            <w:tcBorders>
              <w:bottom w:val="single" w:sz="8" w:color="434F69"/>
              <w:right w:val="single" w:sz="8" w:color="434F69"/>
            </w:tcBorders>
          </w:tcPr>
          <w:p>
            <w:pPr>
              <w:spacing w:after="0"/>
              <w:rPr>
                <w:sz w:val="4"/>
                <w:szCs w:val="4"/>
                <w:color w:val="auto"/>
              </w:rPr>
            </w:pPr>
          </w:p>
        </w:tc>
        <w:tc>
          <w:tcPr>
            <w:tcW w:w="800" w:type="dxa"/>
            <w:vAlign w:val="bottom"/>
            <w:tcBorders>
              <w:bottom w:val="single" w:sz="8" w:color="434F69"/>
              <w:right w:val="single" w:sz="8" w:color="434F69"/>
            </w:tcBorders>
          </w:tcPr>
          <w:p>
            <w:pPr>
              <w:spacing w:after="0"/>
              <w:rPr>
                <w:sz w:val="4"/>
                <w:szCs w:val="4"/>
                <w:color w:val="auto"/>
              </w:rPr>
            </w:pPr>
          </w:p>
        </w:tc>
        <w:tc>
          <w:tcPr>
            <w:tcW w:w="780" w:type="dxa"/>
            <w:vAlign w:val="bottom"/>
            <w:tcBorders>
              <w:bottom w:val="single" w:sz="8" w:color="434F69"/>
              <w:right w:val="single" w:sz="8" w:color="434F69"/>
            </w:tcBorders>
          </w:tcPr>
          <w:p>
            <w:pPr>
              <w:spacing w:after="0"/>
              <w:rPr>
                <w:sz w:val="4"/>
                <w:szCs w:val="4"/>
                <w:color w:val="auto"/>
              </w:rPr>
            </w:pPr>
          </w:p>
        </w:tc>
        <w:tc>
          <w:tcPr>
            <w:tcW w:w="700" w:type="dxa"/>
            <w:vAlign w:val="bottom"/>
            <w:tcBorders>
              <w:bottom w:val="single" w:sz="8" w:color="434F69"/>
              <w:right w:val="single" w:sz="8" w:color="434F69"/>
            </w:tcBorders>
          </w:tcPr>
          <w:p>
            <w:pPr>
              <w:spacing w:after="0"/>
              <w:rPr>
                <w:sz w:val="4"/>
                <w:szCs w:val="4"/>
                <w:color w:val="auto"/>
              </w:rPr>
            </w:pPr>
          </w:p>
        </w:tc>
      </w:tr>
      <w:tr>
        <w:trPr>
          <w:trHeight w:val="304"/>
        </w:trPr>
        <w:tc>
          <w:tcPr>
            <w:tcW w:w="2360" w:type="dxa"/>
            <w:vAlign w:val="bottom"/>
            <w:tcBorders>
              <w:left w:val="single" w:sz="8" w:color="434F69"/>
              <w:right w:val="single" w:sz="8" w:color="434F69"/>
            </w:tcBorders>
          </w:tcPr>
          <w:p>
            <w:pPr>
              <w:ind w:left="280"/>
              <w:spacing w:after="0"/>
              <w:rPr>
                <w:sz w:val="20"/>
                <w:szCs w:val="20"/>
                <w:color w:val="auto"/>
              </w:rPr>
            </w:pPr>
            <w:r>
              <w:rPr>
                <w:rFonts w:ascii="Arial" w:cs="Arial" w:eastAsia="Arial" w:hAnsi="Arial"/>
                <w:sz w:val="18"/>
                <w:szCs w:val="18"/>
                <w:color w:val="auto"/>
              </w:rPr>
              <w:t>Bobby S. Shackouls*</w:t>
            </w: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1020" w:type="dxa"/>
            <w:vAlign w:val="bottom"/>
            <w:tcBorders>
              <w:right w:val="single" w:sz="8" w:color="434F69"/>
            </w:tcBorders>
          </w:tcPr>
          <w:p>
            <w:pPr>
              <w:spacing w:after="0"/>
              <w:rPr>
                <w:sz w:val="24"/>
                <w:szCs w:val="24"/>
                <w:color w:val="auto"/>
              </w:rPr>
            </w:pP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780" w:type="dxa"/>
            <w:vAlign w:val="bottom"/>
            <w:tcBorders>
              <w:right w:val="single" w:sz="8" w:color="434F69"/>
            </w:tcBorders>
          </w:tcPr>
          <w:p>
            <w:pPr>
              <w:spacing w:after="0"/>
              <w:rPr>
                <w:sz w:val="24"/>
                <w:szCs w:val="24"/>
                <w:color w:val="auto"/>
              </w:rPr>
            </w:pPr>
          </w:p>
        </w:tc>
        <w:tc>
          <w:tcPr>
            <w:tcW w:w="700" w:type="dxa"/>
            <w:vAlign w:val="bottom"/>
            <w:tcBorders>
              <w:right w:val="single" w:sz="8" w:color="434F69"/>
            </w:tcBorders>
          </w:tcPr>
          <w:p>
            <w:pPr>
              <w:spacing w:after="0"/>
              <w:rPr>
                <w:sz w:val="24"/>
                <w:szCs w:val="24"/>
                <w:color w:val="auto"/>
              </w:rPr>
            </w:pPr>
          </w:p>
        </w:tc>
      </w:tr>
      <w:tr>
        <w:trPr>
          <w:trHeight w:val="108"/>
        </w:trPr>
        <w:tc>
          <w:tcPr>
            <w:tcW w:w="2360" w:type="dxa"/>
            <w:vAlign w:val="bottom"/>
            <w:tcBorders>
              <w:left w:val="single" w:sz="8" w:color="434F69"/>
              <w:bottom w:val="single" w:sz="8" w:color="434F69"/>
              <w:right w:val="single" w:sz="8" w:color="434F69"/>
            </w:tcBorders>
          </w:tcPr>
          <w:p>
            <w:pPr>
              <w:spacing w:after="0"/>
              <w:rPr>
                <w:sz w:val="9"/>
                <w:szCs w:val="9"/>
                <w:color w:val="auto"/>
              </w:rPr>
            </w:pPr>
          </w:p>
        </w:tc>
        <w:tc>
          <w:tcPr>
            <w:tcW w:w="880" w:type="dxa"/>
            <w:vAlign w:val="bottom"/>
            <w:tcBorders>
              <w:bottom w:val="single" w:sz="8" w:color="434F69"/>
              <w:right w:val="single" w:sz="8" w:color="434F69"/>
            </w:tcBorders>
          </w:tcPr>
          <w:p>
            <w:pPr>
              <w:spacing w:after="0"/>
              <w:rPr>
                <w:sz w:val="9"/>
                <w:szCs w:val="9"/>
                <w:color w:val="auto"/>
              </w:rPr>
            </w:pPr>
          </w:p>
        </w:tc>
        <w:tc>
          <w:tcPr>
            <w:tcW w:w="800" w:type="dxa"/>
            <w:vAlign w:val="bottom"/>
            <w:tcBorders>
              <w:bottom w:val="single" w:sz="8" w:color="434F69"/>
              <w:right w:val="single" w:sz="8" w:color="434F69"/>
            </w:tcBorders>
          </w:tcPr>
          <w:p>
            <w:pPr>
              <w:spacing w:after="0"/>
              <w:rPr>
                <w:sz w:val="9"/>
                <w:szCs w:val="9"/>
                <w:color w:val="auto"/>
              </w:rPr>
            </w:pPr>
          </w:p>
        </w:tc>
        <w:tc>
          <w:tcPr>
            <w:tcW w:w="1020" w:type="dxa"/>
            <w:vAlign w:val="bottom"/>
            <w:tcBorders>
              <w:bottom w:val="single" w:sz="8" w:color="434F69"/>
              <w:right w:val="single" w:sz="8" w:color="434F69"/>
            </w:tcBorders>
          </w:tcPr>
          <w:p>
            <w:pPr>
              <w:spacing w:after="0"/>
              <w:rPr>
                <w:sz w:val="9"/>
                <w:szCs w:val="9"/>
                <w:color w:val="auto"/>
              </w:rPr>
            </w:pPr>
          </w:p>
        </w:tc>
        <w:tc>
          <w:tcPr>
            <w:tcW w:w="880" w:type="dxa"/>
            <w:vAlign w:val="bottom"/>
            <w:tcBorders>
              <w:bottom w:val="single" w:sz="8" w:color="434F69"/>
              <w:right w:val="single" w:sz="8" w:color="434F69"/>
            </w:tcBorders>
          </w:tcPr>
          <w:p>
            <w:pPr>
              <w:spacing w:after="0"/>
              <w:rPr>
                <w:sz w:val="9"/>
                <w:szCs w:val="9"/>
                <w:color w:val="auto"/>
              </w:rPr>
            </w:pPr>
          </w:p>
        </w:tc>
        <w:tc>
          <w:tcPr>
            <w:tcW w:w="800" w:type="dxa"/>
            <w:vAlign w:val="bottom"/>
            <w:tcBorders>
              <w:bottom w:val="single" w:sz="8" w:color="434F69"/>
              <w:right w:val="single" w:sz="8" w:color="434F69"/>
            </w:tcBorders>
          </w:tcPr>
          <w:p>
            <w:pPr>
              <w:spacing w:after="0"/>
              <w:rPr>
                <w:sz w:val="9"/>
                <w:szCs w:val="9"/>
                <w:color w:val="auto"/>
              </w:rPr>
            </w:pPr>
          </w:p>
        </w:tc>
        <w:tc>
          <w:tcPr>
            <w:tcW w:w="780" w:type="dxa"/>
            <w:vAlign w:val="bottom"/>
            <w:tcBorders>
              <w:bottom w:val="single" w:sz="8" w:color="434F69"/>
              <w:right w:val="single" w:sz="8" w:color="434F69"/>
            </w:tcBorders>
          </w:tcPr>
          <w:p>
            <w:pPr>
              <w:spacing w:after="0"/>
              <w:rPr>
                <w:sz w:val="9"/>
                <w:szCs w:val="9"/>
                <w:color w:val="auto"/>
              </w:rPr>
            </w:pPr>
          </w:p>
        </w:tc>
        <w:tc>
          <w:tcPr>
            <w:tcW w:w="700" w:type="dxa"/>
            <w:vAlign w:val="bottom"/>
            <w:tcBorders>
              <w:bottom w:val="single" w:sz="8" w:color="434F69"/>
              <w:right w:val="single" w:sz="8" w:color="434F69"/>
            </w:tcBorders>
          </w:tcPr>
          <w:p>
            <w:pPr>
              <w:spacing w:after="0"/>
              <w:rPr>
                <w:sz w:val="9"/>
                <w:szCs w:val="9"/>
                <w:color w:val="auto"/>
              </w:rPr>
            </w:pPr>
          </w:p>
        </w:tc>
      </w:tr>
      <w:tr>
        <w:trPr>
          <w:trHeight w:val="290"/>
        </w:trPr>
        <w:tc>
          <w:tcPr>
            <w:tcW w:w="2360" w:type="dxa"/>
            <w:vAlign w:val="bottom"/>
            <w:tcBorders>
              <w:left w:val="single" w:sz="8" w:color="434F69"/>
              <w:right w:val="single" w:sz="8" w:color="434F69"/>
            </w:tcBorders>
          </w:tcPr>
          <w:p>
            <w:pPr>
              <w:ind w:left="260"/>
              <w:spacing w:after="0"/>
              <w:rPr>
                <w:sz w:val="20"/>
                <w:szCs w:val="20"/>
                <w:color w:val="auto"/>
              </w:rPr>
            </w:pPr>
            <w:r>
              <w:rPr>
                <w:rFonts w:ascii="Arial" w:cs="Arial" w:eastAsia="Arial" w:hAnsi="Arial"/>
                <w:sz w:val="18"/>
                <w:szCs w:val="18"/>
                <w:color w:val="auto"/>
              </w:rPr>
              <w:t>Christopher M. Temple*</w:t>
            </w: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1020" w:type="dxa"/>
            <w:vAlign w:val="bottom"/>
            <w:tcBorders>
              <w:right w:val="single" w:sz="8" w:color="434F69"/>
            </w:tcBorders>
          </w:tcPr>
          <w:p>
            <w:pPr>
              <w:spacing w:after="0"/>
              <w:rPr>
                <w:sz w:val="24"/>
                <w:szCs w:val="24"/>
                <w:color w:val="auto"/>
              </w:rPr>
            </w:pPr>
          </w:p>
        </w:tc>
        <w:tc>
          <w:tcPr>
            <w:tcW w:w="880" w:type="dxa"/>
            <w:vAlign w:val="bottom"/>
            <w:tcBorders>
              <w:right w:val="single" w:sz="8" w:color="434F69"/>
            </w:tcBorders>
          </w:tcPr>
          <w:p>
            <w:pPr>
              <w:spacing w:after="0"/>
              <w:rPr>
                <w:sz w:val="24"/>
                <w:szCs w:val="24"/>
                <w:color w:val="auto"/>
              </w:rPr>
            </w:pPr>
          </w:p>
        </w:tc>
        <w:tc>
          <w:tcPr>
            <w:tcW w:w="800" w:type="dxa"/>
            <w:vAlign w:val="bottom"/>
            <w:tcBorders>
              <w:right w:val="single" w:sz="8" w:color="434F69"/>
            </w:tcBorders>
          </w:tcPr>
          <w:p>
            <w:pPr>
              <w:spacing w:after="0"/>
              <w:rPr>
                <w:sz w:val="24"/>
                <w:szCs w:val="24"/>
                <w:color w:val="auto"/>
              </w:rPr>
            </w:pPr>
          </w:p>
        </w:tc>
        <w:tc>
          <w:tcPr>
            <w:tcW w:w="780" w:type="dxa"/>
            <w:vAlign w:val="bottom"/>
            <w:tcBorders>
              <w:right w:val="single" w:sz="8" w:color="434F69"/>
            </w:tcBorders>
          </w:tcPr>
          <w:p>
            <w:pPr>
              <w:spacing w:after="0"/>
              <w:rPr>
                <w:sz w:val="24"/>
                <w:szCs w:val="24"/>
                <w:color w:val="auto"/>
              </w:rPr>
            </w:pPr>
          </w:p>
        </w:tc>
        <w:tc>
          <w:tcPr>
            <w:tcW w:w="700" w:type="dxa"/>
            <w:vAlign w:val="bottom"/>
            <w:tcBorders>
              <w:right w:val="single" w:sz="8" w:color="434F69"/>
            </w:tcBorders>
          </w:tcPr>
          <w:p>
            <w:pPr>
              <w:spacing w:after="0"/>
              <w:rPr>
                <w:sz w:val="24"/>
                <w:szCs w:val="24"/>
                <w:color w:val="auto"/>
              </w:rPr>
            </w:pPr>
          </w:p>
        </w:tc>
      </w:tr>
      <w:tr>
        <w:trPr>
          <w:trHeight w:val="108"/>
        </w:trPr>
        <w:tc>
          <w:tcPr>
            <w:tcW w:w="2360" w:type="dxa"/>
            <w:vAlign w:val="bottom"/>
            <w:tcBorders>
              <w:left w:val="single" w:sz="8" w:color="434F69"/>
              <w:bottom w:val="single" w:sz="8" w:color="434F69"/>
              <w:right w:val="single" w:sz="8" w:color="434F69"/>
            </w:tcBorders>
          </w:tcPr>
          <w:p>
            <w:pPr>
              <w:spacing w:after="0"/>
              <w:rPr>
                <w:sz w:val="9"/>
                <w:szCs w:val="9"/>
                <w:color w:val="auto"/>
              </w:rPr>
            </w:pPr>
          </w:p>
        </w:tc>
        <w:tc>
          <w:tcPr>
            <w:tcW w:w="880" w:type="dxa"/>
            <w:vAlign w:val="bottom"/>
            <w:tcBorders>
              <w:bottom w:val="single" w:sz="8" w:color="434F69"/>
              <w:right w:val="single" w:sz="8" w:color="434F69"/>
            </w:tcBorders>
          </w:tcPr>
          <w:p>
            <w:pPr>
              <w:spacing w:after="0"/>
              <w:rPr>
                <w:sz w:val="9"/>
                <w:szCs w:val="9"/>
                <w:color w:val="auto"/>
              </w:rPr>
            </w:pPr>
          </w:p>
        </w:tc>
        <w:tc>
          <w:tcPr>
            <w:tcW w:w="800" w:type="dxa"/>
            <w:vAlign w:val="bottom"/>
            <w:tcBorders>
              <w:bottom w:val="single" w:sz="8" w:color="434F69"/>
              <w:right w:val="single" w:sz="8" w:color="434F69"/>
            </w:tcBorders>
          </w:tcPr>
          <w:p>
            <w:pPr>
              <w:spacing w:after="0"/>
              <w:rPr>
                <w:sz w:val="9"/>
                <w:szCs w:val="9"/>
                <w:color w:val="auto"/>
              </w:rPr>
            </w:pPr>
          </w:p>
        </w:tc>
        <w:tc>
          <w:tcPr>
            <w:tcW w:w="1020" w:type="dxa"/>
            <w:vAlign w:val="bottom"/>
            <w:tcBorders>
              <w:bottom w:val="single" w:sz="8" w:color="434F69"/>
              <w:right w:val="single" w:sz="8" w:color="434F69"/>
            </w:tcBorders>
          </w:tcPr>
          <w:p>
            <w:pPr>
              <w:spacing w:after="0"/>
              <w:rPr>
                <w:sz w:val="9"/>
                <w:szCs w:val="9"/>
                <w:color w:val="auto"/>
              </w:rPr>
            </w:pPr>
          </w:p>
        </w:tc>
        <w:tc>
          <w:tcPr>
            <w:tcW w:w="880" w:type="dxa"/>
            <w:vAlign w:val="bottom"/>
            <w:tcBorders>
              <w:bottom w:val="single" w:sz="8" w:color="434F69"/>
              <w:right w:val="single" w:sz="8" w:color="434F69"/>
            </w:tcBorders>
          </w:tcPr>
          <w:p>
            <w:pPr>
              <w:spacing w:after="0"/>
              <w:rPr>
                <w:sz w:val="9"/>
                <w:szCs w:val="9"/>
                <w:color w:val="auto"/>
              </w:rPr>
            </w:pPr>
          </w:p>
        </w:tc>
        <w:tc>
          <w:tcPr>
            <w:tcW w:w="800" w:type="dxa"/>
            <w:vAlign w:val="bottom"/>
            <w:tcBorders>
              <w:bottom w:val="single" w:sz="8" w:color="434F69"/>
              <w:right w:val="single" w:sz="8" w:color="434F69"/>
            </w:tcBorders>
          </w:tcPr>
          <w:p>
            <w:pPr>
              <w:spacing w:after="0"/>
              <w:rPr>
                <w:sz w:val="9"/>
                <w:szCs w:val="9"/>
                <w:color w:val="auto"/>
              </w:rPr>
            </w:pPr>
          </w:p>
        </w:tc>
        <w:tc>
          <w:tcPr>
            <w:tcW w:w="780" w:type="dxa"/>
            <w:vAlign w:val="bottom"/>
            <w:tcBorders>
              <w:bottom w:val="single" w:sz="8" w:color="434F69"/>
              <w:right w:val="single" w:sz="8" w:color="434F69"/>
            </w:tcBorders>
          </w:tcPr>
          <w:p>
            <w:pPr>
              <w:spacing w:after="0"/>
              <w:rPr>
                <w:sz w:val="9"/>
                <w:szCs w:val="9"/>
                <w:color w:val="auto"/>
              </w:rPr>
            </w:pPr>
          </w:p>
        </w:tc>
        <w:tc>
          <w:tcPr>
            <w:tcW w:w="700" w:type="dxa"/>
            <w:vAlign w:val="bottom"/>
            <w:tcBorders>
              <w:bottom w:val="single" w:sz="8" w:color="434F69"/>
              <w:right w:val="single" w:sz="8" w:color="434F6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-3694430</wp:posOffset>
            </wp:positionV>
            <wp:extent cx="1371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-3719830</wp:posOffset>
            </wp:positionV>
            <wp:extent cx="137160"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19748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-3420110</wp:posOffset>
            </wp:positionV>
            <wp:extent cx="137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-3420110</wp:posOffset>
            </wp:positionV>
            <wp:extent cx="1460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-3420110</wp:posOffset>
            </wp:positionV>
            <wp:extent cx="1460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-3188335</wp:posOffset>
            </wp:positionV>
            <wp:extent cx="1371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-3188335</wp:posOffset>
            </wp:positionV>
            <wp:extent cx="1460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-3188335</wp:posOffset>
            </wp:positionV>
            <wp:extent cx="1371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-2648585</wp:posOffset>
            </wp:positionV>
            <wp:extent cx="137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-2648585</wp:posOffset>
            </wp:positionV>
            <wp:extent cx="1371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-2416810</wp:posOffset>
            </wp:positionV>
            <wp:extent cx="1371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-2142490</wp:posOffset>
            </wp:positionV>
            <wp:extent cx="1371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-1868170</wp:posOffset>
            </wp:positionV>
            <wp:extent cx="1371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-1868170</wp:posOffset>
            </wp:positionV>
            <wp:extent cx="1460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-1868170</wp:posOffset>
            </wp:positionV>
            <wp:extent cx="14605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-1139825</wp:posOffset>
            </wp:positionV>
            <wp:extent cx="1371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-728345</wp:posOffset>
            </wp:positionV>
            <wp:extent cx="1371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-728345</wp:posOffset>
            </wp:positionV>
            <wp:extent cx="1371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-479425</wp:posOffset>
            </wp:positionV>
            <wp:extent cx="137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-479425</wp:posOffset>
            </wp:positionV>
            <wp:extent cx="1371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-505460</wp:posOffset>
            </wp:positionV>
            <wp:extent cx="137160"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19685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-205105</wp:posOffset>
            </wp:positionV>
            <wp:extent cx="137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-205105</wp:posOffset>
            </wp:positionV>
            <wp:extent cx="1460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-205105</wp:posOffset>
            </wp:positionV>
            <wp:extent cx="1460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20" w:lineRule="exact"/>
        <w:rPr>
          <w:sz w:val="20"/>
          <w:szCs w:val="20"/>
          <w:color w:val="auto"/>
        </w:rPr>
      </w:pPr>
    </w:p>
    <w:p>
      <w:pPr>
        <w:ind w:left="1620" w:hanging="36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Nominated by the Board for re-election at the 2021 Annual Meeting.</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Determined by the Board to be independent under applicable Nasdaq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0287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1620" w:right="919"/>
        <w:spacing w:after="0" w:line="336" w:lineRule="auto"/>
        <w:rPr>
          <w:sz w:val="20"/>
          <w:szCs w:val="20"/>
          <w:color w:val="auto"/>
        </w:rPr>
      </w:pPr>
      <w:r>
        <w:rPr>
          <w:rFonts w:ascii="Arial" w:cs="Arial" w:eastAsia="Arial" w:hAnsi="Arial"/>
          <w:sz w:val="18"/>
          <w:szCs w:val="18"/>
          <w:color w:val="auto"/>
        </w:rPr>
        <w:t>Designated Director or Company Employee — independence has not been assessed by the Board.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-332740</wp:posOffset>
            </wp:positionV>
            <wp:extent cx="10287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-152400</wp:posOffset>
            </wp:positionV>
            <wp:extent cx="111125"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Committee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0287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-95885</wp:posOffset>
            </wp:positionV>
            <wp:extent cx="10287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145415"/>
                    </a:xfrm>
                    <a:prstGeom prst="rect">
                      <a:avLst/>
                    </a:prstGeom>
                    <a:noFill/>
                  </pic:spPr>
                </pic:pic>
              </a:graphicData>
            </a:graphic>
          </wp:anchor>
        </w:drawing>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126365</wp:posOffset>
            </wp:positionV>
            <wp:extent cx="12344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-95885</wp:posOffset>
            </wp:positionV>
            <wp:extent cx="10287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46050"/>
                    </a:xfrm>
                    <a:prstGeom prst="rect">
                      <a:avLst/>
                    </a:prstGeom>
                    <a:noFill/>
                  </pic:spPr>
                </pic:pic>
              </a:graphicData>
            </a:graphic>
          </wp:anchor>
        </w:drawing>
      </w:r>
    </w:p>
    <w:p>
      <w:pPr>
        <w:spacing w:after="0" w:line="233" w:lineRule="exact"/>
        <w:rPr>
          <w:sz w:val="20"/>
          <w:szCs w:val="20"/>
          <w:color w:val="auto"/>
        </w:rPr>
      </w:pPr>
    </w:p>
    <w:p>
      <w:pPr>
        <w:ind w:left="1620" w:hanging="360"/>
        <w:spacing w:after="0"/>
        <w:tabs>
          <w:tab w:leader="none" w:pos="16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Mr. McCarthy serves as Kayne Anderson’s designated director.</w:t>
      </w:r>
    </w:p>
    <w:p>
      <w:pPr>
        <w:sectPr>
          <w:pgSz w:w="11900" w:h="16838" w:orient="portrait"/>
          <w:cols w:equalWidth="0" w:num="1">
            <w:col w:w="9879"/>
          </w:cols>
          <w:pgMar w:left="580" w:top="132" w:right="1440" w:bottom="1440" w:gutter="0" w:footer="0" w:header="0"/>
        </w:sectPr>
      </w:pPr>
    </w:p>
    <w:p>
      <w:pPr>
        <w:spacing w:after="0" w:line="39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As described in the summary above, since 2016, the Board has taken numerous meaningful steps to provide PAGP shareholders and PAA unitholders the right to vote for members of the Board. At a special meeting of PAGP shareholders called by the Board and held in November 2016 in connection with our simplification transaction (the “Simplification Transaction”), our shareholders overwhelmingly approved the following changes to our governing documents, among others:</w:t>
      </w:r>
    </w:p>
    <w:p>
      <w:pPr>
        <w:spacing w:after="0" w:line="80" w:lineRule="exact"/>
        <w:rPr>
          <w:sz w:val="20"/>
          <w:szCs w:val="20"/>
          <w:color w:val="auto"/>
        </w:rPr>
      </w:pPr>
    </w:p>
    <w:p>
      <w:pPr>
        <w:ind w:left="1800" w:right="6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for PAA and PAGP that resulted in the Board being responsible for the governance of PAGP, AAP and PAA; and</w:t>
      </w:r>
    </w:p>
    <w:p>
      <w:pPr>
        <w:spacing w:after="0" w:line="62" w:lineRule="exact"/>
        <w:rPr>
          <w:rFonts w:ascii="Arial" w:cs="Arial" w:eastAsia="Arial" w:hAnsi="Arial"/>
          <w:sz w:val="18"/>
          <w:szCs w:val="18"/>
          <w:color w:val="auto"/>
        </w:rPr>
      </w:pPr>
    </w:p>
    <w:p>
      <w:pPr>
        <w:ind w:left="1800" w:right="559" w:hanging="180"/>
        <w:spacing w:after="0" w:line="286"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division of the Board into three classes and the commencement of shareholder elections of directors by class starting in 2018, with the participation and enfranchisement of all shareholders of PAGP and all public common unitholders and Series A preferred unitholders of PAA.</w:t>
      </w:r>
    </w:p>
    <w:p>
      <w:pPr>
        <w:spacing w:after="0" w:line="84"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These features distinguish PAGP and PAA from many of their midstream master limited partnership peers. It is important to note that all but one of the current director positions is subject to public election on a staggered three-year basis, with the lone exception being attributable to a previously negotiated contractual right to designate a director held by Kayne Anderson. Pursuant to our governing documents, Kayne Anderson is legally and contractually entitled to designate a director for so long as Kayne Anderson and its affiliates maintain a 10% “qualifying ownership interest” in AAP (as defined in our governing documents). Kayne Anderson’s designated director is Kevin McCarthy.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is regarded by many as a structure that, together with other factors, produces a degree of alignment with our investors that places us at the top of our master limited partnership peers for the midstream sector regarding governance structure and rights. The Board believes that the continued implementation of the modified governance structure as approved by PAGP’s shareholders, together with honoring and abiding by the contractual designation right held by Kayne Anderson, is in line with the will and expectations of investors in PAA and PAGP.</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62"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With respect to any director nominations made by the Board in connection with annual director elections or in the event of a vacancy with respect to directors other than a designated director, in each case to the extent requested by the Chairman of the Board, the governance committee assists in identifying and screening potential candidates. The governance committee makes its recommendations based on an assessment of the skills, experience and characteristics of the candidate in the context of the needs of the Board. It is the policy and practice of the governance committee and the Board to consider diversity in a number of areas (including diversity of gender, race and ethnicity) in connection with the process of identifying and assessing potential Board candidates.</w:t>
      </w:r>
    </w:p>
    <w:p>
      <w:pPr>
        <w:spacing w:after="0" w:line="111"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During 2019, with the assistance of the governance committee, the Board initiated a board assessment, refreshment and succession planning process. This process includes (i) an annual 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director evaluations are updated on a regular basis. The governance committee also oversees the Board’s annual self-assessment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In evaluating director nominees and in reviewing the qualifications and experience of the directors continuing in office, the governance committee and Board consider a variety of factors, including independence, financial literacy, personal and professional accomplishments, diversity and experience in light of the needs of the company. For incumbent directors, factors also include past performance on the Board. The Board has determined that it is beneficial to have individuals on the Board with the following skills, experiences, and characteristics (See the Director Skills Matrix below for an overview of the skills, experiences and characteristics of our current Board members):</w:t>
      </w:r>
    </w:p>
    <w:p>
      <w:pPr>
        <w:spacing w:after="0" w:line="148" w:lineRule="exact"/>
        <w:rPr>
          <w:sz w:val="20"/>
          <w:szCs w:val="20"/>
          <w:color w:val="auto"/>
        </w:rPr>
      </w:pPr>
    </w:p>
    <w:tbl>
      <w:tblPr>
        <w:tblLayout w:type="fixed"/>
        <w:tblInd w:w="1270" w:type="dxa"/>
        <w:tblCellMar>
          <w:top w:w="0" w:type="dxa"/>
          <w:left w:w="0" w:type="dxa"/>
          <w:bottom w:w="0" w:type="dxa"/>
          <w:right w:w="0" w:type="dxa"/>
        </w:tblCellMar>
      </w:tblPr>
      <w:tr>
        <w:trPr>
          <w:trHeight w:val="350"/>
        </w:trPr>
        <w:tc>
          <w:tcPr>
            <w:tcW w:w="4120" w:type="dxa"/>
            <w:vAlign w:val="bottom"/>
            <w:tcBorders>
              <w:top w:val="single" w:sz="8" w:color="auto"/>
              <w:left w:val="single" w:sz="8" w:color="auto"/>
              <w:right w:val="single" w:sz="8" w:color="auto"/>
            </w:tcBorders>
            <w:gridSpan w:val="8"/>
          </w:tcPr>
          <w:p>
            <w:pPr>
              <w:jc w:val="center"/>
              <w:ind w:right="100"/>
              <w:spacing w:after="0"/>
              <w:rPr>
                <w:sz w:val="20"/>
                <w:szCs w:val="20"/>
                <w:color w:val="auto"/>
              </w:rPr>
            </w:pPr>
            <w:r>
              <w:rPr>
                <w:rFonts w:ascii="Arial" w:cs="Arial" w:eastAsia="Arial" w:hAnsi="Arial"/>
                <w:sz w:val="18"/>
                <w:szCs w:val="18"/>
                <w:color w:val="auto"/>
              </w:rPr>
              <w:t>•   Public Company Experience (Officer/Director)</w:t>
            </w: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Industry Experience</w:t>
            </w: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160"/>
              <w:spacing w:after="0"/>
              <w:rPr>
                <w:sz w:val="20"/>
                <w:szCs w:val="20"/>
                <w:color w:val="auto"/>
              </w:rPr>
            </w:pPr>
            <w:r>
              <w:rPr>
                <w:rFonts w:ascii="Arial" w:cs="Arial" w:eastAsia="Arial" w:hAnsi="Arial"/>
                <w:sz w:val="18"/>
                <w:szCs w:val="18"/>
                <w:color w:val="auto"/>
              </w:rPr>
              <w:t>Finance/Accounting</w:t>
            </w: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auto"/>
                <w:w w:val="95"/>
              </w:rPr>
              <w:t>(Upstream/Midstream/Downstream)</w:t>
            </w:r>
          </w:p>
        </w:tc>
        <w:tc>
          <w:tcPr>
            <w:tcW w:w="52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60" w:type="dxa"/>
            <w:vAlign w:val="bottom"/>
            <w:tcBorders>
              <w:right w:val="single" w:sz="8" w:color="auto"/>
            </w:tcBorders>
            <w:gridSpan w:val="7"/>
          </w:tcPr>
          <w:p>
            <w:pPr>
              <w:ind w:left="160"/>
              <w:spacing w:after="0"/>
              <w:rPr>
                <w:sz w:val="20"/>
                <w:szCs w:val="20"/>
                <w:color w:val="auto"/>
              </w:rPr>
            </w:pPr>
            <w:r>
              <w:rPr>
                <w:rFonts w:ascii="Arial" w:cs="Arial" w:eastAsia="Arial" w:hAnsi="Arial"/>
                <w:sz w:val="18"/>
                <w:szCs w:val="18"/>
                <w:color w:val="auto"/>
              </w:rPr>
              <w:t>Business Development/Strategy/Commercial</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spacing w:after="0"/>
              <w:rPr>
                <w:sz w:val="20"/>
                <w:szCs w:val="20"/>
                <w:color w:val="auto"/>
              </w:rPr>
            </w:pPr>
            <w:r>
              <w:rPr>
                <w:rFonts w:ascii="Arial" w:cs="Arial" w:eastAsia="Arial" w:hAnsi="Arial"/>
                <w:sz w:val="18"/>
                <w:szCs w:val="18"/>
                <w:color w:val="auto"/>
              </w:rPr>
              <w:t>Private Equity</w:t>
            </w: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60" w:type="dxa"/>
            <w:vAlign w:val="bottom"/>
            <w:tcBorders>
              <w:right w:val="single" w:sz="8" w:color="auto"/>
            </w:tcBorders>
            <w:gridSpan w:val="7"/>
          </w:tcPr>
          <w:p>
            <w:pPr>
              <w:jc w:val="center"/>
              <w:ind w:right="420"/>
              <w:spacing w:after="0"/>
              <w:rPr>
                <w:sz w:val="20"/>
                <w:szCs w:val="20"/>
                <w:color w:val="auto"/>
              </w:rPr>
            </w:pPr>
            <w:r>
              <w:rPr>
                <w:rFonts w:ascii="Arial" w:cs="Arial" w:eastAsia="Arial" w:hAnsi="Arial"/>
                <w:sz w:val="18"/>
                <w:szCs w:val="18"/>
                <w:color w:val="auto"/>
                <w:w w:val="94"/>
              </w:rPr>
              <w:t>Legal/Governance/Government Relations</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2740" w:type="dxa"/>
            <w:vAlign w:val="bottom"/>
            <w:gridSpan w:val="6"/>
          </w:tcPr>
          <w:p>
            <w:pPr>
              <w:spacing w:after="0"/>
              <w:rPr>
                <w:sz w:val="20"/>
                <w:szCs w:val="20"/>
                <w:color w:val="auto"/>
              </w:rPr>
            </w:pPr>
            <w:r>
              <w:rPr>
                <w:rFonts w:ascii="Arial" w:cs="Arial" w:eastAsia="Arial" w:hAnsi="Arial"/>
                <w:sz w:val="18"/>
                <w:szCs w:val="18"/>
                <w:color w:val="auto"/>
              </w:rPr>
              <w:t>Diversity (Gender/Race/Ethnicity)</w:t>
            </w:r>
          </w:p>
        </w:tc>
        <w:tc>
          <w:tcPr>
            <w:tcW w:w="52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060" w:type="dxa"/>
            <w:vAlign w:val="bottom"/>
            <w:gridSpan w:val="5"/>
          </w:tcPr>
          <w:p>
            <w:pPr>
              <w:ind w:left="160"/>
              <w:spacing w:after="0"/>
              <w:rPr>
                <w:sz w:val="20"/>
                <w:szCs w:val="20"/>
                <w:color w:val="auto"/>
              </w:rPr>
            </w:pPr>
            <w:r>
              <w:rPr>
                <w:rFonts w:ascii="Arial" w:cs="Arial" w:eastAsia="Arial" w:hAnsi="Arial"/>
                <w:sz w:val="18"/>
                <w:szCs w:val="18"/>
                <w:color w:val="auto"/>
                <w:w w:val="96"/>
              </w:rPr>
              <w:t>Operations/Engineering/Construction</w:t>
            </w:r>
          </w:p>
        </w:tc>
        <w:tc>
          <w:tcPr>
            <w:tcW w:w="7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0" w:type="dxa"/>
            <w:vAlign w:val="bottom"/>
            <w:tcBorders>
              <w:left w:val="single" w:sz="8" w:color="auto"/>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Cybersecurity/IT</w:t>
            </w: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0"/>
              </w:rPr>
              <w:t>Director Skills Matrix</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0" w:type="dxa"/>
            <w:vAlign w:val="bottom"/>
            <w:tcBorders>
              <w:left w:val="single" w:sz="8" w:color="434F69"/>
              <w:bottom w:val="single" w:sz="8" w:color="434F69"/>
            </w:tcBorders>
            <w:shd w:val="clear" w:color="auto" w:fill="434F69"/>
          </w:tcPr>
          <w:p>
            <w:pPr>
              <w:spacing w:after="0"/>
              <w:rPr>
                <w:sz w:val="19"/>
                <w:szCs w:val="19"/>
                <w:color w:val="auto"/>
              </w:rPr>
            </w:pPr>
          </w:p>
        </w:tc>
        <w:tc>
          <w:tcPr>
            <w:tcW w:w="1360" w:type="dxa"/>
            <w:vAlign w:val="bottom"/>
            <w:tcBorders>
              <w:bottom w:val="single" w:sz="8" w:color="434F69"/>
              <w:right w:val="single" w:sz="8" w:color="auto"/>
            </w:tcBorders>
            <w:shd w:val="clear" w:color="auto" w:fill="434F69"/>
          </w:tcPr>
          <w:p>
            <w:pPr>
              <w:spacing w:after="0"/>
              <w:rPr>
                <w:sz w:val="19"/>
                <w:szCs w:val="19"/>
                <w:color w:val="auto"/>
              </w:rPr>
            </w:pPr>
          </w:p>
        </w:tc>
        <w:tc>
          <w:tcPr>
            <w:tcW w:w="20" w:type="dxa"/>
            <w:vAlign w:val="bottom"/>
            <w:tcBorders>
              <w:bottom w:val="single" w:sz="8" w:color="434F69"/>
            </w:tcBorders>
            <w:shd w:val="clear" w:color="auto" w:fill="434F69"/>
          </w:tcPr>
          <w:p>
            <w:pPr>
              <w:spacing w:after="0"/>
              <w:rPr>
                <w:sz w:val="19"/>
                <w:szCs w:val="19"/>
                <w:color w:val="auto"/>
              </w:rPr>
            </w:pPr>
          </w:p>
        </w:tc>
        <w:tc>
          <w:tcPr>
            <w:tcW w:w="72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shd w:val="clear" w:color="auto" w:fill="434F69"/>
              </w:rPr>
              <w:t>Armstrong</w:t>
            </w:r>
          </w:p>
        </w:tc>
        <w:tc>
          <w:tcPr>
            <w:tcW w:w="42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shd w:val="clear" w:color="auto" w:fill="434F69"/>
              </w:rPr>
              <w:t>Burk</w:t>
            </w:r>
          </w:p>
        </w:tc>
        <w:tc>
          <w:tcPr>
            <w:tcW w:w="54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shd w:val="clear" w:color="auto" w:fill="434F69"/>
              </w:rPr>
              <w:t>Chiang</w:t>
            </w:r>
          </w:p>
        </w:tc>
        <w:tc>
          <w:tcPr>
            <w:tcW w:w="72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shd w:val="clear" w:color="auto" w:fill="434F69"/>
              </w:rPr>
              <w:t>McCarthy</w:t>
            </w:r>
          </w:p>
        </w:tc>
        <w:tc>
          <w:tcPr>
            <w:tcW w:w="80" w:type="dxa"/>
            <w:vAlign w:val="bottom"/>
            <w:tcBorders>
              <w:bottom w:val="single" w:sz="8" w:color="434F69"/>
              <w:right w:val="single" w:sz="8" w:color="434F69"/>
            </w:tcBorders>
            <w:shd w:val="clear" w:color="auto" w:fill="434F69"/>
          </w:tcPr>
          <w:p>
            <w:pPr>
              <w:spacing w:after="0"/>
              <w:rPr>
                <w:sz w:val="19"/>
                <w:szCs w:val="19"/>
                <w:color w:val="auto"/>
              </w:rPr>
            </w:pPr>
          </w:p>
        </w:tc>
        <w:tc>
          <w:tcPr>
            <w:tcW w:w="460" w:type="dxa"/>
            <w:vAlign w:val="bottom"/>
            <w:tcBorders>
              <w:bottom w:val="single" w:sz="8" w:color="434F69"/>
              <w:right w:val="single" w:sz="8" w:color="auto"/>
            </w:tcBorders>
            <w:gridSpan w:val="2"/>
            <w:shd w:val="clear" w:color="auto" w:fill="434F69"/>
          </w:tcPr>
          <w:p>
            <w:pPr>
              <w:jc w:val="center"/>
              <w:spacing w:after="0"/>
              <w:rPr>
                <w:sz w:val="20"/>
                <w:szCs w:val="20"/>
                <w:color w:val="auto"/>
              </w:rPr>
            </w:pPr>
            <w:r>
              <w:rPr>
                <w:rFonts w:ascii="Arial" w:cs="Arial" w:eastAsia="Arial" w:hAnsi="Arial"/>
                <w:sz w:val="14"/>
                <w:szCs w:val="14"/>
                <w:b w:val="1"/>
                <w:bCs w:val="1"/>
                <w:color w:val="FFFFFF"/>
                <w:w w:val="80"/>
                <w:shd w:val="clear" w:color="auto" w:fill="434F69"/>
              </w:rPr>
              <w:t>Pefanis</w:t>
            </w:r>
          </w:p>
        </w:tc>
        <w:tc>
          <w:tcPr>
            <w:tcW w:w="62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1"/>
                <w:shd w:val="clear" w:color="auto" w:fill="434F69"/>
              </w:rPr>
              <w:t>Petersen</w:t>
            </w:r>
          </w:p>
        </w:tc>
        <w:tc>
          <w:tcPr>
            <w:tcW w:w="52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shd w:val="clear" w:color="auto" w:fill="434F69"/>
              </w:rPr>
              <w:t>Pruner</w:t>
            </w:r>
          </w:p>
        </w:tc>
        <w:tc>
          <w:tcPr>
            <w:tcW w:w="68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shd w:val="clear" w:color="auto" w:fill="434F69"/>
              </w:rPr>
              <w:t>Raymond</w:t>
            </w:r>
          </w:p>
        </w:tc>
        <w:tc>
          <w:tcPr>
            <w:tcW w:w="70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2"/>
                <w:shd w:val="clear" w:color="auto" w:fill="434F69"/>
              </w:rPr>
              <w:t>Shackouls</w:t>
            </w:r>
          </w:p>
        </w:tc>
        <w:tc>
          <w:tcPr>
            <w:tcW w:w="20" w:type="dxa"/>
            <w:vAlign w:val="bottom"/>
            <w:tcBorders>
              <w:bottom w:val="single" w:sz="8" w:color="434F69"/>
            </w:tcBorders>
            <w:shd w:val="clear" w:color="auto" w:fill="434F69"/>
          </w:tcPr>
          <w:p>
            <w:pPr>
              <w:spacing w:after="0"/>
              <w:rPr>
                <w:sz w:val="19"/>
                <w:szCs w:val="19"/>
                <w:color w:val="auto"/>
              </w:rPr>
            </w:pPr>
          </w:p>
        </w:tc>
        <w:tc>
          <w:tcPr>
            <w:tcW w:w="520" w:type="dxa"/>
            <w:vAlign w:val="bottom"/>
            <w:tcBorders>
              <w:bottom w:val="single" w:sz="8" w:color="434F69"/>
              <w:right w:val="single" w:sz="8" w:color="auto"/>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5"/>
                <w:shd w:val="clear" w:color="auto" w:fill="434F69"/>
              </w:rPr>
              <w:t>Temple</w:t>
            </w:r>
          </w:p>
        </w:tc>
        <w:tc>
          <w:tcPr>
            <w:tcW w:w="58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Ziemba</w:t>
            </w:r>
          </w:p>
        </w:tc>
        <w:tc>
          <w:tcPr>
            <w:tcW w:w="0" w:type="dxa"/>
            <w:vAlign w:val="bottom"/>
          </w:tcPr>
          <w:p>
            <w:pPr>
              <w:spacing w:after="0"/>
              <w:rPr>
                <w:sz w:val="1"/>
                <w:szCs w:val="1"/>
                <w:color w:val="auto"/>
              </w:rPr>
            </w:pPr>
          </w:p>
        </w:tc>
      </w:tr>
      <w:tr>
        <w:trPr>
          <w:trHeight w:val="184"/>
        </w:trPr>
        <w:tc>
          <w:tcPr>
            <w:tcW w:w="1620" w:type="dxa"/>
            <w:vAlign w:val="bottom"/>
            <w:tcBorders>
              <w:left w:val="single" w:sz="8" w:color="434F69"/>
              <w:right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Public Company</w:t>
            </w:r>
          </w:p>
        </w:tc>
        <w:tc>
          <w:tcPr>
            <w:tcW w:w="20" w:type="dxa"/>
            <w:vAlign w:val="bottom"/>
            <w:shd w:val="clear" w:color="auto" w:fill="D9DCE1"/>
          </w:tcPr>
          <w:p>
            <w:pPr>
              <w:spacing w:after="0"/>
              <w:rPr>
                <w:sz w:val="15"/>
                <w:szCs w:val="15"/>
                <w:color w:val="auto"/>
              </w:rPr>
            </w:pPr>
          </w:p>
        </w:tc>
        <w:tc>
          <w:tcPr>
            <w:tcW w:w="7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tcBorders>
              <w:right w:val="single" w:sz="8" w:color="D9DCE1"/>
            </w:tcBorders>
            <w:shd w:val="clear" w:color="auto" w:fill="D9DCE1"/>
          </w:tcPr>
          <w:p>
            <w:pPr>
              <w:spacing w:after="0"/>
              <w:rPr>
                <w:sz w:val="15"/>
                <w:szCs w:val="15"/>
                <w:color w:val="auto"/>
              </w:rPr>
            </w:pPr>
          </w:p>
        </w:tc>
        <w:tc>
          <w:tcPr>
            <w:tcW w:w="260" w:type="dxa"/>
            <w:vAlign w:val="bottom"/>
            <w:vMerge w:val="restart"/>
            <w:shd w:val="clear" w:color="auto" w:fill="D9DCE1"/>
          </w:tcPr>
          <w:p>
            <w:pPr>
              <w:jc w:val="center"/>
              <w:ind w:left="61"/>
              <w:spacing w:after="0" w:line="141" w:lineRule="exact"/>
              <w:rPr>
                <w:sz w:val="20"/>
                <w:szCs w:val="20"/>
                <w:color w:val="auto"/>
              </w:rPr>
            </w:pPr>
            <w:r>
              <w:rPr>
                <w:rFonts w:ascii="MS PGothic" w:cs="MS PGothic" w:eastAsia="MS PGothic" w:hAnsi="MS PGothic"/>
                <w:sz w:val="14"/>
                <w:szCs w:val="14"/>
                <w:color w:val="auto"/>
                <w:w w:val="85"/>
              </w:rPr>
              <w:t>✓</w:t>
            </w:r>
          </w:p>
        </w:tc>
        <w:tc>
          <w:tcPr>
            <w:tcW w:w="200" w:type="dxa"/>
            <w:vAlign w:val="bottom"/>
            <w:tcBorders>
              <w:right w:val="single" w:sz="8" w:color="auto"/>
            </w:tcBorders>
            <w:shd w:val="clear" w:color="auto" w:fill="D9DCE1"/>
          </w:tcPr>
          <w:p>
            <w:pPr>
              <w:spacing w:after="0"/>
              <w:rPr>
                <w:sz w:val="15"/>
                <w:szCs w:val="15"/>
                <w:color w:val="auto"/>
              </w:rPr>
            </w:pPr>
          </w:p>
        </w:tc>
        <w:tc>
          <w:tcPr>
            <w:tcW w:w="6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0" w:type="dxa"/>
            <w:vAlign w:val="bottom"/>
            <w:shd w:val="clear" w:color="auto" w:fill="D9DCE1"/>
          </w:tcPr>
          <w:p>
            <w:pPr>
              <w:spacing w:after="0"/>
              <w:rPr>
                <w:sz w:val="15"/>
                <w:szCs w:val="15"/>
                <w:color w:val="auto"/>
              </w:rPr>
            </w:pPr>
          </w:p>
        </w:tc>
        <w:tc>
          <w:tcPr>
            <w:tcW w:w="5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right w:val="single" w:sz="8" w:color="434F69"/>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17"/>
        </w:trPr>
        <w:tc>
          <w:tcPr>
            <w:tcW w:w="1620" w:type="dxa"/>
            <w:vAlign w:val="bottom"/>
            <w:tcBorders>
              <w:left w:val="single" w:sz="8" w:color="434F69"/>
              <w:right w:val="single" w:sz="8" w:color="auto"/>
            </w:tcBorders>
            <w:gridSpan w:val="2"/>
            <w:vMerge w:val="restart"/>
            <w:shd w:val="clear" w:color="auto" w:fill="D9DCE1"/>
          </w:tcPr>
          <w:p>
            <w:pPr>
              <w:ind w:left="20"/>
              <w:spacing w:after="0"/>
              <w:rPr>
                <w:sz w:val="20"/>
                <w:szCs w:val="20"/>
                <w:color w:val="auto"/>
              </w:rPr>
            </w:pPr>
            <w:r>
              <w:rPr>
                <w:rFonts w:ascii="Arial" w:cs="Arial" w:eastAsia="Arial" w:hAnsi="Arial"/>
                <w:sz w:val="14"/>
                <w:szCs w:val="14"/>
                <w:color w:val="auto"/>
              </w:rPr>
              <w:t>Experience</w:t>
            </w:r>
          </w:p>
        </w:tc>
        <w:tc>
          <w:tcPr>
            <w:tcW w:w="20" w:type="dxa"/>
            <w:vAlign w:val="bottom"/>
            <w:shd w:val="clear" w:color="auto" w:fill="D9DCE1"/>
          </w:tcPr>
          <w:p>
            <w:pPr>
              <w:spacing w:after="0"/>
              <w:rPr>
                <w:sz w:val="10"/>
                <w:szCs w:val="10"/>
                <w:color w:val="auto"/>
              </w:rPr>
            </w:pPr>
          </w:p>
        </w:tc>
        <w:tc>
          <w:tcPr>
            <w:tcW w:w="720" w:type="dxa"/>
            <w:vAlign w:val="bottom"/>
            <w:tcBorders>
              <w:right w:val="single" w:sz="8" w:color="auto"/>
            </w:tcBorders>
            <w:vMerge w:val="continue"/>
            <w:shd w:val="clear" w:color="auto" w:fill="D9DCE1"/>
          </w:tcPr>
          <w:p>
            <w:pPr>
              <w:spacing w:after="0"/>
              <w:rPr>
                <w:sz w:val="10"/>
                <w:szCs w:val="10"/>
                <w:color w:val="auto"/>
              </w:rPr>
            </w:pPr>
          </w:p>
        </w:tc>
        <w:tc>
          <w:tcPr>
            <w:tcW w:w="420" w:type="dxa"/>
            <w:vAlign w:val="bottom"/>
            <w:tcBorders>
              <w:right w:val="single" w:sz="8" w:color="auto"/>
            </w:tcBorders>
            <w:vMerge w:val="continue"/>
            <w:shd w:val="clear" w:color="auto" w:fill="D9DCE1"/>
          </w:tcPr>
          <w:p>
            <w:pPr>
              <w:spacing w:after="0"/>
              <w:rPr>
                <w:sz w:val="10"/>
                <w:szCs w:val="10"/>
                <w:color w:val="auto"/>
              </w:rPr>
            </w:pPr>
          </w:p>
        </w:tc>
        <w:tc>
          <w:tcPr>
            <w:tcW w:w="540" w:type="dxa"/>
            <w:vAlign w:val="bottom"/>
            <w:tcBorders>
              <w:right w:val="single" w:sz="8" w:color="auto"/>
            </w:tcBorders>
            <w:vMerge w:val="continue"/>
            <w:shd w:val="clear" w:color="auto" w:fill="D9DCE1"/>
          </w:tcPr>
          <w:p>
            <w:pPr>
              <w:spacing w:after="0"/>
              <w:rPr>
                <w:sz w:val="10"/>
                <w:szCs w:val="10"/>
                <w:color w:val="auto"/>
              </w:rPr>
            </w:pPr>
          </w:p>
        </w:tc>
        <w:tc>
          <w:tcPr>
            <w:tcW w:w="720" w:type="dxa"/>
            <w:vAlign w:val="bottom"/>
            <w:tcBorders>
              <w:right w:val="single" w:sz="8" w:color="auto"/>
            </w:tcBorders>
            <w:vMerge w:val="continue"/>
            <w:shd w:val="clear" w:color="auto" w:fill="D9DCE1"/>
          </w:tcPr>
          <w:p>
            <w:pPr>
              <w:spacing w:after="0"/>
              <w:rPr>
                <w:sz w:val="10"/>
                <w:szCs w:val="10"/>
                <w:color w:val="auto"/>
              </w:rPr>
            </w:pPr>
          </w:p>
        </w:tc>
        <w:tc>
          <w:tcPr>
            <w:tcW w:w="80" w:type="dxa"/>
            <w:vAlign w:val="bottom"/>
            <w:tcBorders>
              <w:right w:val="single" w:sz="8" w:color="D9DCE1"/>
            </w:tcBorders>
            <w:shd w:val="clear" w:color="auto" w:fill="D9DCE1"/>
          </w:tcPr>
          <w:p>
            <w:pPr>
              <w:spacing w:after="0"/>
              <w:rPr>
                <w:sz w:val="10"/>
                <w:szCs w:val="10"/>
                <w:color w:val="auto"/>
              </w:rPr>
            </w:pPr>
          </w:p>
        </w:tc>
        <w:tc>
          <w:tcPr>
            <w:tcW w:w="260" w:type="dxa"/>
            <w:vAlign w:val="bottom"/>
            <w:vMerge w:val="continue"/>
            <w:shd w:val="clear" w:color="auto" w:fill="D9DCE1"/>
          </w:tcPr>
          <w:p>
            <w:pPr>
              <w:spacing w:after="0"/>
              <w:rPr>
                <w:sz w:val="10"/>
                <w:szCs w:val="10"/>
                <w:color w:val="auto"/>
              </w:rPr>
            </w:pPr>
          </w:p>
        </w:tc>
        <w:tc>
          <w:tcPr>
            <w:tcW w:w="200" w:type="dxa"/>
            <w:vAlign w:val="bottom"/>
            <w:tcBorders>
              <w:right w:val="single" w:sz="8" w:color="auto"/>
            </w:tcBorders>
            <w:shd w:val="clear" w:color="auto" w:fill="D9DCE1"/>
          </w:tcPr>
          <w:p>
            <w:pPr>
              <w:spacing w:after="0"/>
              <w:rPr>
                <w:sz w:val="10"/>
                <w:szCs w:val="10"/>
                <w:color w:val="auto"/>
              </w:rPr>
            </w:pPr>
          </w:p>
        </w:tc>
        <w:tc>
          <w:tcPr>
            <w:tcW w:w="620" w:type="dxa"/>
            <w:vAlign w:val="bottom"/>
            <w:tcBorders>
              <w:right w:val="single" w:sz="8" w:color="auto"/>
            </w:tcBorders>
            <w:vMerge w:val="continue"/>
            <w:shd w:val="clear" w:color="auto" w:fill="D9DCE1"/>
          </w:tcPr>
          <w:p>
            <w:pPr>
              <w:spacing w:after="0"/>
              <w:rPr>
                <w:sz w:val="10"/>
                <w:szCs w:val="10"/>
                <w:color w:val="auto"/>
              </w:rPr>
            </w:pPr>
          </w:p>
        </w:tc>
        <w:tc>
          <w:tcPr>
            <w:tcW w:w="520" w:type="dxa"/>
            <w:vAlign w:val="bottom"/>
            <w:tcBorders>
              <w:right w:val="single" w:sz="8" w:color="auto"/>
            </w:tcBorders>
            <w:vMerge w:val="continue"/>
            <w:shd w:val="clear" w:color="auto" w:fill="D9DCE1"/>
          </w:tcPr>
          <w:p>
            <w:pPr>
              <w:spacing w:after="0"/>
              <w:rPr>
                <w:sz w:val="10"/>
                <w:szCs w:val="10"/>
                <w:color w:val="auto"/>
              </w:rPr>
            </w:pPr>
          </w:p>
        </w:tc>
        <w:tc>
          <w:tcPr>
            <w:tcW w:w="680" w:type="dxa"/>
            <w:vAlign w:val="bottom"/>
            <w:tcBorders>
              <w:right w:val="single" w:sz="8" w:color="auto"/>
            </w:tcBorders>
            <w:vMerge w:val="continue"/>
            <w:shd w:val="clear" w:color="auto" w:fill="D9DCE1"/>
          </w:tcPr>
          <w:p>
            <w:pPr>
              <w:spacing w:after="0"/>
              <w:rPr>
                <w:sz w:val="10"/>
                <w:szCs w:val="10"/>
                <w:color w:val="auto"/>
              </w:rPr>
            </w:pPr>
          </w:p>
        </w:tc>
        <w:tc>
          <w:tcPr>
            <w:tcW w:w="700" w:type="dxa"/>
            <w:vAlign w:val="bottom"/>
            <w:tcBorders>
              <w:right w:val="single" w:sz="8" w:color="auto"/>
            </w:tcBorders>
            <w:vMerge w:val="continue"/>
            <w:shd w:val="clear" w:color="auto" w:fill="D9DCE1"/>
          </w:tcPr>
          <w:p>
            <w:pPr>
              <w:spacing w:after="0"/>
              <w:rPr>
                <w:sz w:val="10"/>
                <w:szCs w:val="10"/>
                <w:color w:val="auto"/>
              </w:rPr>
            </w:pPr>
          </w:p>
        </w:tc>
        <w:tc>
          <w:tcPr>
            <w:tcW w:w="20" w:type="dxa"/>
            <w:vAlign w:val="bottom"/>
            <w:shd w:val="clear" w:color="auto" w:fill="D9DCE1"/>
          </w:tcPr>
          <w:p>
            <w:pPr>
              <w:spacing w:after="0"/>
              <w:rPr>
                <w:sz w:val="10"/>
                <w:szCs w:val="10"/>
                <w:color w:val="auto"/>
              </w:rPr>
            </w:pPr>
          </w:p>
        </w:tc>
        <w:tc>
          <w:tcPr>
            <w:tcW w:w="520" w:type="dxa"/>
            <w:vAlign w:val="bottom"/>
            <w:tcBorders>
              <w:right w:val="single" w:sz="8" w:color="auto"/>
            </w:tcBorders>
            <w:vMerge w:val="continue"/>
            <w:shd w:val="clear" w:color="auto" w:fill="D9DCE1"/>
          </w:tcPr>
          <w:p>
            <w:pPr>
              <w:spacing w:after="0"/>
              <w:rPr>
                <w:sz w:val="10"/>
                <w:szCs w:val="10"/>
                <w:color w:val="auto"/>
              </w:rPr>
            </w:pPr>
          </w:p>
        </w:tc>
        <w:tc>
          <w:tcPr>
            <w:tcW w:w="580" w:type="dxa"/>
            <w:vAlign w:val="bottom"/>
            <w:tcBorders>
              <w:right w:val="single" w:sz="8" w:color="434F69"/>
            </w:tcBorders>
            <w:vMerge w:val="continue"/>
            <w:shd w:val="clear" w:color="auto" w:fill="D9DCE1"/>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620" w:type="dxa"/>
            <w:vAlign w:val="bottom"/>
            <w:tcBorders>
              <w:left w:val="single" w:sz="8" w:color="434F69"/>
              <w:bottom w:val="single" w:sz="8" w:color="D9DCE1"/>
              <w:right w:val="single" w:sz="8" w:color="auto"/>
            </w:tcBorders>
            <w:gridSpan w:val="2"/>
            <w:vMerge w:val="continue"/>
            <w:shd w:val="clear" w:color="auto" w:fill="D9DCE1"/>
          </w:tcPr>
          <w:p>
            <w:pPr>
              <w:spacing w:after="0"/>
              <w:rPr>
                <w:sz w:val="10"/>
                <w:szCs w:val="10"/>
                <w:color w:val="auto"/>
              </w:rPr>
            </w:pPr>
          </w:p>
        </w:tc>
        <w:tc>
          <w:tcPr>
            <w:tcW w:w="20" w:type="dxa"/>
            <w:vAlign w:val="bottom"/>
            <w:tcBorders>
              <w:bottom w:val="single" w:sz="8" w:color="D9DCE1"/>
            </w:tcBorders>
            <w:shd w:val="clear" w:color="auto" w:fill="D9DCE1"/>
          </w:tcPr>
          <w:p>
            <w:pPr>
              <w:spacing w:after="0"/>
              <w:rPr>
                <w:sz w:val="10"/>
                <w:szCs w:val="10"/>
                <w:color w:val="auto"/>
              </w:rPr>
            </w:pPr>
          </w:p>
        </w:tc>
        <w:tc>
          <w:tcPr>
            <w:tcW w:w="720" w:type="dxa"/>
            <w:vAlign w:val="bottom"/>
            <w:tcBorders>
              <w:bottom w:val="single" w:sz="8" w:color="D9DCE1"/>
              <w:right w:val="single" w:sz="8" w:color="auto"/>
            </w:tcBorders>
            <w:shd w:val="clear" w:color="auto" w:fill="D9DCE1"/>
          </w:tcPr>
          <w:p>
            <w:pPr>
              <w:spacing w:after="0"/>
              <w:rPr>
                <w:sz w:val="10"/>
                <w:szCs w:val="10"/>
                <w:color w:val="auto"/>
              </w:rPr>
            </w:pPr>
          </w:p>
        </w:tc>
        <w:tc>
          <w:tcPr>
            <w:tcW w:w="420" w:type="dxa"/>
            <w:vAlign w:val="bottom"/>
            <w:tcBorders>
              <w:bottom w:val="single" w:sz="8" w:color="D9DCE1"/>
              <w:right w:val="single" w:sz="8" w:color="auto"/>
            </w:tcBorders>
            <w:shd w:val="clear" w:color="auto" w:fill="D9DCE1"/>
          </w:tcPr>
          <w:p>
            <w:pPr>
              <w:spacing w:after="0"/>
              <w:rPr>
                <w:sz w:val="10"/>
                <w:szCs w:val="10"/>
                <w:color w:val="auto"/>
              </w:rPr>
            </w:pPr>
          </w:p>
        </w:tc>
        <w:tc>
          <w:tcPr>
            <w:tcW w:w="540" w:type="dxa"/>
            <w:vAlign w:val="bottom"/>
            <w:tcBorders>
              <w:bottom w:val="single" w:sz="8" w:color="D9DCE1"/>
              <w:right w:val="single" w:sz="8" w:color="auto"/>
            </w:tcBorders>
            <w:shd w:val="clear" w:color="auto" w:fill="D9DCE1"/>
          </w:tcPr>
          <w:p>
            <w:pPr>
              <w:spacing w:after="0"/>
              <w:rPr>
                <w:sz w:val="10"/>
                <w:szCs w:val="10"/>
                <w:color w:val="auto"/>
              </w:rPr>
            </w:pPr>
          </w:p>
        </w:tc>
        <w:tc>
          <w:tcPr>
            <w:tcW w:w="720" w:type="dxa"/>
            <w:vAlign w:val="bottom"/>
            <w:tcBorders>
              <w:bottom w:val="single" w:sz="8" w:color="D9DCE1"/>
              <w:right w:val="single" w:sz="8" w:color="auto"/>
            </w:tcBorders>
            <w:shd w:val="clear" w:color="auto" w:fill="D9DCE1"/>
          </w:tcPr>
          <w:p>
            <w:pPr>
              <w:spacing w:after="0"/>
              <w:rPr>
                <w:sz w:val="10"/>
                <w:szCs w:val="10"/>
                <w:color w:val="auto"/>
              </w:rPr>
            </w:pPr>
          </w:p>
        </w:tc>
        <w:tc>
          <w:tcPr>
            <w:tcW w:w="80" w:type="dxa"/>
            <w:vAlign w:val="bottom"/>
            <w:tcBorders>
              <w:bottom w:val="single" w:sz="8" w:color="D9DCE1"/>
              <w:right w:val="single" w:sz="8" w:color="D9DCE1"/>
            </w:tcBorders>
            <w:shd w:val="clear" w:color="auto" w:fill="D9DCE1"/>
          </w:tcPr>
          <w:p>
            <w:pPr>
              <w:spacing w:after="0"/>
              <w:rPr>
                <w:sz w:val="10"/>
                <w:szCs w:val="10"/>
                <w:color w:val="auto"/>
              </w:rPr>
            </w:pPr>
          </w:p>
        </w:tc>
        <w:tc>
          <w:tcPr>
            <w:tcW w:w="260" w:type="dxa"/>
            <w:vAlign w:val="bottom"/>
            <w:tcBorders>
              <w:bottom w:val="single" w:sz="8" w:color="D9DCE1"/>
            </w:tcBorders>
            <w:shd w:val="clear" w:color="auto" w:fill="D9DCE1"/>
          </w:tcPr>
          <w:p>
            <w:pPr>
              <w:spacing w:after="0"/>
              <w:rPr>
                <w:sz w:val="10"/>
                <w:szCs w:val="10"/>
                <w:color w:val="auto"/>
              </w:rPr>
            </w:pPr>
          </w:p>
        </w:tc>
        <w:tc>
          <w:tcPr>
            <w:tcW w:w="200" w:type="dxa"/>
            <w:vAlign w:val="bottom"/>
            <w:tcBorders>
              <w:bottom w:val="single" w:sz="8" w:color="D9DCE1"/>
              <w:right w:val="single" w:sz="8" w:color="auto"/>
            </w:tcBorders>
            <w:shd w:val="clear" w:color="auto" w:fill="D9DCE1"/>
          </w:tcPr>
          <w:p>
            <w:pPr>
              <w:spacing w:after="0"/>
              <w:rPr>
                <w:sz w:val="10"/>
                <w:szCs w:val="10"/>
                <w:color w:val="auto"/>
              </w:rPr>
            </w:pPr>
          </w:p>
        </w:tc>
        <w:tc>
          <w:tcPr>
            <w:tcW w:w="620" w:type="dxa"/>
            <w:vAlign w:val="bottom"/>
            <w:tcBorders>
              <w:bottom w:val="single" w:sz="8" w:color="D9DCE1"/>
              <w:right w:val="single" w:sz="8" w:color="auto"/>
            </w:tcBorders>
            <w:shd w:val="clear" w:color="auto" w:fill="D9DCE1"/>
          </w:tcPr>
          <w:p>
            <w:pPr>
              <w:spacing w:after="0"/>
              <w:rPr>
                <w:sz w:val="10"/>
                <w:szCs w:val="10"/>
                <w:color w:val="auto"/>
              </w:rPr>
            </w:pPr>
          </w:p>
        </w:tc>
        <w:tc>
          <w:tcPr>
            <w:tcW w:w="520" w:type="dxa"/>
            <w:vAlign w:val="bottom"/>
            <w:tcBorders>
              <w:bottom w:val="single" w:sz="8" w:color="D9DCE1"/>
              <w:right w:val="single" w:sz="8" w:color="auto"/>
            </w:tcBorders>
            <w:shd w:val="clear" w:color="auto" w:fill="D9DCE1"/>
          </w:tcPr>
          <w:p>
            <w:pPr>
              <w:spacing w:after="0"/>
              <w:rPr>
                <w:sz w:val="10"/>
                <w:szCs w:val="10"/>
                <w:color w:val="auto"/>
              </w:rPr>
            </w:pPr>
          </w:p>
        </w:tc>
        <w:tc>
          <w:tcPr>
            <w:tcW w:w="680" w:type="dxa"/>
            <w:vAlign w:val="bottom"/>
            <w:tcBorders>
              <w:bottom w:val="single" w:sz="8" w:color="D9DCE1"/>
              <w:right w:val="single" w:sz="8" w:color="auto"/>
            </w:tcBorders>
            <w:shd w:val="clear" w:color="auto" w:fill="D9DCE1"/>
          </w:tcPr>
          <w:p>
            <w:pPr>
              <w:spacing w:after="0"/>
              <w:rPr>
                <w:sz w:val="10"/>
                <w:szCs w:val="10"/>
                <w:color w:val="auto"/>
              </w:rPr>
            </w:pPr>
          </w:p>
        </w:tc>
        <w:tc>
          <w:tcPr>
            <w:tcW w:w="700" w:type="dxa"/>
            <w:vAlign w:val="bottom"/>
            <w:tcBorders>
              <w:bottom w:val="single" w:sz="8" w:color="D9DCE1"/>
              <w:right w:val="single" w:sz="8" w:color="auto"/>
            </w:tcBorders>
            <w:shd w:val="clear" w:color="auto" w:fill="D9DCE1"/>
          </w:tcPr>
          <w:p>
            <w:pPr>
              <w:spacing w:after="0"/>
              <w:rPr>
                <w:sz w:val="10"/>
                <w:szCs w:val="10"/>
                <w:color w:val="auto"/>
              </w:rPr>
            </w:pPr>
          </w:p>
        </w:tc>
        <w:tc>
          <w:tcPr>
            <w:tcW w:w="20" w:type="dxa"/>
            <w:vAlign w:val="bottom"/>
            <w:tcBorders>
              <w:bottom w:val="single" w:sz="8" w:color="D9DCE1"/>
            </w:tcBorders>
            <w:shd w:val="clear" w:color="auto" w:fill="D9DCE1"/>
          </w:tcPr>
          <w:p>
            <w:pPr>
              <w:spacing w:after="0"/>
              <w:rPr>
                <w:sz w:val="10"/>
                <w:szCs w:val="10"/>
                <w:color w:val="auto"/>
              </w:rPr>
            </w:pPr>
          </w:p>
        </w:tc>
        <w:tc>
          <w:tcPr>
            <w:tcW w:w="520" w:type="dxa"/>
            <w:vAlign w:val="bottom"/>
            <w:tcBorders>
              <w:bottom w:val="single" w:sz="8" w:color="D9DCE1"/>
              <w:right w:val="single" w:sz="8" w:color="auto"/>
            </w:tcBorders>
            <w:shd w:val="clear" w:color="auto" w:fill="D9DCE1"/>
          </w:tcPr>
          <w:p>
            <w:pPr>
              <w:spacing w:after="0"/>
              <w:rPr>
                <w:sz w:val="10"/>
                <w:szCs w:val="10"/>
                <w:color w:val="auto"/>
              </w:rPr>
            </w:pPr>
          </w:p>
        </w:tc>
        <w:tc>
          <w:tcPr>
            <w:tcW w:w="580" w:type="dxa"/>
            <w:vAlign w:val="bottom"/>
            <w:tcBorders>
              <w:bottom w:val="single" w:sz="8" w:color="D9DCE1"/>
              <w:right w:val="single" w:sz="8" w:color="434F69"/>
            </w:tcBorders>
            <w:shd w:val="clear" w:color="auto" w:fill="D9DCE1"/>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620" w:type="dxa"/>
            <w:vAlign w:val="bottom"/>
            <w:tcBorders>
              <w:top w:val="single" w:sz="8" w:color="auto"/>
              <w:left w:val="single" w:sz="8" w:color="434F69"/>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Finance/Accounting</w:t>
            </w:r>
          </w:p>
        </w:tc>
        <w:tc>
          <w:tcPr>
            <w:tcW w:w="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right w:val="single" w:sz="8" w:color="auto"/>
            </w:tcBorders>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top w:val="single" w:sz="8" w:color="auto"/>
              <w:bottom w:val="single" w:sz="8" w:color="auto"/>
              <w:right w:val="single" w:sz="8" w:color="434F69"/>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9"/>
        </w:trPr>
        <w:tc>
          <w:tcPr>
            <w:tcW w:w="1620" w:type="dxa"/>
            <w:vAlign w:val="bottom"/>
            <w:tcBorders>
              <w:left w:val="single" w:sz="8" w:color="434F69"/>
              <w:right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Business Development/</w:t>
            </w:r>
          </w:p>
        </w:tc>
        <w:tc>
          <w:tcPr>
            <w:tcW w:w="20" w:type="dxa"/>
            <w:vAlign w:val="bottom"/>
            <w:shd w:val="clear" w:color="auto" w:fill="D9DCE1"/>
          </w:tcPr>
          <w:p>
            <w:pPr>
              <w:spacing w:after="0"/>
              <w:rPr>
                <w:sz w:val="14"/>
                <w:szCs w:val="14"/>
                <w:color w:val="auto"/>
              </w:rPr>
            </w:pPr>
          </w:p>
        </w:tc>
        <w:tc>
          <w:tcPr>
            <w:tcW w:w="7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tcBorders>
              <w:right w:val="single" w:sz="8" w:color="D9DCE1"/>
            </w:tcBorders>
            <w:shd w:val="clear" w:color="auto" w:fill="D9DCE1"/>
          </w:tcPr>
          <w:p>
            <w:pPr>
              <w:spacing w:after="0"/>
              <w:rPr>
                <w:sz w:val="14"/>
                <w:szCs w:val="14"/>
                <w:color w:val="auto"/>
              </w:rPr>
            </w:pPr>
          </w:p>
        </w:tc>
        <w:tc>
          <w:tcPr>
            <w:tcW w:w="260" w:type="dxa"/>
            <w:vAlign w:val="bottom"/>
            <w:vMerge w:val="restart"/>
            <w:shd w:val="clear" w:color="auto" w:fill="D9DCE1"/>
          </w:tcPr>
          <w:p>
            <w:pPr>
              <w:jc w:val="center"/>
              <w:ind w:left="61"/>
              <w:spacing w:after="0" w:line="141" w:lineRule="exact"/>
              <w:rPr>
                <w:sz w:val="20"/>
                <w:szCs w:val="20"/>
                <w:color w:val="auto"/>
              </w:rPr>
            </w:pPr>
            <w:r>
              <w:rPr>
                <w:rFonts w:ascii="MS PGothic" w:cs="MS PGothic" w:eastAsia="MS PGothic" w:hAnsi="MS PGothic"/>
                <w:sz w:val="14"/>
                <w:szCs w:val="14"/>
                <w:color w:val="auto"/>
                <w:w w:val="85"/>
              </w:rPr>
              <w:t>✓</w:t>
            </w:r>
          </w:p>
        </w:tc>
        <w:tc>
          <w:tcPr>
            <w:tcW w:w="200" w:type="dxa"/>
            <w:vAlign w:val="bottom"/>
            <w:tcBorders>
              <w:right w:val="single" w:sz="8" w:color="auto"/>
            </w:tcBorders>
            <w:shd w:val="clear" w:color="auto" w:fill="D9DCE1"/>
          </w:tcPr>
          <w:p>
            <w:pPr>
              <w:spacing w:after="0"/>
              <w:rPr>
                <w:sz w:val="14"/>
                <w:szCs w:val="14"/>
                <w:color w:val="auto"/>
              </w:rPr>
            </w:pPr>
          </w:p>
        </w:tc>
        <w:tc>
          <w:tcPr>
            <w:tcW w:w="6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0" w:type="dxa"/>
            <w:vAlign w:val="bottom"/>
            <w:shd w:val="clear" w:color="auto" w:fill="D9DCE1"/>
          </w:tcPr>
          <w:p>
            <w:pPr>
              <w:spacing w:after="0"/>
              <w:rPr>
                <w:sz w:val="14"/>
                <w:szCs w:val="14"/>
                <w:color w:val="auto"/>
              </w:rPr>
            </w:pPr>
          </w:p>
        </w:tc>
        <w:tc>
          <w:tcPr>
            <w:tcW w:w="5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right w:val="single" w:sz="8" w:color="434F69"/>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1"/>
        </w:trPr>
        <w:tc>
          <w:tcPr>
            <w:tcW w:w="1620" w:type="dxa"/>
            <w:vAlign w:val="bottom"/>
            <w:tcBorders>
              <w:left w:val="single" w:sz="8" w:color="434F69"/>
              <w:right w:val="single" w:sz="8" w:color="auto"/>
            </w:tcBorders>
            <w:gridSpan w:val="2"/>
            <w:vMerge w:val="restart"/>
            <w:shd w:val="clear" w:color="auto" w:fill="D9DCE1"/>
          </w:tcPr>
          <w:p>
            <w:pPr>
              <w:ind w:left="20"/>
              <w:spacing w:after="0"/>
              <w:rPr>
                <w:sz w:val="20"/>
                <w:szCs w:val="20"/>
                <w:color w:val="auto"/>
              </w:rPr>
            </w:pPr>
            <w:r>
              <w:rPr>
                <w:rFonts w:ascii="Arial" w:cs="Arial" w:eastAsia="Arial" w:hAnsi="Arial"/>
                <w:sz w:val="14"/>
                <w:szCs w:val="14"/>
                <w:color w:val="auto"/>
              </w:rPr>
              <w:t>Strategy/Commercial</w:t>
            </w:r>
          </w:p>
        </w:tc>
        <w:tc>
          <w:tcPr>
            <w:tcW w:w="20" w:type="dxa"/>
            <w:vAlign w:val="bottom"/>
            <w:shd w:val="clear" w:color="auto" w:fill="D9DCE1"/>
          </w:tcPr>
          <w:p>
            <w:pPr>
              <w:spacing w:after="0"/>
              <w:rPr>
                <w:sz w:val="11"/>
                <w:szCs w:val="11"/>
                <w:color w:val="auto"/>
              </w:rPr>
            </w:pPr>
          </w:p>
        </w:tc>
        <w:tc>
          <w:tcPr>
            <w:tcW w:w="720" w:type="dxa"/>
            <w:vAlign w:val="bottom"/>
            <w:tcBorders>
              <w:right w:val="single" w:sz="8" w:color="auto"/>
            </w:tcBorders>
            <w:vMerge w:val="continue"/>
            <w:shd w:val="clear" w:color="auto" w:fill="D9DCE1"/>
          </w:tcPr>
          <w:p>
            <w:pPr>
              <w:spacing w:after="0"/>
              <w:rPr>
                <w:sz w:val="11"/>
                <w:szCs w:val="11"/>
                <w:color w:val="auto"/>
              </w:rPr>
            </w:pPr>
          </w:p>
        </w:tc>
        <w:tc>
          <w:tcPr>
            <w:tcW w:w="420" w:type="dxa"/>
            <w:vAlign w:val="bottom"/>
            <w:tcBorders>
              <w:right w:val="single" w:sz="8" w:color="auto"/>
            </w:tcBorders>
            <w:vMerge w:val="continue"/>
            <w:shd w:val="clear" w:color="auto" w:fill="D9DCE1"/>
          </w:tcPr>
          <w:p>
            <w:pPr>
              <w:spacing w:after="0"/>
              <w:rPr>
                <w:sz w:val="11"/>
                <w:szCs w:val="11"/>
                <w:color w:val="auto"/>
              </w:rPr>
            </w:pPr>
          </w:p>
        </w:tc>
        <w:tc>
          <w:tcPr>
            <w:tcW w:w="540" w:type="dxa"/>
            <w:vAlign w:val="bottom"/>
            <w:tcBorders>
              <w:right w:val="single" w:sz="8" w:color="auto"/>
            </w:tcBorders>
            <w:vMerge w:val="continue"/>
            <w:shd w:val="clear" w:color="auto" w:fill="D9DCE1"/>
          </w:tcPr>
          <w:p>
            <w:pPr>
              <w:spacing w:after="0"/>
              <w:rPr>
                <w:sz w:val="11"/>
                <w:szCs w:val="11"/>
                <w:color w:val="auto"/>
              </w:rPr>
            </w:pPr>
          </w:p>
        </w:tc>
        <w:tc>
          <w:tcPr>
            <w:tcW w:w="720" w:type="dxa"/>
            <w:vAlign w:val="bottom"/>
            <w:tcBorders>
              <w:right w:val="single" w:sz="8" w:color="auto"/>
            </w:tcBorders>
            <w:vMerge w:val="continue"/>
            <w:shd w:val="clear" w:color="auto" w:fill="D9DCE1"/>
          </w:tcPr>
          <w:p>
            <w:pPr>
              <w:spacing w:after="0"/>
              <w:rPr>
                <w:sz w:val="11"/>
                <w:szCs w:val="11"/>
                <w:color w:val="auto"/>
              </w:rPr>
            </w:pPr>
          </w:p>
        </w:tc>
        <w:tc>
          <w:tcPr>
            <w:tcW w:w="80" w:type="dxa"/>
            <w:vAlign w:val="bottom"/>
            <w:tcBorders>
              <w:right w:val="single" w:sz="8" w:color="D9DCE1"/>
            </w:tcBorders>
            <w:shd w:val="clear" w:color="auto" w:fill="D9DCE1"/>
          </w:tcPr>
          <w:p>
            <w:pPr>
              <w:spacing w:after="0"/>
              <w:rPr>
                <w:sz w:val="11"/>
                <w:szCs w:val="11"/>
                <w:color w:val="auto"/>
              </w:rPr>
            </w:pPr>
          </w:p>
        </w:tc>
        <w:tc>
          <w:tcPr>
            <w:tcW w:w="260" w:type="dxa"/>
            <w:vAlign w:val="bottom"/>
            <w:vMerge w:val="continue"/>
            <w:shd w:val="clear" w:color="auto" w:fill="D9DCE1"/>
          </w:tcPr>
          <w:p>
            <w:pPr>
              <w:spacing w:after="0"/>
              <w:rPr>
                <w:sz w:val="11"/>
                <w:szCs w:val="11"/>
                <w:color w:val="auto"/>
              </w:rPr>
            </w:pPr>
          </w:p>
        </w:tc>
        <w:tc>
          <w:tcPr>
            <w:tcW w:w="200" w:type="dxa"/>
            <w:vAlign w:val="bottom"/>
            <w:tcBorders>
              <w:right w:val="single" w:sz="8" w:color="auto"/>
            </w:tcBorders>
            <w:shd w:val="clear" w:color="auto" w:fill="D9DCE1"/>
          </w:tcPr>
          <w:p>
            <w:pPr>
              <w:spacing w:after="0"/>
              <w:rPr>
                <w:sz w:val="11"/>
                <w:szCs w:val="11"/>
                <w:color w:val="auto"/>
              </w:rPr>
            </w:pPr>
          </w:p>
        </w:tc>
        <w:tc>
          <w:tcPr>
            <w:tcW w:w="620" w:type="dxa"/>
            <w:vAlign w:val="bottom"/>
            <w:tcBorders>
              <w:right w:val="single" w:sz="8" w:color="auto"/>
            </w:tcBorders>
            <w:vMerge w:val="continue"/>
            <w:shd w:val="clear" w:color="auto" w:fill="D9DCE1"/>
          </w:tcPr>
          <w:p>
            <w:pPr>
              <w:spacing w:after="0"/>
              <w:rPr>
                <w:sz w:val="11"/>
                <w:szCs w:val="11"/>
                <w:color w:val="auto"/>
              </w:rPr>
            </w:pPr>
          </w:p>
        </w:tc>
        <w:tc>
          <w:tcPr>
            <w:tcW w:w="520" w:type="dxa"/>
            <w:vAlign w:val="bottom"/>
            <w:tcBorders>
              <w:right w:val="single" w:sz="8" w:color="auto"/>
            </w:tcBorders>
            <w:vMerge w:val="continue"/>
            <w:shd w:val="clear" w:color="auto" w:fill="D9DCE1"/>
          </w:tcPr>
          <w:p>
            <w:pPr>
              <w:spacing w:after="0"/>
              <w:rPr>
                <w:sz w:val="11"/>
                <w:szCs w:val="11"/>
                <w:color w:val="auto"/>
              </w:rPr>
            </w:pPr>
          </w:p>
        </w:tc>
        <w:tc>
          <w:tcPr>
            <w:tcW w:w="680" w:type="dxa"/>
            <w:vAlign w:val="bottom"/>
            <w:tcBorders>
              <w:right w:val="single" w:sz="8" w:color="auto"/>
            </w:tcBorders>
            <w:vMerge w:val="continue"/>
            <w:shd w:val="clear" w:color="auto" w:fill="D9DCE1"/>
          </w:tcPr>
          <w:p>
            <w:pPr>
              <w:spacing w:after="0"/>
              <w:rPr>
                <w:sz w:val="11"/>
                <w:szCs w:val="11"/>
                <w:color w:val="auto"/>
              </w:rPr>
            </w:pPr>
          </w:p>
        </w:tc>
        <w:tc>
          <w:tcPr>
            <w:tcW w:w="700" w:type="dxa"/>
            <w:vAlign w:val="bottom"/>
            <w:tcBorders>
              <w:right w:val="single" w:sz="8" w:color="auto"/>
            </w:tcBorders>
            <w:vMerge w:val="continue"/>
            <w:shd w:val="clear" w:color="auto" w:fill="D9DCE1"/>
          </w:tcPr>
          <w:p>
            <w:pPr>
              <w:spacing w:after="0"/>
              <w:rPr>
                <w:sz w:val="11"/>
                <w:szCs w:val="11"/>
                <w:color w:val="auto"/>
              </w:rPr>
            </w:pPr>
          </w:p>
        </w:tc>
        <w:tc>
          <w:tcPr>
            <w:tcW w:w="20" w:type="dxa"/>
            <w:vAlign w:val="bottom"/>
            <w:shd w:val="clear" w:color="auto" w:fill="D9DCE1"/>
          </w:tcPr>
          <w:p>
            <w:pPr>
              <w:spacing w:after="0"/>
              <w:rPr>
                <w:sz w:val="11"/>
                <w:szCs w:val="11"/>
                <w:color w:val="auto"/>
              </w:rPr>
            </w:pPr>
          </w:p>
        </w:tc>
        <w:tc>
          <w:tcPr>
            <w:tcW w:w="520" w:type="dxa"/>
            <w:vAlign w:val="bottom"/>
            <w:tcBorders>
              <w:right w:val="single" w:sz="8" w:color="auto"/>
            </w:tcBorders>
            <w:vMerge w:val="continue"/>
            <w:shd w:val="clear" w:color="auto" w:fill="D9DCE1"/>
          </w:tcPr>
          <w:p>
            <w:pPr>
              <w:spacing w:after="0"/>
              <w:rPr>
                <w:sz w:val="11"/>
                <w:szCs w:val="11"/>
                <w:color w:val="auto"/>
              </w:rPr>
            </w:pPr>
          </w:p>
        </w:tc>
        <w:tc>
          <w:tcPr>
            <w:tcW w:w="580" w:type="dxa"/>
            <w:vAlign w:val="bottom"/>
            <w:tcBorders>
              <w:right w:val="single" w:sz="8" w:color="434F69"/>
            </w:tcBorders>
            <w:vMerge w:val="continue"/>
            <w:shd w:val="clear" w:color="auto" w:fill="D9DCE1"/>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620" w:type="dxa"/>
            <w:vAlign w:val="bottom"/>
            <w:tcBorders>
              <w:left w:val="single" w:sz="8" w:color="434F69"/>
              <w:bottom w:val="single" w:sz="8" w:color="D9DCE1"/>
              <w:right w:val="single" w:sz="8" w:color="auto"/>
            </w:tcBorders>
            <w:gridSpan w:val="2"/>
            <w:vMerge w:val="continue"/>
            <w:shd w:val="clear" w:color="auto" w:fill="D9DCE1"/>
          </w:tcPr>
          <w:p>
            <w:pPr>
              <w:spacing w:after="0"/>
              <w:rPr>
                <w:sz w:val="9"/>
                <w:szCs w:val="9"/>
                <w:color w:val="auto"/>
              </w:rPr>
            </w:pPr>
          </w:p>
        </w:tc>
        <w:tc>
          <w:tcPr>
            <w:tcW w:w="20" w:type="dxa"/>
            <w:vAlign w:val="bottom"/>
            <w:tcBorders>
              <w:bottom w:val="single" w:sz="8" w:color="D9DCE1"/>
            </w:tcBorders>
            <w:shd w:val="clear" w:color="auto" w:fill="D9DCE1"/>
          </w:tcPr>
          <w:p>
            <w:pPr>
              <w:spacing w:after="0"/>
              <w:rPr>
                <w:sz w:val="9"/>
                <w:szCs w:val="9"/>
                <w:color w:val="auto"/>
              </w:rPr>
            </w:pPr>
          </w:p>
        </w:tc>
        <w:tc>
          <w:tcPr>
            <w:tcW w:w="720" w:type="dxa"/>
            <w:vAlign w:val="bottom"/>
            <w:tcBorders>
              <w:bottom w:val="single" w:sz="8" w:color="D9DCE1"/>
              <w:right w:val="single" w:sz="8" w:color="auto"/>
            </w:tcBorders>
            <w:shd w:val="clear" w:color="auto" w:fill="D9DCE1"/>
          </w:tcPr>
          <w:p>
            <w:pPr>
              <w:spacing w:after="0"/>
              <w:rPr>
                <w:sz w:val="9"/>
                <w:szCs w:val="9"/>
                <w:color w:val="auto"/>
              </w:rPr>
            </w:pPr>
          </w:p>
        </w:tc>
        <w:tc>
          <w:tcPr>
            <w:tcW w:w="420" w:type="dxa"/>
            <w:vAlign w:val="bottom"/>
            <w:tcBorders>
              <w:bottom w:val="single" w:sz="8" w:color="D9DCE1"/>
              <w:right w:val="single" w:sz="8" w:color="auto"/>
            </w:tcBorders>
            <w:shd w:val="clear" w:color="auto" w:fill="D9DCE1"/>
          </w:tcPr>
          <w:p>
            <w:pPr>
              <w:spacing w:after="0"/>
              <w:rPr>
                <w:sz w:val="9"/>
                <w:szCs w:val="9"/>
                <w:color w:val="auto"/>
              </w:rPr>
            </w:pPr>
          </w:p>
        </w:tc>
        <w:tc>
          <w:tcPr>
            <w:tcW w:w="540" w:type="dxa"/>
            <w:vAlign w:val="bottom"/>
            <w:tcBorders>
              <w:bottom w:val="single" w:sz="8" w:color="D9DCE1"/>
              <w:right w:val="single" w:sz="8" w:color="auto"/>
            </w:tcBorders>
            <w:shd w:val="clear" w:color="auto" w:fill="D9DCE1"/>
          </w:tcPr>
          <w:p>
            <w:pPr>
              <w:spacing w:after="0"/>
              <w:rPr>
                <w:sz w:val="9"/>
                <w:szCs w:val="9"/>
                <w:color w:val="auto"/>
              </w:rPr>
            </w:pPr>
          </w:p>
        </w:tc>
        <w:tc>
          <w:tcPr>
            <w:tcW w:w="720" w:type="dxa"/>
            <w:vAlign w:val="bottom"/>
            <w:tcBorders>
              <w:bottom w:val="single" w:sz="8" w:color="D9DCE1"/>
              <w:right w:val="single" w:sz="8" w:color="auto"/>
            </w:tcBorders>
            <w:shd w:val="clear" w:color="auto" w:fill="D9DCE1"/>
          </w:tcPr>
          <w:p>
            <w:pPr>
              <w:spacing w:after="0"/>
              <w:rPr>
                <w:sz w:val="9"/>
                <w:szCs w:val="9"/>
                <w:color w:val="auto"/>
              </w:rPr>
            </w:pPr>
          </w:p>
        </w:tc>
        <w:tc>
          <w:tcPr>
            <w:tcW w:w="80" w:type="dxa"/>
            <w:vAlign w:val="bottom"/>
            <w:tcBorders>
              <w:bottom w:val="single" w:sz="8" w:color="D9DCE1"/>
              <w:right w:val="single" w:sz="8" w:color="D9DCE1"/>
            </w:tcBorders>
            <w:shd w:val="clear" w:color="auto" w:fill="D9DCE1"/>
          </w:tcPr>
          <w:p>
            <w:pPr>
              <w:spacing w:after="0"/>
              <w:rPr>
                <w:sz w:val="9"/>
                <w:szCs w:val="9"/>
                <w:color w:val="auto"/>
              </w:rPr>
            </w:pPr>
          </w:p>
        </w:tc>
        <w:tc>
          <w:tcPr>
            <w:tcW w:w="260" w:type="dxa"/>
            <w:vAlign w:val="bottom"/>
            <w:tcBorders>
              <w:bottom w:val="single" w:sz="8" w:color="D9DCE1"/>
            </w:tcBorders>
            <w:shd w:val="clear" w:color="auto" w:fill="D9DCE1"/>
          </w:tcPr>
          <w:p>
            <w:pPr>
              <w:spacing w:after="0"/>
              <w:rPr>
                <w:sz w:val="9"/>
                <w:szCs w:val="9"/>
                <w:color w:val="auto"/>
              </w:rPr>
            </w:pPr>
          </w:p>
        </w:tc>
        <w:tc>
          <w:tcPr>
            <w:tcW w:w="200" w:type="dxa"/>
            <w:vAlign w:val="bottom"/>
            <w:tcBorders>
              <w:bottom w:val="single" w:sz="8" w:color="D9DCE1"/>
              <w:right w:val="single" w:sz="8" w:color="auto"/>
            </w:tcBorders>
            <w:shd w:val="clear" w:color="auto" w:fill="D9DCE1"/>
          </w:tcPr>
          <w:p>
            <w:pPr>
              <w:spacing w:after="0"/>
              <w:rPr>
                <w:sz w:val="9"/>
                <w:szCs w:val="9"/>
                <w:color w:val="auto"/>
              </w:rPr>
            </w:pPr>
          </w:p>
        </w:tc>
        <w:tc>
          <w:tcPr>
            <w:tcW w:w="620" w:type="dxa"/>
            <w:vAlign w:val="bottom"/>
            <w:tcBorders>
              <w:bottom w:val="single" w:sz="8" w:color="D9DCE1"/>
              <w:right w:val="single" w:sz="8" w:color="auto"/>
            </w:tcBorders>
            <w:shd w:val="clear" w:color="auto" w:fill="D9DCE1"/>
          </w:tcPr>
          <w:p>
            <w:pPr>
              <w:spacing w:after="0"/>
              <w:rPr>
                <w:sz w:val="9"/>
                <w:szCs w:val="9"/>
                <w:color w:val="auto"/>
              </w:rPr>
            </w:pPr>
          </w:p>
        </w:tc>
        <w:tc>
          <w:tcPr>
            <w:tcW w:w="520" w:type="dxa"/>
            <w:vAlign w:val="bottom"/>
            <w:tcBorders>
              <w:bottom w:val="single" w:sz="8" w:color="D9DCE1"/>
              <w:right w:val="single" w:sz="8" w:color="auto"/>
            </w:tcBorders>
            <w:shd w:val="clear" w:color="auto" w:fill="D9DCE1"/>
          </w:tcPr>
          <w:p>
            <w:pPr>
              <w:spacing w:after="0"/>
              <w:rPr>
                <w:sz w:val="9"/>
                <w:szCs w:val="9"/>
                <w:color w:val="auto"/>
              </w:rPr>
            </w:pPr>
          </w:p>
        </w:tc>
        <w:tc>
          <w:tcPr>
            <w:tcW w:w="680" w:type="dxa"/>
            <w:vAlign w:val="bottom"/>
            <w:tcBorders>
              <w:bottom w:val="single" w:sz="8" w:color="D9DCE1"/>
              <w:right w:val="single" w:sz="8" w:color="auto"/>
            </w:tcBorders>
            <w:shd w:val="clear" w:color="auto" w:fill="D9DCE1"/>
          </w:tcPr>
          <w:p>
            <w:pPr>
              <w:spacing w:after="0"/>
              <w:rPr>
                <w:sz w:val="9"/>
                <w:szCs w:val="9"/>
                <w:color w:val="auto"/>
              </w:rPr>
            </w:pPr>
          </w:p>
        </w:tc>
        <w:tc>
          <w:tcPr>
            <w:tcW w:w="700" w:type="dxa"/>
            <w:vAlign w:val="bottom"/>
            <w:tcBorders>
              <w:bottom w:val="single" w:sz="8" w:color="D9DCE1"/>
              <w:right w:val="single" w:sz="8" w:color="auto"/>
            </w:tcBorders>
            <w:shd w:val="clear" w:color="auto" w:fill="D9DCE1"/>
          </w:tcPr>
          <w:p>
            <w:pPr>
              <w:spacing w:after="0"/>
              <w:rPr>
                <w:sz w:val="9"/>
                <w:szCs w:val="9"/>
                <w:color w:val="auto"/>
              </w:rPr>
            </w:pPr>
          </w:p>
        </w:tc>
        <w:tc>
          <w:tcPr>
            <w:tcW w:w="20" w:type="dxa"/>
            <w:vAlign w:val="bottom"/>
            <w:tcBorders>
              <w:bottom w:val="single" w:sz="8" w:color="D9DCE1"/>
            </w:tcBorders>
            <w:shd w:val="clear" w:color="auto" w:fill="D9DCE1"/>
          </w:tcPr>
          <w:p>
            <w:pPr>
              <w:spacing w:after="0"/>
              <w:rPr>
                <w:sz w:val="9"/>
                <w:szCs w:val="9"/>
                <w:color w:val="auto"/>
              </w:rPr>
            </w:pPr>
          </w:p>
        </w:tc>
        <w:tc>
          <w:tcPr>
            <w:tcW w:w="520" w:type="dxa"/>
            <w:vAlign w:val="bottom"/>
            <w:tcBorders>
              <w:bottom w:val="single" w:sz="8" w:color="D9DCE1"/>
              <w:right w:val="single" w:sz="8" w:color="auto"/>
            </w:tcBorders>
            <w:shd w:val="clear" w:color="auto" w:fill="D9DCE1"/>
          </w:tcPr>
          <w:p>
            <w:pPr>
              <w:spacing w:after="0"/>
              <w:rPr>
                <w:sz w:val="9"/>
                <w:szCs w:val="9"/>
                <w:color w:val="auto"/>
              </w:rPr>
            </w:pPr>
          </w:p>
        </w:tc>
        <w:tc>
          <w:tcPr>
            <w:tcW w:w="580" w:type="dxa"/>
            <w:vAlign w:val="bottom"/>
            <w:tcBorders>
              <w:bottom w:val="single" w:sz="8" w:color="D9DCE1"/>
              <w:right w:val="single" w:sz="8" w:color="434F69"/>
            </w:tcBorders>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620" w:type="dxa"/>
            <w:vAlign w:val="bottom"/>
            <w:tcBorders>
              <w:top w:val="single" w:sz="8" w:color="auto"/>
              <w:left w:val="single" w:sz="8" w:color="434F69"/>
              <w:right w:val="single" w:sz="8" w:color="auto"/>
            </w:tcBorders>
            <w:gridSpan w:val="2"/>
          </w:tcPr>
          <w:p>
            <w:pPr>
              <w:ind w:left="20"/>
              <w:spacing w:after="0"/>
              <w:rPr>
                <w:sz w:val="20"/>
                <w:szCs w:val="20"/>
                <w:color w:val="auto"/>
              </w:rPr>
            </w:pPr>
            <w:r>
              <w:rPr>
                <w:rFonts w:ascii="Arial" w:cs="Arial" w:eastAsia="Arial" w:hAnsi="Arial"/>
                <w:sz w:val="14"/>
                <w:szCs w:val="14"/>
                <w:color w:val="auto"/>
              </w:rPr>
              <w:t>Legal/Governance/</w:t>
            </w:r>
          </w:p>
        </w:tc>
        <w:tc>
          <w:tcPr>
            <w:tcW w:w="2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center"/>
              <w:ind w:left="61"/>
              <w:spacing w:after="0" w:line="141" w:lineRule="exact"/>
              <w:rPr>
                <w:sz w:val="20"/>
                <w:szCs w:val="20"/>
                <w:color w:val="auto"/>
              </w:rPr>
            </w:pPr>
            <w:r>
              <w:rPr>
                <w:rFonts w:ascii="MS PGothic" w:cs="MS PGothic" w:eastAsia="MS PGothic" w:hAnsi="MS PGothic"/>
                <w:sz w:val="14"/>
                <w:szCs w:val="14"/>
                <w:color w:val="auto"/>
                <w:w w:val="85"/>
              </w:rPr>
              <w:t>✓</w:t>
            </w:r>
          </w:p>
        </w:tc>
        <w:tc>
          <w:tcPr>
            <w:tcW w:w="200" w:type="dxa"/>
            <w:vAlign w:val="bottom"/>
            <w:tcBorders>
              <w:top w:val="single" w:sz="8" w:color="auto"/>
              <w:right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top w:val="single" w:sz="8" w:color="auto"/>
              <w:right w:val="single" w:sz="8" w:color="434F69"/>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2"/>
        </w:trPr>
        <w:tc>
          <w:tcPr>
            <w:tcW w:w="1620" w:type="dxa"/>
            <w:vAlign w:val="bottom"/>
            <w:tcBorders>
              <w:left w:val="single" w:sz="8" w:color="434F69"/>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Government Relations</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434F69"/>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20" w:type="dxa"/>
            <w:vAlign w:val="bottom"/>
            <w:tcBorders>
              <w:left w:val="single" w:sz="8" w:color="434F69"/>
              <w:right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Operations/Engineering/</w:t>
            </w:r>
          </w:p>
        </w:tc>
        <w:tc>
          <w:tcPr>
            <w:tcW w:w="20" w:type="dxa"/>
            <w:vAlign w:val="bottom"/>
            <w:shd w:val="clear" w:color="auto" w:fill="D9DCE1"/>
          </w:tcPr>
          <w:p>
            <w:pPr>
              <w:spacing w:after="0"/>
              <w:rPr>
                <w:sz w:val="14"/>
                <w:szCs w:val="14"/>
                <w:color w:val="auto"/>
              </w:rPr>
            </w:pPr>
          </w:p>
        </w:tc>
        <w:tc>
          <w:tcPr>
            <w:tcW w:w="72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Borders>
              <w:right w:val="single" w:sz="8" w:color="auto"/>
            </w:tcBorders>
            <w:shd w:val="clear" w:color="auto" w:fill="D9DCE1"/>
          </w:tcPr>
          <w:p>
            <w:pPr>
              <w:spacing w:after="0"/>
              <w:rPr>
                <w:sz w:val="14"/>
                <w:szCs w:val="14"/>
                <w:color w:val="auto"/>
              </w:rPr>
            </w:pPr>
          </w:p>
        </w:tc>
        <w:tc>
          <w:tcPr>
            <w:tcW w:w="54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right w:val="single" w:sz="8" w:color="auto"/>
            </w:tcBorders>
            <w:shd w:val="clear" w:color="auto" w:fill="D9DCE1"/>
          </w:tcPr>
          <w:p>
            <w:pPr>
              <w:spacing w:after="0"/>
              <w:rPr>
                <w:sz w:val="14"/>
                <w:szCs w:val="14"/>
                <w:color w:val="auto"/>
              </w:rPr>
            </w:pPr>
          </w:p>
        </w:tc>
        <w:tc>
          <w:tcPr>
            <w:tcW w:w="80" w:type="dxa"/>
            <w:vAlign w:val="bottom"/>
            <w:tcBorders>
              <w:right w:val="single" w:sz="8" w:color="D9DCE1"/>
            </w:tcBorders>
            <w:shd w:val="clear" w:color="auto" w:fill="D9DCE1"/>
          </w:tcPr>
          <w:p>
            <w:pPr>
              <w:spacing w:after="0"/>
              <w:rPr>
                <w:sz w:val="14"/>
                <w:szCs w:val="14"/>
                <w:color w:val="auto"/>
              </w:rPr>
            </w:pPr>
          </w:p>
        </w:tc>
        <w:tc>
          <w:tcPr>
            <w:tcW w:w="260" w:type="dxa"/>
            <w:vAlign w:val="bottom"/>
            <w:vMerge w:val="restart"/>
            <w:shd w:val="clear" w:color="auto" w:fill="D9DCE1"/>
          </w:tcPr>
          <w:p>
            <w:pPr>
              <w:jc w:val="center"/>
              <w:ind w:left="61"/>
              <w:spacing w:after="0" w:line="141" w:lineRule="exact"/>
              <w:rPr>
                <w:sz w:val="20"/>
                <w:szCs w:val="20"/>
                <w:color w:val="auto"/>
              </w:rPr>
            </w:pPr>
            <w:r>
              <w:rPr>
                <w:rFonts w:ascii="MS PGothic" w:cs="MS PGothic" w:eastAsia="MS PGothic" w:hAnsi="MS PGothic"/>
                <w:sz w:val="14"/>
                <w:szCs w:val="14"/>
                <w:color w:val="auto"/>
                <w:w w:val="85"/>
              </w:rPr>
              <w:t>✓</w:t>
            </w:r>
          </w:p>
        </w:tc>
        <w:tc>
          <w:tcPr>
            <w:tcW w:w="200" w:type="dxa"/>
            <w:vAlign w:val="bottom"/>
            <w:tcBorders>
              <w:right w:val="single" w:sz="8" w:color="auto"/>
            </w:tcBorders>
            <w:shd w:val="clear" w:color="auto" w:fill="D9DCE1"/>
          </w:tcPr>
          <w:p>
            <w:pPr>
              <w:spacing w:after="0"/>
              <w:rPr>
                <w:sz w:val="14"/>
                <w:szCs w:val="14"/>
                <w:color w:val="auto"/>
              </w:rPr>
            </w:pPr>
          </w:p>
        </w:tc>
        <w:tc>
          <w:tcPr>
            <w:tcW w:w="620" w:type="dxa"/>
            <w:vAlign w:val="bottom"/>
            <w:tcBorders>
              <w:right w:val="single" w:sz="8" w:color="auto"/>
            </w:tcBorders>
            <w:shd w:val="clear" w:color="auto" w:fill="D9DCE1"/>
          </w:tcPr>
          <w:p>
            <w:pPr>
              <w:spacing w:after="0"/>
              <w:rPr>
                <w:sz w:val="14"/>
                <w:szCs w:val="14"/>
                <w:color w:val="auto"/>
              </w:rPr>
            </w:pPr>
          </w:p>
        </w:tc>
        <w:tc>
          <w:tcPr>
            <w:tcW w:w="520" w:type="dxa"/>
            <w:vAlign w:val="bottom"/>
            <w:tcBorders>
              <w:right w:val="single" w:sz="8" w:color="auto"/>
            </w:tcBorders>
            <w:shd w:val="clear" w:color="auto" w:fill="D9DCE1"/>
          </w:tcPr>
          <w:p>
            <w:pPr>
              <w:spacing w:after="0"/>
              <w:rPr>
                <w:sz w:val="14"/>
                <w:szCs w:val="14"/>
                <w:color w:val="auto"/>
              </w:rPr>
            </w:pPr>
          </w:p>
        </w:tc>
        <w:tc>
          <w:tcPr>
            <w:tcW w:w="68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0" w:type="dxa"/>
            <w:vAlign w:val="bottom"/>
            <w:shd w:val="clear" w:color="auto" w:fill="D9DCE1"/>
          </w:tcPr>
          <w:p>
            <w:pPr>
              <w:spacing w:after="0"/>
              <w:rPr>
                <w:sz w:val="14"/>
                <w:szCs w:val="14"/>
                <w:color w:val="auto"/>
              </w:rPr>
            </w:pPr>
          </w:p>
        </w:tc>
        <w:tc>
          <w:tcPr>
            <w:tcW w:w="520" w:type="dxa"/>
            <w:vAlign w:val="bottom"/>
            <w:tcBorders>
              <w:right w:val="single" w:sz="8" w:color="auto"/>
            </w:tcBorders>
            <w:shd w:val="clear" w:color="auto" w:fill="D9DCE1"/>
          </w:tcPr>
          <w:p>
            <w:pPr>
              <w:spacing w:after="0"/>
              <w:rPr>
                <w:sz w:val="14"/>
                <w:szCs w:val="14"/>
                <w:color w:val="auto"/>
              </w:rPr>
            </w:pPr>
          </w:p>
        </w:tc>
        <w:tc>
          <w:tcPr>
            <w:tcW w:w="580" w:type="dxa"/>
            <w:vAlign w:val="bottom"/>
            <w:tcBorders>
              <w:right w:val="single" w:sz="8" w:color="434F69"/>
            </w:tcBorders>
            <w:vMerge w:val="restart"/>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1"/>
        </w:trPr>
        <w:tc>
          <w:tcPr>
            <w:tcW w:w="1620" w:type="dxa"/>
            <w:vAlign w:val="bottom"/>
            <w:tcBorders>
              <w:left w:val="single" w:sz="8" w:color="434F69"/>
              <w:right w:val="single" w:sz="8" w:color="auto"/>
            </w:tcBorders>
            <w:gridSpan w:val="2"/>
            <w:vMerge w:val="restart"/>
            <w:shd w:val="clear" w:color="auto" w:fill="D9DCE1"/>
          </w:tcPr>
          <w:p>
            <w:pPr>
              <w:ind w:left="20"/>
              <w:spacing w:after="0"/>
              <w:rPr>
                <w:sz w:val="20"/>
                <w:szCs w:val="20"/>
                <w:color w:val="auto"/>
              </w:rPr>
            </w:pPr>
            <w:r>
              <w:rPr>
                <w:rFonts w:ascii="Arial" w:cs="Arial" w:eastAsia="Arial" w:hAnsi="Arial"/>
                <w:sz w:val="14"/>
                <w:szCs w:val="14"/>
                <w:color w:val="auto"/>
              </w:rPr>
              <w:t>Construction</w:t>
            </w:r>
          </w:p>
        </w:tc>
        <w:tc>
          <w:tcPr>
            <w:tcW w:w="20" w:type="dxa"/>
            <w:vAlign w:val="bottom"/>
            <w:shd w:val="clear" w:color="auto" w:fill="D9DCE1"/>
          </w:tcPr>
          <w:p>
            <w:pPr>
              <w:spacing w:after="0"/>
              <w:rPr>
                <w:sz w:val="11"/>
                <w:szCs w:val="11"/>
                <w:color w:val="auto"/>
              </w:rPr>
            </w:pPr>
          </w:p>
        </w:tc>
        <w:tc>
          <w:tcPr>
            <w:tcW w:w="720" w:type="dxa"/>
            <w:vAlign w:val="bottom"/>
            <w:tcBorders>
              <w:right w:val="single" w:sz="8" w:color="auto"/>
            </w:tcBorders>
            <w:vMerge w:val="continue"/>
            <w:shd w:val="clear" w:color="auto" w:fill="D9DCE1"/>
          </w:tcPr>
          <w:p>
            <w:pPr>
              <w:spacing w:after="0"/>
              <w:rPr>
                <w:sz w:val="11"/>
                <w:szCs w:val="11"/>
                <w:color w:val="auto"/>
              </w:rPr>
            </w:pPr>
          </w:p>
        </w:tc>
        <w:tc>
          <w:tcPr>
            <w:tcW w:w="420" w:type="dxa"/>
            <w:vAlign w:val="bottom"/>
            <w:tcBorders>
              <w:right w:val="single" w:sz="8" w:color="auto"/>
            </w:tcBorders>
            <w:shd w:val="clear" w:color="auto" w:fill="D9DCE1"/>
          </w:tcPr>
          <w:p>
            <w:pPr>
              <w:spacing w:after="0"/>
              <w:rPr>
                <w:sz w:val="11"/>
                <w:szCs w:val="11"/>
                <w:color w:val="auto"/>
              </w:rPr>
            </w:pPr>
          </w:p>
        </w:tc>
        <w:tc>
          <w:tcPr>
            <w:tcW w:w="540" w:type="dxa"/>
            <w:vAlign w:val="bottom"/>
            <w:tcBorders>
              <w:right w:val="single" w:sz="8" w:color="auto"/>
            </w:tcBorders>
            <w:vMerge w:val="continue"/>
            <w:shd w:val="clear" w:color="auto" w:fill="D9DCE1"/>
          </w:tcPr>
          <w:p>
            <w:pPr>
              <w:spacing w:after="0"/>
              <w:rPr>
                <w:sz w:val="11"/>
                <w:szCs w:val="11"/>
                <w:color w:val="auto"/>
              </w:rPr>
            </w:pPr>
          </w:p>
        </w:tc>
        <w:tc>
          <w:tcPr>
            <w:tcW w:w="720" w:type="dxa"/>
            <w:vAlign w:val="bottom"/>
            <w:tcBorders>
              <w:right w:val="single" w:sz="8" w:color="auto"/>
            </w:tcBorders>
            <w:shd w:val="clear" w:color="auto" w:fill="D9DCE1"/>
          </w:tcPr>
          <w:p>
            <w:pPr>
              <w:spacing w:after="0"/>
              <w:rPr>
                <w:sz w:val="11"/>
                <w:szCs w:val="11"/>
                <w:color w:val="auto"/>
              </w:rPr>
            </w:pPr>
          </w:p>
        </w:tc>
        <w:tc>
          <w:tcPr>
            <w:tcW w:w="80" w:type="dxa"/>
            <w:vAlign w:val="bottom"/>
            <w:tcBorders>
              <w:right w:val="single" w:sz="8" w:color="D9DCE1"/>
            </w:tcBorders>
            <w:shd w:val="clear" w:color="auto" w:fill="D9DCE1"/>
          </w:tcPr>
          <w:p>
            <w:pPr>
              <w:spacing w:after="0"/>
              <w:rPr>
                <w:sz w:val="11"/>
                <w:szCs w:val="11"/>
                <w:color w:val="auto"/>
              </w:rPr>
            </w:pPr>
          </w:p>
        </w:tc>
        <w:tc>
          <w:tcPr>
            <w:tcW w:w="260" w:type="dxa"/>
            <w:vAlign w:val="bottom"/>
            <w:vMerge w:val="continue"/>
            <w:shd w:val="clear" w:color="auto" w:fill="D9DCE1"/>
          </w:tcPr>
          <w:p>
            <w:pPr>
              <w:spacing w:after="0"/>
              <w:rPr>
                <w:sz w:val="11"/>
                <w:szCs w:val="11"/>
                <w:color w:val="auto"/>
              </w:rPr>
            </w:pPr>
          </w:p>
        </w:tc>
        <w:tc>
          <w:tcPr>
            <w:tcW w:w="200" w:type="dxa"/>
            <w:vAlign w:val="bottom"/>
            <w:tcBorders>
              <w:right w:val="single" w:sz="8" w:color="auto"/>
            </w:tcBorders>
            <w:shd w:val="clear" w:color="auto" w:fill="D9DCE1"/>
          </w:tcPr>
          <w:p>
            <w:pPr>
              <w:spacing w:after="0"/>
              <w:rPr>
                <w:sz w:val="11"/>
                <w:szCs w:val="11"/>
                <w:color w:val="auto"/>
              </w:rPr>
            </w:pPr>
          </w:p>
        </w:tc>
        <w:tc>
          <w:tcPr>
            <w:tcW w:w="620" w:type="dxa"/>
            <w:vAlign w:val="bottom"/>
            <w:tcBorders>
              <w:right w:val="single" w:sz="8" w:color="auto"/>
            </w:tcBorders>
            <w:shd w:val="clear" w:color="auto" w:fill="D9DCE1"/>
          </w:tcPr>
          <w:p>
            <w:pPr>
              <w:spacing w:after="0"/>
              <w:rPr>
                <w:sz w:val="11"/>
                <w:szCs w:val="11"/>
                <w:color w:val="auto"/>
              </w:rPr>
            </w:pPr>
          </w:p>
        </w:tc>
        <w:tc>
          <w:tcPr>
            <w:tcW w:w="520" w:type="dxa"/>
            <w:vAlign w:val="bottom"/>
            <w:tcBorders>
              <w:right w:val="single" w:sz="8" w:color="auto"/>
            </w:tcBorders>
            <w:shd w:val="clear" w:color="auto" w:fill="D9DCE1"/>
          </w:tcPr>
          <w:p>
            <w:pPr>
              <w:spacing w:after="0"/>
              <w:rPr>
                <w:sz w:val="11"/>
                <w:szCs w:val="11"/>
                <w:color w:val="auto"/>
              </w:rPr>
            </w:pPr>
          </w:p>
        </w:tc>
        <w:tc>
          <w:tcPr>
            <w:tcW w:w="680" w:type="dxa"/>
            <w:vAlign w:val="bottom"/>
            <w:tcBorders>
              <w:right w:val="single" w:sz="8" w:color="auto"/>
            </w:tcBorders>
            <w:vMerge w:val="continue"/>
            <w:shd w:val="clear" w:color="auto" w:fill="D9DCE1"/>
          </w:tcPr>
          <w:p>
            <w:pPr>
              <w:spacing w:after="0"/>
              <w:rPr>
                <w:sz w:val="11"/>
                <w:szCs w:val="11"/>
                <w:color w:val="auto"/>
              </w:rPr>
            </w:pPr>
          </w:p>
        </w:tc>
        <w:tc>
          <w:tcPr>
            <w:tcW w:w="700" w:type="dxa"/>
            <w:vAlign w:val="bottom"/>
            <w:tcBorders>
              <w:right w:val="single" w:sz="8" w:color="auto"/>
            </w:tcBorders>
            <w:vMerge w:val="continue"/>
            <w:shd w:val="clear" w:color="auto" w:fill="D9DCE1"/>
          </w:tcPr>
          <w:p>
            <w:pPr>
              <w:spacing w:after="0"/>
              <w:rPr>
                <w:sz w:val="11"/>
                <w:szCs w:val="11"/>
                <w:color w:val="auto"/>
              </w:rPr>
            </w:pPr>
          </w:p>
        </w:tc>
        <w:tc>
          <w:tcPr>
            <w:tcW w:w="20" w:type="dxa"/>
            <w:vAlign w:val="bottom"/>
            <w:shd w:val="clear" w:color="auto" w:fill="D9DCE1"/>
          </w:tcPr>
          <w:p>
            <w:pPr>
              <w:spacing w:after="0"/>
              <w:rPr>
                <w:sz w:val="11"/>
                <w:szCs w:val="11"/>
                <w:color w:val="auto"/>
              </w:rPr>
            </w:pPr>
          </w:p>
        </w:tc>
        <w:tc>
          <w:tcPr>
            <w:tcW w:w="520" w:type="dxa"/>
            <w:vAlign w:val="bottom"/>
            <w:tcBorders>
              <w:right w:val="single" w:sz="8" w:color="auto"/>
            </w:tcBorders>
            <w:shd w:val="clear" w:color="auto" w:fill="D9DCE1"/>
          </w:tcPr>
          <w:p>
            <w:pPr>
              <w:spacing w:after="0"/>
              <w:rPr>
                <w:sz w:val="11"/>
                <w:szCs w:val="11"/>
                <w:color w:val="auto"/>
              </w:rPr>
            </w:pPr>
          </w:p>
        </w:tc>
        <w:tc>
          <w:tcPr>
            <w:tcW w:w="580" w:type="dxa"/>
            <w:vAlign w:val="bottom"/>
            <w:tcBorders>
              <w:right w:val="single" w:sz="8" w:color="434F69"/>
            </w:tcBorders>
            <w:vMerge w:val="continue"/>
            <w:shd w:val="clear" w:color="auto" w:fill="D9DCE1"/>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620" w:type="dxa"/>
            <w:vAlign w:val="bottom"/>
            <w:tcBorders>
              <w:left w:val="single" w:sz="8" w:color="434F69"/>
              <w:bottom w:val="single" w:sz="8" w:color="D9DCE1"/>
              <w:right w:val="single" w:sz="8" w:color="auto"/>
            </w:tcBorders>
            <w:gridSpan w:val="2"/>
            <w:vMerge w:val="continue"/>
            <w:shd w:val="clear" w:color="auto" w:fill="D9DCE1"/>
          </w:tcPr>
          <w:p>
            <w:pPr>
              <w:spacing w:after="0"/>
              <w:rPr>
                <w:sz w:val="9"/>
                <w:szCs w:val="9"/>
                <w:color w:val="auto"/>
              </w:rPr>
            </w:pPr>
          </w:p>
        </w:tc>
        <w:tc>
          <w:tcPr>
            <w:tcW w:w="20" w:type="dxa"/>
            <w:vAlign w:val="bottom"/>
            <w:tcBorders>
              <w:bottom w:val="single" w:sz="8" w:color="D9DCE1"/>
            </w:tcBorders>
            <w:shd w:val="clear" w:color="auto" w:fill="D9DCE1"/>
          </w:tcPr>
          <w:p>
            <w:pPr>
              <w:spacing w:after="0"/>
              <w:rPr>
                <w:sz w:val="9"/>
                <w:szCs w:val="9"/>
                <w:color w:val="auto"/>
              </w:rPr>
            </w:pPr>
          </w:p>
        </w:tc>
        <w:tc>
          <w:tcPr>
            <w:tcW w:w="720" w:type="dxa"/>
            <w:vAlign w:val="bottom"/>
            <w:tcBorders>
              <w:bottom w:val="single" w:sz="8" w:color="D9DCE1"/>
              <w:right w:val="single" w:sz="8" w:color="auto"/>
            </w:tcBorders>
            <w:shd w:val="clear" w:color="auto" w:fill="D9DCE1"/>
          </w:tcPr>
          <w:p>
            <w:pPr>
              <w:spacing w:after="0"/>
              <w:rPr>
                <w:sz w:val="9"/>
                <w:szCs w:val="9"/>
                <w:color w:val="auto"/>
              </w:rPr>
            </w:pPr>
          </w:p>
        </w:tc>
        <w:tc>
          <w:tcPr>
            <w:tcW w:w="420" w:type="dxa"/>
            <w:vAlign w:val="bottom"/>
            <w:tcBorders>
              <w:bottom w:val="single" w:sz="8" w:color="D9DCE1"/>
              <w:right w:val="single" w:sz="8" w:color="auto"/>
            </w:tcBorders>
            <w:shd w:val="clear" w:color="auto" w:fill="D9DCE1"/>
          </w:tcPr>
          <w:p>
            <w:pPr>
              <w:spacing w:after="0"/>
              <w:rPr>
                <w:sz w:val="9"/>
                <w:szCs w:val="9"/>
                <w:color w:val="auto"/>
              </w:rPr>
            </w:pPr>
          </w:p>
        </w:tc>
        <w:tc>
          <w:tcPr>
            <w:tcW w:w="540" w:type="dxa"/>
            <w:vAlign w:val="bottom"/>
            <w:tcBorders>
              <w:bottom w:val="single" w:sz="8" w:color="D9DCE1"/>
              <w:right w:val="single" w:sz="8" w:color="auto"/>
            </w:tcBorders>
            <w:shd w:val="clear" w:color="auto" w:fill="D9DCE1"/>
          </w:tcPr>
          <w:p>
            <w:pPr>
              <w:spacing w:after="0"/>
              <w:rPr>
                <w:sz w:val="9"/>
                <w:szCs w:val="9"/>
                <w:color w:val="auto"/>
              </w:rPr>
            </w:pPr>
          </w:p>
        </w:tc>
        <w:tc>
          <w:tcPr>
            <w:tcW w:w="720" w:type="dxa"/>
            <w:vAlign w:val="bottom"/>
            <w:tcBorders>
              <w:bottom w:val="single" w:sz="8" w:color="D9DCE1"/>
              <w:right w:val="single" w:sz="8" w:color="auto"/>
            </w:tcBorders>
            <w:shd w:val="clear" w:color="auto" w:fill="D9DCE1"/>
          </w:tcPr>
          <w:p>
            <w:pPr>
              <w:spacing w:after="0"/>
              <w:rPr>
                <w:sz w:val="9"/>
                <w:szCs w:val="9"/>
                <w:color w:val="auto"/>
              </w:rPr>
            </w:pPr>
          </w:p>
        </w:tc>
        <w:tc>
          <w:tcPr>
            <w:tcW w:w="80" w:type="dxa"/>
            <w:vAlign w:val="bottom"/>
            <w:tcBorders>
              <w:bottom w:val="single" w:sz="8" w:color="D9DCE1"/>
              <w:right w:val="single" w:sz="8" w:color="D9DCE1"/>
            </w:tcBorders>
            <w:shd w:val="clear" w:color="auto" w:fill="D9DCE1"/>
          </w:tcPr>
          <w:p>
            <w:pPr>
              <w:spacing w:after="0"/>
              <w:rPr>
                <w:sz w:val="9"/>
                <w:szCs w:val="9"/>
                <w:color w:val="auto"/>
              </w:rPr>
            </w:pPr>
          </w:p>
        </w:tc>
        <w:tc>
          <w:tcPr>
            <w:tcW w:w="260" w:type="dxa"/>
            <w:vAlign w:val="bottom"/>
            <w:tcBorders>
              <w:bottom w:val="single" w:sz="8" w:color="D9DCE1"/>
            </w:tcBorders>
            <w:shd w:val="clear" w:color="auto" w:fill="D9DCE1"/>
          </w:tcPr>
          <w:p>
            <w:pPr>
              <w:spacing w:after="0"/>
              <w:rPr>
                <w:sz w:val="9"/>
                <w:szCs w:val="9"/>
                <w:color w:val="auto"/>
              </w:rPr>
            </w:pPr>
          </w:p>
        </w:tc>
        <w:tc>
          <w:tcPr>
            <w:tcW w:w="200" w:type="dxa"/>
            <w:vAlign w:val="bottom"/>
            <w:tcBorders>
              <w:bottom w:val="single" w:sz="8" w:color="D9DCE1"/>
              <w:right w:val="single" w:sz="8" w:color="auto"/>
            </w:tcBorders>
            <w:shd w:val="clear" w:color="auto" w:fill="D9DCE1"/>
          </w:tcPr>
          <w:p>
            <w:pPr>
              <w:spacing w:after="0"/>
              <w:rPr>
                <w:sz w:val="9"/>
                <w:szCs w:val="9"/>
                <w:color w:val="auto"/>
              </w:rPr>
            </w:pPr>
          </w:p>
        </w:tc>
        <w:tc>
          <w:tcPr>
            <w:tcW w:w="620" w:type="dxa"/>
            <w:vAlign w:val="bottom"/>
            <w:tcBorders>
              <w:bottom w:val="single" w:sz="8" w:color="D9DCE1"/>
              <w:right w:val="single" w:sz="8" w:color="auto"/>
            </w:tcBorders>
            <w:shd w:val="clear" w:color="auto" w:fill="D9DCE1"/>
          </w:tcPr>
          <w:p>
            <w:pPr>
              <w:spacing w:after="0"/>
              <w:rPr>
                <w:sz w:val="9"/>
                <w:szCs w:val="9"/>
                <w:color w:val="auto"/>
              </w:rPr>
            </w:pPr>
          </w:p>
        </w:tc>
        <w:tc>
          <w:tcPr>
            <w:tcW w:w="520" w:type="dxa"/>
            <w:vAlign w:val="bottom"/>
            <w:tcBorders>
              <w:bottom w:val="single" w:sz="8" w:color="D9DCE1"/>
              <w:right w:val="single" w:sz="8" w:color="auto"/>
            </w:tcBorders>
            <w:shd w:val="clear" w:color="auto" w:fill="D9DCE1"/>
          </w:tcPr>
          <w:p>
            <w:pPr>
              <w:spacing w:after="0"/>
              <w:rPr>
                <w:sz w:val="9"/>
                <w:szCs w:val="9"/>
                <w:color w:val="auto"/>
              </w:rPr>
            </w:pPr>
          </w:p>
        </w:tc>
        <w:tc>
          <w:tcPr>
            <w:tcW w:w="680" w:type="dxa"/>
            <w:vAlign w:val="bottom"/>
            <w:tcBorders>
              <w:bottom w:val="single" w:sz="8" w:color="D9DCE1"/>
              <w:right w:val="single" w:sz="8" w:color="auto"/>
            </w:tcBorders>
            <w:shd w:val="clear" w:color="auto" w:fill="D9DCE1"/>
          </w:tcPr>
          <w:p>
            <w:pPr>
              <w:spacing w:after="0"/>
              <w:rPr>
                <w:sz w:val="9"/>
                <w:szCs w:val="9"/>
                <w:color w:val="auto"/>
              </w:rPr>
            </w:pPr>
          </w:p>
        </w:tc>
        <w:tc>
          <w:tcPr>
            <w:tcW w:w="700" w:type="dxa"/>
            <w:vAlign w:val="bottom"/>
            <w:tcBorders>
              <w:bottom w:val="single" w:sz="8" w:color="D9DCE1"/>
              <w:right w:val="single" w:sz="8" w:color="auto"/>
            </w:tcBorders>
            <w:shd w:val="clear" w:color="auto" w:fill="D9DCE1"/>
          </w:tcPr>
          <w:p>
            <w:pPr>
              <w:spacing w:after="0"/>
              <w:rPr>
                <w:sz w:val="9"/>
                <w:szCs w:val="9"/>
                <w:color w:val="auto"/>
              </w:rPr>
            </w:pPr>
          </w:p>
        </w:tc>
        <w:tc>
          <w:tcPr>
            <w:tcW w:w="20" w:type="dxa"/>
            <w:vAlign w:val="bottom"/>
            <w:tcBorders>
              <w:bottom w:val="single" w:sz="8" w:color="D9DCE1"/>
            </w:tcBorders>
            <w:shd w:val="clear" w:color="auto" w:fill="D9DCE1"/>
          </w:tcPr>
          <w:p>
            <w:pPr>
              <w:spacing w:after="0"/>
              <w:rPr>
                <w:sz w:val="9"/>
                <w:szCs w:val="9"/>
                <w:color w:val="auto"/>
              </w:rPr>
            </w:pPr>
          </w:p>
        </w:tc>
        <w:tc>
          <w:tcPr>
            <w:tcW w:w="520" w:type="dxa"/>
            <w:vAlign w:val="bottom"/>
            <w:tcBorders>
              <w:bottom w:val="single" w:sz="8" w:color="D9DCE1"/>
              <w:right w:val="single" w:sz="8" w:color="auto"/>
            </w:tcBorders>
            <w:shd w:val="clear" w:color="auto" w:fill="D9DCE1"/>
          </w:tcPr>
          <w:p>
            <w:pPr>
              <w:spacing w:after="0"/>
              <w:rPr>
                <w:sz w:val="9"/>
                <w:szCs w:val="9"/>
                <w:color w:val="auto"/>
              </w:rPr>
            </w:pPr>
          </w:p>
        </w:tc>
        <w:tc>
          <w:tcPr>
            <w:tcW w:w="580" w:type="dxa"/>
            <w:vAlign w:val="bottom"/>
            <w:tcBorders>
              <w:bottom w:val="single" w:sz="8" w:color="D9DCE1"/>
              <w:right w:val="single" w:sz="8" w:color="434F69"/>
            </w:tcBorders>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1620" w:type="dxa"/>
            <w:vAlign w:val="bottom"/>
            <w:tcBorders>
              <w:top w:val="single" w:sz="8" w:color="auto"/>
              <w:left w:val="single" w:sz="8" w:color="434F69"/>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Industry Experience</w:t>
            </w:r>
          </w:p>
        </w:tc>
        <w:tc>
          <w:tcPr>
            <w:tcW w:w="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right w:val="single" w:sz="8" w:color="auto"/>
            </w:tcBorders>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top w:val="single" w:sz="8" w:color="auto"/>
              <w:bottom w:val="single" w:sz="8" w:color="auto"/>
              <w:right w:val="single" w:sz="8" w:color="434F69"/>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50"/>
        </w:trPr>
        <w:tc>
          <w:tcPr>
            <w:tcW w:w="1620" w:type="dxa"/>
            <w:vAlign w:val="bottom"/>
            <w:tcBorders>
              <w:left w:val="single" w:sz="8" w:color="434F69"/>
              <w:bottom w:val="single" w:sz="8" w:color="auto"/>
              <w:right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Private Equity</w:t>
            </w:r>
          </w:p>
        </w:tc>
        <w:tc>
          <w:tcPr>
            <w:tcW w:w="20" w:type="dxa"/>
            <w:vAlign w:val="bottom"/>
            <w:tcBorders>
              <w:bottom w:val="single" w:sz="8" w:color="auto"/>
            </w:tcBorders>
            <w:shd w:val="clear" w:color="auto" w:fill="D9DCE1"/>
          </w:tcPr>
          <w:p>
            <w:pPr>
              <w:spacing w:after="0"/>
              <w:rPr>
                <w:sz w:val="21"/>
                <w:szCs w:val="21"/>
                <w:color w:val="auto"/>
              </w:rPr>
            </w:pPr>
          </w:p>
        </w:tc>
        <w:tc>
          <w:tcPr>
            <w:tcW w:w="720" w:type="dxa"/>
            <w:vAlign w:val="bottom"/>
            <w:tcBorders>
              <w:bottom w:val="single" w:sz="8" w:color="auto"/>
              <w:right w:val="single" w:sz="8" w:color="auto"/>
            </w:tcBorders>
            <w:shd w:val="clear" w:color="auto" w:fill="D9DCE1"/>
          </w:tcPr>
          <w:p>
            <w:pPr>
              <w:spacing w:after="0"/>
              <w:rPr>
                <w:sz w:val="21"/>
                <w:szCs w:val="21"/>
                <w:color w:val="auto"/>
              </w:rPr>
            </w:pPr>
          </w:p>
        </w:tc>
        <w:tc>
          <w:tcPr>
            <w:tcW w:w="420" w:type="dxa"/>
            <w:vAlign w:val="bottom"/>
            <w:tcBorders>
              <w:bottom w:val="single" w:sz="8" w:color="auto"/>
              <w:right w:val="single" w:sz="8" w:color="auto"/>
            </w:tcBorders>
            <w:shd w:val="clear" w:color="auto" w:fill="D9DCE1"/>
          </w:tcPr>
          <w:p>
            <w:pPr>
              <w:spacing w:after="0"/>
              <w:rPr>
                <w:sz w:val="21"/>
                <w:szCs w:val="21"/>
                <w:color w:val="auto"/>
              </w:rPr>
            </w:pPr>
          </w:p>
        </w:tc>
        <w:tc>
          <w:tcPr>
            <w:tcW w:w="540" w:type="dxa"/>
            <w:vAlign w:val="bottom"/>
            <w:tcBorders>
              <w:bottom w:val="single" w:sz="8" w:color="auto"/>
              <w:right w:val="single" w:sz="8" w:color="auto"/>
            </w:tcBorders>
            <w:shd w:val="clear" w:color="auto" w:fill="D9DCE1"/>
          </w:tcPr>
          <w:p>
            <w:pPr>
              <w:spacing w:after="0"/>
              <w:rPr>
                <w:sz w:val="21"/>
                <w:szCs w:val="21"/>
                <w:color w:val="auto"/>
              </w:rPr>
            </w:pPr>
          </w:p>
        </w:tc>
        <w:tc>
          <w:tcPr>
            <w:tcW w:w="7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tcBorders>
              <w:bottom w:val="single" w:sz="8" w:color="auto"/>
              <w:right w:val="single" w:sz="8" w:color="D9DCE1"/>
            </w:tcBorders>
            <w:shd w:val="clear" w:color="auto" w:fill="D9DCE1"/>
          </w:tcPr>
          <w:p>
            <w:pPr>
              <w:spacing w:after="0"/>
              <w:rPr>
                <w:sz w:val="21"/>
                <w:szCs w:val="21"/>
                <w:color w:val="auto"/>
              </w:rPr>
            </w:pPr>
          </w:p>
        </w:tc>
        <w:tc>
          <w:tcPr>
            <w:tcW w:w="260" w:type="dxa"/>
            <w:vAlign w:val="bottom"/>
            <w:tcBorders>
              <w:bottom w:val="single" w:sz="8" w:color="auto"/>
            </w:tcBorders>
            <w:shd w:val="clear" w:color="auto" w:fill="D9DCE1"/>
          </w:tcPr>
          <w:p>
            <w:pPr>
              <w:spacing w:after="0"/>
              <w:rPr>
                <w:sz w:val="21"/>
                <w:szCs w:val="21"/>
                <w:color w:val="auto"/>
              </w:rPr>
            </w:pPr>
          </w:p>
        </w:tc>
        <w:tc>
          <w:tcPr>
            <w:tcW w:w="200" w:type="dxa"/>
            <w:vAlign w:val="bottom"/>
            <w:tcBorders>
              <w:bottom w:val="single" w:sz="8" w:color="auto"/>
              <w:right w:val="single" w:sz="8" w:color="auto"/>
            </w:tcBorders>
            <w:shd w:val="clear" w:color="auto" w:fill="D9DCE1"/>
          </w:tcPr>
          <w:p>
            <w:pPr>
              <w:spacing w:after="0"/>
              <w:rPr>
                <w:sz w:val="21"/>
                <w:szCs w:val="21"/>
                <w:color w:val="auto"/>
              </w:rPr>
            </w:pPr>
          </w:p>
        </w:tc>
        <w:tc>
          <w:tcPr>
            <w:tcW w:w="6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shd w:val="clear" w:color="auto" w:fill="D9DCE1"/>
          </w:tcPr>
          <w:p>
            <w:pPr>
              <w:spacing w:after="0"/>
              <w:rPr>
                <w:sz w:val="21"/>
                <w:szCs w:val="21"/>
                <w:color w:val="auto"/>
              </w:rPr>
            </w:pPr>
          </w:p>
        </w:tc>
        <w:tc>
          <w:tcPr>
            <w:tcW w:w="6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bottom w:val="single" w:sz="8" w:color="auto"/>
              <w:right w:val="single" w:sz="8" w:color="auto"/>
            </w:tcBorders>
            <w:shd w:val="clear" w:color="auto" w:fill="D9DCE1"/>
          </w:tcPr>
          <w:p>
            <w:pPr>
              <w:spacing w:after="0"/>
              <w:rPr>
                <w:sz w:val="21"/>
                <w:szCs w:val="21"/>
                <w:color w:val="auto"/>
              </w:rPr>
            </w:pPr>
          </w:p>
        </w:tc>
        <w:tc>
          <w:tcPr>
            <w:tcW w:w="20" w:type="dxa"/>
            <w:vAlign w:val="bottom"/>
            <w:tcBorders>
              <w:bottom w:val="single" w:sz="8" w:color="auto"/>
            </w:tcBorders>
            <w:shd w:val="clear" w:color="auto" w:fill="D9DCE1"/>
          </w:tcPr>
          <w:p>
            <w:pPr>
              <w:spacing w:after="0"/>
              <w:rPr>
                <w:sz w:val="21"/>
                <w:szCs w:val="21"/>
                <w:color w:val="auto"/>
              </w:rPr>
            </w:pPr>
          </w:p>
        </w:tc>
        <w:tc>
          <w:tcPr>
            <w:tcW w:w="5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bottom w:val="single" w:sz="8" w:color="auto"/>
              <w:right w:val="single" w:sz="8" w:color="434F69"/>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20" w:type="dxa"/>
            <w:vAlign w:val="bottom"/>
            <w:tcBorders>
              <w:left w:val="single" w:sz="8" w:color="434F69"/>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Diversity</w:t>
            </w: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20" w:type="dxa"/>
            <w:vAlign w:val="bottom"/>
            <w:tcBorders>
              <w:left w:val="single" w:sz="8" w:color="434F69"/>
              <w:bottom w:val="single" w:sz="8" w:color="auto"/>
              <w:right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International</w:t>
            </w:r>
          </w:p>
        </w:tc>
        <w:tc>
          <w:tcPr>
            <w:tcW w:w="20" w:type="dxa"/>
            <w:vAlign w:val="bottom"/>
            <w:tcBorders>
              <w:bottom w:val="single" w:sz="8" w:color="auto"/>
            </w:tcBorders>
            <w:shd w:val="clear" w:color="auto" w:fill="D9DCE1"/>
          </w:tcPr>
          <w:p>
            <w:pPr>
              <w:spacing w:after="0"/>
              <w:rPr>
                <w:sz w:val="21"/>
                <w:szCs w:val="21"/>
                <w:color w:val="auto"/>
              </w:rPr>
            </w:pPr>
          </w:p>
        </w:tc>
        <w:tc>
          <w:tcPr>
            <w:tcW w:w="7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Borders>
              <w:bottom w:val="single" w:sz="8" w:color="auto"/>
              <w:right w:val="single" w:sz="8" w:color="auto"/>
            </w:tcBorders>
            <w:shd w:val="clear" w:color="auto" w:fill="D9DCE1"/>
          </w:tcPr>
          <w:p>
            <w:pPr>
              <w:spacing w:after="0"/>
              <w:rPr>
                <w:sz w:val="21"/>
                <w:szCs w:val="21"/>
                <w:color w:val="auto"/>
              </w:rPr>
            </w:pPr>
          </w:p>
        </w:tc>
        <w:tc>
          <w:tcPr>
            <w:tcW w:w="80" w:type="dxa"/>
            <w:vAlign w:val="bottom"/>
            <w:tcBorders>
              <w:bottom w:val="single" w:sz="8" w:color="auto"/>
              <w:right w:val="single" w:sz="8" w:color="D9DCE1"/>
            </w:tcBorders>
            <w:shd w:val="clear" w:color="auto" w:fill="D9DCE1"/>
          </w:tcPr>
          <w:p>
            <w:pPr>
              <w:spacing w:after="0"/>
              <w:rPr>
                <w:sz w:val="21"/>
                <w:szCs w:val="21"/>
                <w:color w:val="auto"/>
              </w:rPr>
            </w:pPr>
          </w:p>
        </w:tc>
        <w:tc>
          <w:tcPr>
            <w:tcW w:w="460" w:type="dxa"/>
            <w:vAlign w:val="bottom"/>
            <w:tcBorders>
              <w:bottom w:val="single" w:sz="8" w:color="auto"/>
              <w:right w:val="single" w:sz="8" w:color="auto"/>
            </w:tcBorders>
            <w:gridSpan w:val="2"/>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bottom w:val="single" w:sz="8" w:color="auto"/>
              <w:right w:val="single" w:sz="8" w:color="auto"/>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0" w:type="dxa"/>
            <w:vAlign w:val="bottom"/>
            <w:tcBorders>
              <w:bottom w:val="single" w:sz="8" w:color="auto"/>
            </w:tcBorders>
            <w:shd w:val="clear" w:color="auto" w:fill="D9DCE1"/>
          </w:tcPr>
          <w:p>
            <w:pPr>
              <w:spacing w:after="0"/>
              <w:rPr>
                <w:sz w:val="21"/>
                <w:szCs w:val="21"/>
                <w:color w:val="auto"/>
              </w:rPr>
            </w:pPr>
          </w:p>
        </w:tc>
        <w:tc>
          <w:tcPr>
            <w:tcW w:w="520" w:type="dxa"/>
            <w:vAlign w:val="bottom"/>
            <w:tcBorders>
              <w:bottom w:val="single" w:sz="8" w:color="auto"/>
              <w:right w:val="single" w:sz="8" w:color="auto"/>
            </w:tcBorders>
            <w:shd w:val="clear" w:color="auto" w:fill="D9DCE1"/>
          </w:tcPr>
          <w:p>
            <w:pPr>
              <w:spacing w:after="0"/>
              <w:rPr>
                <w:sz w:val="21"/>
                <w:szCs w:val="21"/>
                <w:color w:val="auto"/>
              </w:rPr>
            </w:pPr>
          </w:p>
        </w:tc>
        <w:tc>
          <w:tcPr>
            <w:tcW w:w="580" w:type="dxa"/>
            <w:vAlign w:val="bottom"/>
            <w:tcBorders>
              <w:bottom w:val="single" w:sz="8" w:color="auto"/>
              <w:right w:val="single" w:sz="8" w:color="434F69"/>
            </w:tcBorders>
            <w:shd w:val="clear" w:color="auto" w:fill="D9DCE1"/>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50"/>
        </w:trPr>
        <w:tc>
          <w:tcPr>
            <w:tcW w:w="1620" w:type="dxa"/>
            <w:vAlign w:val="bottom"/>
            <w:tcBorders>
              <w:left w:val="single" w:sz="8" w:color="434F69"/>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Cybersecurity/IT</w:t>
            </w: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Borders>
              <w:bottom w:val="single" w:sz="8" w:color="auto"/>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-2253615</wp:posOffset>
            </wp:positionV>
            <wp:extent cx="17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-2253615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III Directors Standing for Election at the 2021 Annual Meeting</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The Board has nominated Messrs. Armstrong, Raymond, Shackouls and Temple, current non-designated Class III directors, for election at the 2021 annual meeting. Each nominee has consented to serve if elected and, if elected, will serve until the 2024 annual meeting. If any of the nominees becomes unavailable to serve as a director prior to the Annual Meeting, the Board may designate a substitute nominee, or the Board may decide to reduce the size of the Board. In the case of a substitute nominee, the persons named as proxies will vote for the substitute nominee designated by the Board.</w:t>
      </w:r>
    </w:p>
    <w:p>
      <w:pPr>
        <w:spacing w:after="0" w:line="142"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208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GREG L. ARMSTRONG</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Greg L. Armstrong, age 62, </w:t>
            </w:r>
            <w:r>
              <w:rPr>
                <w:rFonts w:ascii="Arial" w:cs="Arial" w:eastAsia="Arial" w:hAnsi="Arial"/>
                <w:sz w:val="16"/>
                <w:szCs w:val="16"/>
                <w:color w:val="auto"/>
              </w:rPr>
              <w:t>has served as a director of</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6"/>
                <w:szCs w:val="16"/>
                <w:color w:val="auto"/>
                <w:w w:val="97"/>
              </w:rPr>
              <w:t>Board Qualifications:</w:t>
            </w:r>
          </w:p>
        </w:tc>
        <w:tc>
          <w:tcPr>
            <w:tcW w:w="5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88"/>
              </w:rPr>
              <w:t>Not 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since 2013. He has also served as Senior</w:t>
            </w:r>
          </w:p>
        </w:tc>
        <w:tc>
          <w:tcPr>
            <w:tcW w:w="10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Advisor to the CEO since January 1, 2020.</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5"/>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Armstrong served as Chairman of the Board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8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62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6"/>
                <w:szCs w:val="16"/>
                <w:b w:val="1"/>
                <w:bCs w:val="1"/>
                <w:i w:val="1"/>
                <w:iCs w:val="1"/>
                <w:color w:val="auto"/>
                <w:w w:val="83"/>
              </w:rPr>
              <w:t>since 1998</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from July 2013 through December 31, 2019</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9"/>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89"/>
              </w:rPr>
              <w:t>Former Chairman</w:t>
            </w:r>
          </w:p>
        </w:tc>
        <w:tc>
          <w:tcPr>
            <w:tcW w:w="408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and as Chief Executive Officer of PAGP GP from</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8"/>
        </w:trPr>
        <w:tc>
          <w:tcPr>
            <w:tcW w:w="2080" w:type="dxa"/>
            <w:vAlign w:val="bottom"/>
            <w:tcBorders>
              <w:left w:val="single" w:sz="8" w:color="auto"/>
              <w:right w:val="single" w:sz="8" w:color="auto"/>
            </w:tcBorders>
            <w:gridSpan w:val="3"/>
            <w:vMerge w:val="continue"/>
          </w:tcPr>
          <w:p>
            <w:pPr>
              <w:spacing w:after="0"/>
              <w:rPr>
                <w:sz w:val="13"/>
                <w:szCs w:val="13"/>
                <w:color w:val="auto"/>
              </w:rPr>
            </w:pPr>
          </w:p>
        </w:tc>
        <w:tc>
          <w:tcPr>
            <w:tcW w:w="40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rPr>
              <w:t>July 2013 until his retirement from such position in</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86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20" w:type="dxa"/>
            <w:vAlign w:val="bottom"/>
            <w:tcBorders>
              <w:left w:val="single" w:sz="8" w:color="auto"/>
            </w:tcBorders>
          </w:tcPr>
          <w:p>
            <w:pPr>
              <w:spacing w:after="0"/>
              <w:rPr>
                <w:sz w:val="19"/>
                <w:szCs w:val="19"/>
                <w:color w:val="auto"/>
              </w:rPr>
            </w:pPr>
          </w:p>
        </w:tc>
        <w:tc>
          <w:tcPr>
            <w:tcW w:w="146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6"/>
                <w:szCs w:val="16"/>
                <w:b w:val="1"/>
                <w:bCs w:val="1"/>
                <w:i w:val="1"/>
                <w:iCs w:val="1"/>
                <w:color w:val="auto"/>
                <w:w w:val="88"/>
              </w:rPr>
              <w:t>and CEO</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October 2018. He also served as Chief Executive Officer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GP LLC from PAA’s formation in 1998 until his</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2"/>
        </w:trPr>
        <w:tc>
          <w:tcPr>
            <w:tcW w:w="62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9"/>
              </w:rPr>
              <w:t>retirement from that position in October 2018. He served</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39"/>
        </w:trPr>
        <w:tc>
          <w:tcPr>
            <w:tcW w:w="62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a director of PAA’s general partner or former general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from PAA’s formation until November 2016</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when the Board of PAGP GP assumed responsibility for</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8"/>
        </w:trPr>
        <w:tc>
          <w:tcPr>
            <w:tcW w:w="62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PAA in addition to PAGP and AAP. In addition, he was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Chief Executive Officer and director of Plains</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Resources Inc. from 1992 to May 2001 and served in</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39"/>
        </w:trPr>
        <w:tc>
          <w:tcPr>
            <w:tcW w:w="62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various roles of increasing responsibility from 1981 to</w:t>
            </w: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8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1992. Mr. Armstrong is Chair of the Federal Reserve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Bank of Dallas, and is a director of the Memorial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Hermann Health System and NOV, Inc. Mr. Armstrong 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also a member of the advisory board of the Maguire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Institute at the Cox School of Business 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Southern Methodist University, a member of the adjunct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faculty for the University of Oklahoma’s Executive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MBA in Energy program and is the Immediate Past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Chairman of the National Petroleum Council.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Armstrong’s experience with PAA since 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formation, including as former Chairman and CEO,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his long-time involvement in the energy industry,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provide the Board with invaluable insight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perspective.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80" w:type="dxa"/>
            <w:vAlign w:val="bottom"/>
            <w:tcBorders>
              <w:left w:val="single" w:sz="8" w:color="auto"/>
              <w:right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rPr>
              <w:t>JOHN T. RAYMOND</w:t>
            </w:r>
          </w:p>
        </w:tc>
        <w:tc>
          <w:tcPr>
            <w:tcW w:w="408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i w:val="1"/>
                <w:iCs w:val="1"/>
                <w:color w:val="auto"/>
              </w:rPr>
              <w:t xml:space="preserve">John T. Raymond, age 50, </w:t>
            </w:r>
            <w:r>
              <w:rPr>
                <w:rFonts w:ascii="Arial" w:cs="Arial" w:eastAsia="Arial" w:hAnsi="Arial"/>
                <w:sz w:val="14"/>
                <w:szCs w:val="14"/>
                <w:color w:val="auto"/>
              </w:rPr>
              <w:t>has served as a director of</w:t>
            </w:r>
          </w:p>
        </w:tc>
        <w:tc>
          <w:tcPr>
            <w:tcW w:w="100" w:type="dxa"/>
            <w:vAlign w:val="bottom"/>
          </w:tcPr>
          <w:p>
            <w:pPr>
              <w:spacing w:after="0"/>
              <w:rPr>
                <w:sz w:val="12"/>
                <w:szCs w:val="12"/>
                <w:color w:val="auto"/>
              </w:rPr>
            </w:pPr>
          </w:p>
        </w:tc>
        <w:tc>
          <w:tcPr>
            <w:tcW w:w="1960" w:type="dxa"/>
            <w:vAlign w:val="bottom"/>
            <w:tcBorders>
              <w:right w:val="single" w:sz="8" w:color="auto"/>
            </w:tcBorders>
            <w:gridSpan w:val="4"/>
          </w:tcPr>
          <w:p>
            <w:pPr>
              <w:spacing w:after="0" w:line="129" w:lineRule="exact"/>
              <w:rPr>
                <w:sz w:val="20"/>
                <w:szCs w:val="20"/>
                <w:color w:val="auto"/>
              </w:rPr>
            </w:pPr>
            <w:r>
              <w:rPr>
                <w:rFonts w:ascii="Arial" w:cs="Arial" w:eastAsia="Arial" w:hAnsi="Arial"/>
                <w:sz w:val="14"/>
                <w:szCs w:val="14"/>
                <w:color w:val="auto"/>
              </w:rPr>
              <w:t>Board Qualifications:</w:t>
            </w:r>
          </w:p>
        </w:tc>
        <w:tc>
          <w:tcPr>
            <w:tcW w:w="0" w:type="dxa"/>
            <w:vAlign w:val="bottom"/>
          </w:tcPr>
          <w:p>
            <w:pPr>
              <w:spacing w:after="0"/>
              <w:rPr>
                <w:sz w:val="1"/>
                <w:szCs w:val="1"/>
                <w:color w:val="auto"/>
              </w:rPr>
            </w:pPr>
          </w:p>
        </w:tc>
      </w:tr>
      <w:tr>
        <w:trPr>
          <w:trHeight w:val="200"/>
        </w:trPr>
        <w:tc>
          <w:tcPr>
            <w:tcW w:w="62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vMerge w:val="restart"/>
          </w:tcPr>
          <w:p>
            <w:pPr>
              <w:jc w:val="center"/>
              <w:ind w:right="580"/>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PAGP GP since October 2013. He served as a director of</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PAA’s general partner from December 2010 until</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5"/>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November 2016. Mr. Raymond is the founder and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8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62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6"/>
                <w:szCs w:val="16"/>
                <w:b w:val="1"/>
                <w:bCs w:val="1"/>
                <w:i w:val="1"/>
                <w:iCs w:val="1"/>
                <w:color w:val="auto"/>
                <w:w w:val="83"/>
              </w:rPr>
              <w:t>since 2010</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majority owner of The Energy &amp; Minerals Group</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9"/>
        </w:trPr>
        <w:tc>
          <w:tcPr>
            <w:tcW w:w="620" w:type="dxa"/>
            <w:vAlign w:val="bottom"/>
            <w:tcBorders>
              <w:left w:val="single" w:sz="8" w:color="auto"/>
            </w:tcBorders>
          </w:tcPr>
          <w:p>
            <w:pPr>
              <w:spacing w:after="0"/>
              <w:rPr>
                <w:sz w:val="15"/>
                <w:szCs w:val="15"/>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5"/>
              </w:rPr>
              <w:t>Committees</w:t>
            </w:r>
          </w:p>
        </w:tc>
        <w:tc>
          <w:tcPr>
            <w:tcW w:w="660" w:type="dxa"/>
            <w:vAlign w:val="bottom"/>
            <w:tcBorders>
              <w:right w:val="single" w:sz="8" w:color="auto"/>
            </w:tcBorders>
            <w:vMerge w:val="restart"/>
          </w:tcPr>
          <w:p>
            <w:pPr>
              <w:jc w:val="right"/>
              <w:ind w:right="580"/>
              <w:spacing w:after="0"/>
              <w:rPr>
                <w:sz w:val="20"/>
                <w:szCs w:val="20"/>
                <w:color w:val="auto"/>
              </w:rPr>
            </w:pPr>
            <w:r>
              <w:rPr>
                <w:rFonts w:ascii="Arial" w:cs="Arial" w:eastAsia="Arial" w:hAnsi="Arial"/>
                <w:sz w:val="8"/>
                <w:szCs w:val="8"/>
                <w:b w:val="1"/>
                <w:bCs w:val="1"/>
                <w:color w:val="auto"/>
                <w:w w:val="73"/>
              </w:rPr>
              <w:t>:</w:t>
            </w:r>
          </w:p>
        </w:tc>
        <w:tc>
          <w:tcPr>
            <w:tcW w:w="408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(“EMG”), which is the management company for a</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23"/>
        </w:trPr>
        <w:tc>
          <w:tcPr>
            <w:tcW w:w="620" w:type="dxa"/>
            <w:vAlign w:val="bottom"/>
            <w:tcBorders>
              <w:left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series of specialized private equity funds. EMG was</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20" w:type="dxa"/>
            <w:vAlign w:val="bottom"/>
            <w:tcBorders>
              <w:lef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Borders>
              <w:right w:val="single" w:sz="8" w:color="auto"/>
            </w:tcBorders>
            <w:vMerge w:val="continue"/>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60" w:type="dxa"/>
            <w:vAlign w:val="bottom"/>
            <w:tcBorders>
              <w:right w:val="single" w:sz="8" w:color="auto"/>
            </w:tcBorders>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6"/>
              </w:rPr>
              <w:t>Compensation (chair)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founded in 2006 and focuses on investing across various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71"/>
        </w:trPr>
        <w:tc>
          <w:tcPr>
            <w:tcW w:w="2080" w:type="dxa"/>
            <w:vAlign w:val="bottom"/>
            <w:tcBorders>
              <w:left w:val="single" w:sz="8" w:color="auto"/>
              <w:right w:val="single" w:sz="8" w:color="auto"/>
            </w:tcBorders>
            <w:gridSpan w:val="3"/>
            <w:vMerge w:val="continue"/>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facets of the global natural resource industry including</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2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21"/>
        </w:trPr>
        <w:tc>
          <w:tcPr>
            <w:tcW w:w="62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the upstream and midstream segments of the energy</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39"/>
        </w:trPr>
        <w:tc>
          <w:tcPr>
            <w:tcW w:w="62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complex. As of September 30, 2020, EMG had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approximately $10 billion of regulatory assets under</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management and approximately $12 billion in</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8"/>
        </w:trPr>
        <w:tc>
          <w:tcPr>
            <w:tcW w:w="62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commitments have been allocated across the energy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sector since inception. From 1998 until founding EMG,</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 held various executive leadership</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39"/>
        </w:trPr>
        <w:tc>
          <w:tcPr>
            <w:tcW w:w="62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positions with several energy companies, including</w:t>
            </w: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8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Plains Resources Inc. (the publicly traded predecessor</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71"/>
        </w:trPr>
        <w:tc>
          <w:tcPr>
            <w:tcW w:w="620" w:type="dxa"/>
            <w:vAlign w:val="bottom"/>
            <w:tcBorders>
              <w:lef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company to Vulcan Energy), Plains Exploration and</w:t>
            </w: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8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2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62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Production Company, Kinder Morgan, Inc. and Ocean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60"/>
        </w:trPr>
        <w:tc>
          <w:tcPr>
            <w:tcW w:w="600" w:type="dxa"/>
            <w:vAlign w:val="bottom"/>
            <w:tcBorders>
              <w:top w:val="single" w:sz="8" w:color="auto"/>
              <w:lef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0" w:type="dxa"/>
            <w:vAlign w:val="bottom"/>
            <w:tcBorders>
              <w:top w:val="single" w:sz="8" w:color="auto"/>
              <w:right w:val="single" w:sz="8" w:color="auto"/>
            </w:tcBorders>
          </w:tcPr>
          <w:p>
            <w:pPr>
              <w:spacing w:after="0"/>
              <w:rPr>
                <w:sz w:val="22"/>
                <w:szCs w:val="22"/>
                <w:color w:val="auto"/>
              </w:rPr>
            </w:pP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7"/>
              </w:rPr>
              <w:t>Energy, Inc. From 1992 to 1998, he was a Vice President</w:t>
            </w: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5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Howard Weil Labouisse Friedrichs, Inc.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 has been a direct or indirect owner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PAA’s general partner since 2001 and served on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PAA’s general partner from 2001 to 2005. 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serves on numerous other private company boards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currently serves on the board of NGL Energy Holdings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LLC, the general partner of NGL Energy Partners, L.P.</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 received a BSM degree from the A.B.</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Freeman School of Business at Tulane University with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dual concentrations in finance and accounting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currently sits on the board of the Business School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Council. He also serves as a director on the board of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American Heart Association, as a member of the MD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Anderson Cancer Center Board of Visitors and is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YPO. The Board has determined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Mr. Raymond is “independent” under applicable Nasdaq</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SEC rules. We believe that Mr. Raymond’s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with investment in and management of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variety of upstream and midstream assets and operations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0" w:type="dxa"/>
            <w:vAlign w:val="bottom"/>
            <w:tcBorders>
              <w:left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provides a valuable resource to the Board.</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rPr>
              <w:t>BOBBY S. SHACKOULS</w:t>
            </w:r>
          </w:p>
        </w:tc>
        <w:tc>
          <w:tcPr>
            <w:tcW w:w="408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i w:val="1"/>
                <w:iCs w:val="1"/>
                <w:color w:val="auto"/>
              </w:rPr>
              <w:t xml:space="preserve">Bobby S. Shackouls, age 70, </w:t>
            </w:r>
            <w:r>
              <w:rPr>
                <w:rFonts w:ascii="Arial" w:cs="Arial" w:eastAsia="Arial" w:hAnsi="Arial"/>
                <w:sz w:val="14"/>
                <w:szCs w:val="14"/>
                <w:color w:val="auto"/>
              </w:rPr>
              <w:t>has served as a director of</w:t>
            </w:r>
          </w:p>
        </w:tc>
        <w:tc>
          <w:tcPr>
            <w:tcW w:w="100" w:type="dxa"/>
            <w:vAlign w:val="bottom"/>
          </w:tcPr>
          <w:p>
            <w:pPr>
              <w:spacing w:after="0"/>
              <w:rPr>
                <w:sz w:val="12"/>
                <w:szCs w:val="12"/>
                <w:color w:val="auto"/>
              </w:rPr>
            </w:pPr>
          </w:p>
        </w:tc>
        <w:tc>
          <w:tcPr>
            <w:tcW w:w="196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color w:val="auto"/>
              </w:rPr>
              <w:t>Board Qualifications:</w:t>
            </w:r>
          </w:p>
        </w:tc>
        <w:tc>
          <w:tcPr>
            <w:tcW w:w="0" w:type="dxa"/>
            <w:vAlign w:val="bottom"/>
          </w:tcPr>
          <w:p>
            <w:pPr>
              <w:spacing w:after="0"/>
              <w:rPr>
                <w:sz w:val="1"/>
                <w:szCs w:val="1"/>
                <w:color w:val="auto"/>
              </w:rPr>
            </w:pPr>
          </w:p>
        </w:tc>
      </w:tr>
      <w:tr>
        <w:trPr>
          <w:trHeight w:val="200"/>
        </w:trPr>
        <w:tc>
          <w:tcPr>
            <w:tcW w:w="208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b w:val="1"/>
                <w:bCs w:val="1"/>
                <w:i w:val="1"/>
                <w:iCs w:val="1"/>
                <w:color w:val="auto"/>
                <w:w w:val="85"/>
              </w:rPr>
              <w:t>Lead Director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PAGP GP since January 2014 and as Lead Director since</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80" w:type="dxa"/>
            <w:vAlign w:val="bottom"/>
            <w:tcBorders>
              <w:left w:val="single" w:sz="8" w:color="auto"/>
              <w:right w:val="single" w:sz="8" w:color="auto"/>
            </w:tcBorders>
            <w:gridSpan w:val="5"/>
            <w:vMerge w:val="continue"/>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January 2020. Mr. Shackouls served as Chairman of</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00" w:type="dxa"/>
            <w:vAlign w:val="bottom"/>
            <w:tcBorders>
              <w:left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08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5"/>
        </w:trPr>
        <w:tc>
          <w:tcPr>
            <w:tcW w:w="600" w:type="dxa"/>
            <w:vAlign w:val="bottom"/>
            <w:tcBorders>
              <w:lef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Borders>
              <w:right w:val="single" w:sz="8" w:color="auto"/>
            </w:tcBorders>
            <w:gridSpan w:val="3"/>
            <w:vMerge w:val="restart"/>
          </w:tcPr>
          <w:p>
            <w:pPr>
              <w:jc w:val="center"/>
              <w:ind w:right="620"/>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Burlington Resources Inc. from 1997 until its acquisition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tcBorders>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8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by ConocoPhillips in 2006, and continued to serve on</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25"/>
        </w:trPr>
        <w:tc>
          <w:tcPr>
            <w:tcW w:w="2080" w:type="dxa"/>
            <w:vAlign w:val="bottom"/>
            <w:tcBorders>
              <w:left w:val="single" w:sz="8" w:color="auto"/>
              <w:right w:val="single" w:sz="8" w:color="auto"/>
            </w:tcBorders>
            <w:gridSpan w:val="5"/>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line="179" w:lineRule="exact"/>
              <w:rPr>
                <w:sz w:val="20"/>
                <w:szCs w:val="20"/>
                <w:color w:val="auto"/>
              </w:rPr>
            </w:pPr>
            <w:r>
              <w:rPr>
                <w:rFonts w:ascii="Arial" w:cs="Arial" w:eastAsia="Arial" w:hAnsi="Arial"/>
                <w:sz w:val="16"/>
                <w:szCs w:val="16"/>
                <w:color w:val="auto"/>
              </w:rPr>
              <w:t>the ConocoPhillips Board of Directors until his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tcBorders>
              <w:right w:val="single" w:sz="8" w:color="auto"/>
            </w:tcBorders>
            <w:gridSpan w:val="3"/>
            <w:vMerge w:val="restart"/>
          </w:tcPr>
          <w:p>
            <w:pPr>
              <w:jc w:val="center"/>
              <w:ind w:right="620"/>
              <w:spacing w:after="0"/>
              <w:rPr>
                <w:sz w:val="20"/>
                <w:szCs w:val="20"/>
                <w:color w:val="auto"/>
              </w:rPr>
            </w:pPr>
            <w:r>
              <w:rPr>
                <w:rFonts w:ascii="Arial" w:cs="Arial" w:eastAsia="Arial" w:hAnsi="Arial"/>
                <w:sz w:val="16"/>
                <w:szCs w:val="16"/>
                <w:b w:val="1"/>
                <w:bCs w:val="1"/>
                <w:i w:val="1"/>
                <w:iCs w:val="1"/>
                <w:color w:val="auto"/>
                <w:w w:val="83"/>
              </w:rPr>
              <w:t>since 2010</w:t>
            </w: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6"/>
        </w:trPr>
        <w:tc>
          <w:tcPr>
            <w:tcW w:w="60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right w:val="single" w:sz="8" w:color="auto"/>
            </w:tcBorders>
            <w:gridSpan w:val="3"/>
            <w:vMerge w:val="continue"/>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retirement in May 2011. Prior thereto, Mr. Shackouls</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right w:val="single" w:sz="8" w:color="auto"/>
            </w:tcBorders>
            <w:gridSpan w:val="3"/>
            <w:vMerge w:val="restart"/>
          </w:tcPr>
          <w:p>
            <w:pPr>
              <w:jc w:val="center"/>
              <w:ind w:right="620"/>
              <w:spacing w:after="0"/>
              <w:rPr>
                <w:sz w:val="20"/>
                <w:szCs w:val="20"/>
                <w:color w:val="auto"/>
              </w:rPr>
            </w:pPr>
            <w:r>
              <w:rPr>
                <w:rFonts w:ascii="Arial" w:cs="Arial" w:eastAsia="Arial" w:hAnsi="Arial"/>
                <w:sz w:val="16"/>
                <w:szCs w:val="16"/>
                <w:b w:val="1"/>
                <w:bCs w:val="1"/>
                <w:color w:val="auto"/>
                <w:w w:val="86"/>
              </w:rPr>
              <w:t>Committees:</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President and Chief Executive Officer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37"/>
        </w:trPr>
        <w:tc>
          <w:tcPr>
            <w:tcW w:w="600" w:type="dxa"/>
            <w:vAlign w:val="bottom"/>
            <w:tcBorders>
              <w:lef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right w:val="single" w:sz="8" w:color="auto"/>
            </w:tcBorders>
            <w:gridSpan w:val="3"/>
            <w:vMerge w:val="continue"/>
          </w:tcPr>
          <w:p>
            <w:pPr>
              <w:spacing w:after="0"/>
              <w:rPr>
                <w:sz w:val="3"/>
                <w:szCs w:val="3"/>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Meridian Oil, Inc., a wholly owned subsidiary of</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080" w:type="dxa"/>
            <w:vAlign w:val="bottom"/>
            <w:tcBorders>
              <w:right w:val="single" w:sz="8" w:color="auto"/>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line="20" w:lineRule="exact"/>
              <w:rPr>
                <w:sz w:val="1"/>
                <w:szCs w:val="1"/>
                <w:color w:val="auto"/>
              </w:rPr>
            </w:pPr>
          </w:p>
        </w:tc>
      </w:tr>
      <w:tr>
        <w:trPr>
          <w:trHeight w:val="132"/>
        </w:trPr>
        <w:tc>
          <w:tcPr>
            <w:tcW w:w="208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color w:val="auto"/>
                <w:w w:val="96"/>
              </w:rPr>
              <w:t>Governance (chair)</w:t>
            </w:r>
          </w:p>
        </w:tc>
        <w:tc>
          <w:tcPr>
            <w:tcW w:w="408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80" w:type="dxa"/>
            <w:vAlign w:val="bottom"/>
            <w:tcBorders>
              <w:left w:val="single" w:sz="8" w:color="auto"/>
              <w:right w:val="single" w:sz="8" w:color="auto"/>
            </w:tcBorders>
            <w:gridSpan w:val="5"/>
            <w:vMerge w:val="continue"/>
          </w:tcPr>
          <w:p>
            <w:pPr>
              <w:spacing w:after="0"/>
              <w:rPr>
                <w:sz w:val="13"/>
                <w:szCs w:val="13"/>
                <w:color w:val="auto"/>
              </w:rPr>
            </w:pPr>
          </w:p>
        </w:tc>
        <w:tc>
          <w:tcPr>
            <w:tcW w:w="40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w w:val="98"/>
              </w:rPr>
              <w:t>Burlington Resources, from 1994-1995, and as President</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8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Chief Executive Officer of Burlington Resources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31"/>
        </w:trPr>
        <w:tc>
          <w:tcPr>
            <w:tcW w:w="6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080" w:type="dxa"/>
            <w:vAlign w:val="bottom"/>
            <w:tcBorders>
              <w:right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from 1995 until 2006. Mr. Shackouls served as a director</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The Kroger Co. from 1999 until January 2021, as a</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8"/>
        </w:trPr>
        <w:tc>
          <w:tcPr>
            <w:tcW w:w="600" w:type="dxa"/>
            <w:vAlign w:val="bottom"/>
            <w:tcBorders>
              <w:lef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Oasis Petroleum from 2012 until</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600" w:type="dxa"/>
            <w:vAlign w:val="bottom"/>
            <w:tcBorders>
              <w:lef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November 2020, and as a director of Quintana Energy</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Services from January 2019 until July 2020. He served</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39"/>
        </w:trPr>
        <w:tc>
          <w:tcPr>
            <w:tcW w:w="600" w:type="dxa"/>
            <w:vAlign w:val="bottom"/>
            <w:tcBorders>
              <w:lef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a director and member of the audit committee of</w:t>
            </w: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PNGS GP LLC, the general partner of PAA Natural Gas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Storage, L.P., from April 2010 through December 2013.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Board has determined that Mr. Shackouls 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 SEC rules.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We believe that Mr. Shackouls’ extensive experience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within the energy industry offers valuable perspective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in tandem with his long history of leadership as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CEO of a public company, make him highly qualified to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 as a member of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00" w:type="dxa"/>
            <w:vAlign w:val="bottom"/>
            <w:tcBorders>
              <w:left w:val="single" w:sz="8" w:color="auto"/>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gridSpan w:val="2"/>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80" w:type="dxa"/>
            <w:vAlign w:val="bottom"/>
            <w:tcBorders>
              <w:left w:val="single" w:sz="8" w:color="auto"/>
              <w:right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rPr>
              <w:t>CHRISTOPHER M.</w:t>
            </w:r>
          </w:p>
        </w:tc>
        <w:tc>
          <w:tcPr>
            <w:tcW w:w="408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i w:val="1"/>
                <w:iCs w:val="1"/>
                <w:color w:val="auto"/>
              </w:rPr>
              <w:t xml:space="preserve">Christopher M. Temple, age 53, </w:t>
            </w:r>
            <w:r>
              <w:rPr>
                <w:rFonts w:ascii="Arial" w:cs="Arial" w:eastAsia="Arial" w:hAnsi="Arial"/>
                <w:sz w:val="14"/>
                <w:szCs w:val="14"/>
                <w:color w:val="auto"/>
              </w:rPr>
              <w:t>has served as a director</w:t>
            </w:r>
          </w:p>
        </w:tc>
        <w:tc>
          <w:tcPr>
            <w:tcW w:w="100" w:type="dxa"/>
            <w:vAlign w:val="bottom"/>
          </w:tcPr>
          <w:p>
            <w:pPr>
              <w:spacing w:after="0"/>
              <w:rPr>
                <w:sz w:val="12"/>
                <w:szCs w:val="12"/>
                <w:color w:val="auto"/>
              </w:rPr>
            </w:pPr>
          </w:p>
        </w:tc>
        <w:tc>
          <w:tcPr>
            <w:tcW w:w="196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color w:val="auto"/>
              </w:rPr>
              <w:t>Board Qualifications:</w:t>
            </w:r>
          </w:p>
        </w:tc>
        <w:tc>
          <w:tcPr>
            <w:tcW w:w="0" w:type="dxa"/>
            <w:vAlign w:val="bottom"/>
          </w:tcPr>
          <w:p>
            <w:pPr>
              <w:spacing w:after="0"/>
              <w:rPr>
                <w:sz w:val="1"/>
                <w:szCs w:val="1"/>
                <w:color w:val="auto"/>
              </w:rPr>
            </w:pPr>
          </w:p>
        </w:tc>
      </w:tr>
      <w:tr>
        <w:trPr>
          <w:trHeight w:val="200"/>
        </w:trPr>
        <w:tc>
          <w:tcPr>
            <w:tcW w:w="60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right w:val="single" w:sz="8" w:color="auto"/>
            </w:tcBorders>
            <w:gridSpan w:val="3"/>
          </w:tcPr>
          <w:p>
            <w:pPr>
              <w:jc w:val="center"/>
              <w:ind w:right="620"/>
              <w:spacing w:after="0"/>
              <w:rPr>
                <w:sz w:val="20"/>
                <w:szCs w:val="20"/>
                <w:color w:val="auto"/>
              </w:rPr>
            </w:pPr>
            <w:r>
              <w:rPr>
                <w:rFonts w:ascii="Arial" w:cs="Arial" w:eastAsia="Arial" w:hAnsi="Arial"/>
                <w:sz w:val="16"/>
                <w:szCs w:val="16"/>
                <w:b w:val="1"/>
                <w:bCs w:val="1"/>
                <w:color w:val="auto"/>
              </w:rPr>
              <w:t>TEMPLE</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PAGP GP since November 2016. He served as a</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Borders>
              <w:right w:val="single" w:sz="8" w:color="auto"/>
            </w:tcBorders>
            <w:gridSpan w:val="3"/>
            <w:vMerge w:val="restart"/>
          </w:tcPr>
          <w:p>
            <w:pPr>
              <w:jc w:val="center"/>
              <w:ind w:right="620"/>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PAA’s general partner from May 2009 until</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tcBorders>
              <w:right w:val="single" w:sz="8" w:color="auto"/>
            </w:tcBorders>
            <w:gridSpan w:val="3"/>
            <w:vMerge w:val="continue"/>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5"/>
        </w:trPr>
        <w:tc>
          <w:tcPr>
            <w:tcW w:w="600" w:type="dxa"/>
            <w:vAlign w:val="bottom"/>
            <w:tcBorders>
              <w:lef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Borders>
              <w:right w:val="single" w:sz="8" w:color="auto"/>
            </w:tcBorders>
            <w:gridSpan w:val="3"/>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November 2016. He is President of DelTex Capital LLC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00" w:type="dxa"/>
            <w:vAlign w:val="bottom"/>
            <w:tcBorders>
              <w:lef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8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 private investment firm) and serves as an Operating</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9"/>
        </w:trPr>
        <w:tc>
          <w:tcPr>
            <w:tcW w:w="60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right w:val="single" w:sz="8" w:color="auto"/>
            </w:tcBorders>
            <w:gridSpan w:val="3"/>
          </w:tcPr>
          <w:p>
            <w:pPr>
              <w:jc w:val="center"/>
              <w:ind w:right="620"/>
              <w:spacing w:after="0" w:line="179" w:lineRule="exact"/>
              <w:rPr>
                <w:sz w:val="20"/>
                <w:szCs w:val="20"/>
                <w:color w:val="auto"/>
              </w:rPr>
            </w:pPr>
            <w:r>
              <w:rPr>
                <w:rFonts w:ascii="Arial" w:cs="Arial" w:eastAsia="Arial" w:hAnsi="Arial"/>
                <w:sz w:val="16"/>
                <w:szCs w:val="16"/>
                <w:b w:val="1"/>
                <w:bCs w:val="1"/>
                <w:i w:val="1"/>
                <w:iCs w:val="1"/>
                <w:color w:val="auto"/>
                <w:w w:val="83"/>
              </w:rPr>
              <w:t>since 2009</w:t>
            </w:r>
          </w:p>
        </w:tc>
        <w:tc>
          <w:tcPr>
            <w:tcW w:w="408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Executive/Consultant to Tailwind Capital. As part of his</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tcPr>
          <w:p>
            <w:pPr>
              <w:spacing w:after="0"/>
              <w:rPr>
                <w:sz w:val="20"/>
                <w:szCs w:val="20"/>
                <w:color w:val="auto"/>
              </w:rPr>
            </w:pPr>
            <w:r>
              <w:rPr>
                <w:rFonts w:ascii="Arial" w:cs="Arial" w:eastAsia="Arial" w:hAnsi="Arial"/>
                <w:sz w:val="16"/>
                <w:szCs w:val="16"/>
                <w:b w:val="1"/>
                <w:bCs w:val="1"/>
                <w:color w:val="auto"/>
                <w:w w:val="85"/>
              </w:rPr>
              <w:t>Committees</w:t>
            </w:r>
          </w:p>
        </w:tc>
        <w:tc>
          <w:tcPr>
            <w:tcW w:w="660" w:type="dxa"/>
            <w:vAlign w:val="bottom"/>
            <w:tcBorders>
              <w:right w:val="single" w:sz="8" w:color="auto"/>
            </w:tcBorders>
            <w:gridSpan w:val="2"/>
            <w:vMerge w:val="restart"/>
          </w:tcPr>
          <w:p>
            <w:pPr>
              <w:jc w:val="right"/>
              <w:ind w:right="620"/>
              <w:spacing w:after="0"/>
              <w:rPr>
                <w:sz w:val="20"/>
                <w:szCs w:val="20"/>
                <w:color w:val="auto"/>
              </w:rPr>
            </w:pPr>
            <w:r>
              <w:rPr>
                <w:rFonts w:ascii="Arial" w:cs="Arial" w:eastAsia="Arial" w:hAnsi="Arial"/>
                <w:sz w:val="8"/>
                <w:szCs w:val="8"/>
                <w:b w:val="1"/>
                <w:bCs w:val="1"/>
                <w:color w:val="auto"/>
                <w:w w:val="73"/>
              </w:rPr>
              <w:t>:</w:t>
            </w: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role as an Operating Executive with Tailwind Capital,</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660" w:type="dxa"/>
            <w:vAlign w:val="bottom"/>
            <w:tcBorders>
              <w:right w:val="single" w:sz="8" w:color="auto"/>
            </w:tcBorders>
            <w:gridSpan w:val="2"/>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Temple serves on the board of HMT Tank, LLC 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51"/>
        </w:trPr>
        <w:tc>
          <w:tcPr>
            <w:tcW w:w="600" w:type="dxa"/>
            <w:vAlign w:val="bottom"/>
            <w:tcBorders>
              <w:lef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gridSpan w:val="2"/>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color w:val="auto"/>
                <w:w w:val="93"/>
              </w:rPr>
              <w:t>Compensation</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on the board of Loenbro, Inc. He also serves on the</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71"/>
        </w:trPr>
        <w:tc>
          <w:tcPr>
            <w:tcW w:w="2080" w:type="dxa"/>
            <w:vAlign w:val="bottom"/>
            <w:tcBorders>
              <w:left w:val="single" w:sz="8" w:color="auto"/>
              <w:right w:val="single" w:sz="8" w:color="auto"/>
            </w:tcBorders>
            <w:gridSpan w:val="5"/>
            <w:vMerge w:val="continue"/>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board and is chairman of the audit committee of Owl</w:t>
            </w: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8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600" w:type="dxa"/>
            <w:vAlign w:val="bottom"/>
            <w:tcBorders>
              <w:lef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8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tcBorders>
              <w:right w:val="single" w:sz="8" w:color="auto"/>
            </w:tcBorders>
            <w:gridSpan w:val="3"/>
            <w:vMerge w:val="restart"/>
          </w:tcPr>
          <w:p>
            <w:pPr>
              <w:jc w:val="center"/>
              <w:ind w:right="620"/>
              <w:spacing w:after="0"/>
              <w:rPr>
                <w:sz w:val="20"/>
                <w:szCs w:val="20"/>
                <w:color w:val="auto"/>
              </w:rPr>
            </w:pPr>
            <w:r>
              <w:rPr>
                <w:rFonts w:ascii="Arial" w:cs="Arial" w:eastAsia="Arial" w:hAnsi="Arial"/>
                <w:sz w:val="16"/>
                <w:szCs w:val="16"/>
                <w:color w:val="auto"/>
                <w:w w:val="91"/>
              </w:rPr>
              <w:t>HSES</w:t>
            </w: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89"/>
        </w:trPr>
        <w:tc>
          <w:tcPr>
            <w:tcW w:w="60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right w:val="single" w:sz="8" w:color="auto"/>
            </w:tcBorders>
            <w:gridSpan w:val="3"/>
            <w:vMerge w:val="continue"/>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Rock Capital Corporation, Owl Rock Capital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Corporation II, Owl Rock Capital Corporation III, Owl</w:t>
            </w:r>
          </w:p>
        </w:tc>
        <w:tc>
          <w:tcPr>
            <w:tcW w:w="10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68"/>
        </w:trPr>
        <w:tc>
          <w:tcPr>
            <w:tcW w:w="600" w:type="dxa"/>
            <w:vAlign w:val="bottom"/>
            <w:tcBorders>
              <w:lef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600" w:type="dxa"/>
            <w:vAlign w:val="bottom"/>
            <w:tcBorders>
              <w:left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40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3703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370332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Rock Core Income Corporation and Owl Rock</w:t>
      </w:r>
    </w:p>
    <w:p>
      <w:pPr>
        <w:spacing w:after="0" w:line="19"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Technology Finance Corporation. Mr. Temple served as</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the President of Vulcan Capital, the private investment</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group of Vulcan Inc., from May 2009 until</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December 2009 and as Vice President of Vulcan Capital</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from September 2008 to May 2009. Mr. Temple served</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as Chairman of Brawler Industries, LLC from</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September 2012 to July 2016, as a director of Clear</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Channel Outdoor Holdings from April 2011 through</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May 2017, and as a director of Charter Communications,</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Inc. from November 2009 through January 2011. Prior to</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joining Vulcan in September 2008, Mr. Temple served as</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 managing director at Tailwind Capital LLC from May</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to August 2008. Prior to joining Tailwind, Mr. Temple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was a managing director at Friend Skoler &amp; Co., Inc.</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from May 2005 to May 2008. From April 1996 to</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December 2004, Mr. Temple was a managing director at</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Thayer Capital Partners. Additionally, Mr. Temple was a</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licensed CPA serving clients in the energy sector with</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KPMG in Houston, Texas from 1989 to 1993.</w:t>
      </w:r>
    </w:p>
    <w:p>
      <w:pPr>
        <w:spacing w:after="0" w:line="5" w:lineRule="exact"/>
        <w:rPr>
          <w:sz w:val="20"/>
          <w:szCs w:val="20"/>
          <w:color w:val="auto"/>
        </w:rPr>
      </w:pPr>
    </w:p>
    <w:p>
      <w:pPr>
        <w:ind w:left="3420" w:right="60"/>
        <w:spacing w:after="0" w:line="266" w:lineRule="auto"/>
        <w:rPr>
          <w:sz w:val="20"/>
          <w:szCs w:val="20"/>
          <w:color w:val="auto"/>
        </w:rPr>
      </w:pPr>
      <w:r>
        <w:rPr>
          <w:rFonts w:ascii="Arial" w:cs="Arial" w:eastAsia="Arial" w:hAnsi="Arial"/>
          <w:sz w:val="15"/>
          <w:szCs w:val="15"/>
          <w:color w:val="auto"/>
        </w:rPr>
        <w:t>Mr. Temple holds a BBA, magna cum laude, from the University of Texas and an MBA from Harvard. The Board has determined that Mr. Temple is “independent” under applicable Nasdaq and SEC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9" w:hanging="169"/>
        <w:spacing w:after="0"/>
        <w:tabs>
          <w:tab w:leader="none" w:pos="169"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Private Equity</w:t>
      </w:r>
    </w:p>
    <w:p>
      <w:pPr>
        <w:spacing w:after="0" w:line="113" w:lineRule="exact"/>
        <w:rPr>
          <w:rFonts w:ascii="Arial" w:cs="Arial" w:eastAsia="Arial" w:hAnsi="Arial"/>
          <w:sz w:val="16"/>
          <w:szCs w:val="16"/>
          <w:color w:val="auto"/>
        </w:rPr>
      </w:pPr>
    </w:p>
    <w:p>
      <w:pPr>
        <w:ind w:left="169" w:hanging="169"/>
        <w:spacing w:after="0"/>
        <w:tabs>
          <w:tab w:leader="none" w:pos="169" w:val="left"/>
        </w:tabs>
        <w:numPr>
          <w:ilvl w:val="0"/>
          <w:numId w:val="31"/>
        </w:numPr>
        <w:rPr>
          <w:rFonts w:ascii="Arial" w:cs="Arial" w:eastAsia="Arial" w:hAnsi="Arial"/>
          <w:sz w:val="15"/>
          <w:szCs w:val="15"/>
          <w:color w:val="auto"/>
        </w:rPr>
      </w:pPr>
      <w:r>
        <w:rPr>
          <w:rFonts w:ascii="Arial" w:cs="Arial" w:eastAsia="Arial" w:hAnsi="Arial"/>
          <w:sz w:val="15"/>
          <w:szCs w:val="15"/>
          <w:color w:val="auto"/>
        </w:rPr>
        <w:t>Cybersecurity/IT</w:t>
      </w:r>
    </w:p>
    <w:p>
      <w:pPr>
        <w:spacing w:after="0" w:line="5367" w:lineRule="exact"/>
        <w:rPr>
          <w:sz w:val="20"/>
          <w:szCs w:val="20"/>
          <w:color w:val="auto"/>
        </w:rPr>
      </w:pPr>
    </w:p>
    <w:p>
      <w:pPr>
        <w:sectPr>
          <w:pgSz w:w="11900" w:h="16838" w:orient="portrait"/>
          <w:cols w:equalWidth="0" w:num="2">
            <w:col w:w="7300" w:space="211"/>
            <w:col w:w="2368"/>
          </w:cols>
          <w:pgMar w:left="580" w:top="132" w:right="1440" w:bottom="1440" w:gutter="0" w:footer="0" w:header="0"/>
          <w:type w:val="continuous"/>
        </w:sectPr>
      </w:pPr>
    </w:p>
    <w:p>
      <w:pPr>
        <w:ind w:left="1260" w:right="3459"/>
        <w:spacing w:after="0" w:line="386" w:lineRule="auto"/>
        <w:rPr>
          <w:sz w:val="20"/>
          <w:szCs w:val="20"/>
          <w:color w:val="auto"/>
        </w:rPr>
      </w:pPr>
      <w:r>
        <w:rPr>
          <w:rFonts w:ascii="Arial" w:cs="Arial" w:eastAsia="Arial" w:hAnsi="Arial"/>
          <w:sz w:val="18"/>
          <w:szCs w:val="18"/>
          <w:b w:val="1"/>
          <w:bCs w:val="1"/>
          <w:color w:val="auto"/>
        </w:rPr>
        <w:t xml:space="preserve">Other Directors Not Standing for Election at the 2021 Annual Meeting </w:t>
      </w:r>
      <w:r>
        <w:rPr>
          <w:rFonts w:ascii="Arial" w:cs="Arial" w:eastAsia="Arial" w:hAnsi="Arial"/>
          <w:sz w:val="18"/>
          <w:szCs w:val="18"/>
          <w:color w:val="auto"/>
        </w:rPr>
        <w:t>Class I Directors (terms expire in 2023):</w:t>
      </w:r>
    </w:p>
    <w:tbl>
      <w:tblPr>
        <w:tblLayout w:type="fixed"/>
        <w:tblInd w:w="1270" w:type="dxa"/>
        <w:tblCellMar>
          <w:top w:w="0" w:type="dxa"/>
          <w:left w:w="0" w:type="dxa"/>
          <w:bottom w:w="0" w:type="dxa"/>
          <w:right w:w="0" w:type="dxa"/>
        </w:tblCellMar>
      </w:tblPr>
      <w:tr>
        <w:trPr>
          <w:trHeight w:val="210"/>
        </w:trPr>
        <w:tc>
          <w:tcPr>
            <w:tcW w:w="2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WILLIE CHIANG</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9"/>
              </w:rPr>
              <w:t xml:space="preserve">Willie Chiang, age 60, </w:t>
            </w:r>
            <w:r>
              <w:rPr>
                <w:rFonts w:ascii="Arial" w:cs="Arial" w:eastAsia="Arial" w:hAnsi="Arial"/>
                <w:sz w:val="16"/>
                <w:szCs w:val="16"/>
                <w:color w:val="auto"/>
                <w:w w:val="99"/>
              </w:rPr>
              <w:t>has served as a director of PAGP</w:t>
            </w:r>
          </w:p>
        </w:tc>
        <w:tc>
          <w:tcPr>
            <w:tcW w:w="100" w:type="dxa"/>
            <w:vAlign w:val="bottom"/>
            <w:tcBorders>
              <w:top w:val="single" w:sz="8" w:color="auto"/>
            </w:tcBorders>
          </w:tcPr>
          <w:p>
            <w:pPr>
              <w:spacing w:after="0"/>
              <w:rPr>
                <w:sz w:val="18"/>
                <w:szCs w:val="18"/>
                <w:color w:val="auto"/>
              </w:rPr>
            </w:pPr>
          </w:p>
        </w:tc>
        <w:tc>
          <w:tcPr>
            <w:tcW w:w="19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Not 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GP since February 2017, as Chief Executive Officer of</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80" w:type="dxa"/>
            <w:vAlign w:val="bottom"/>
            <w:tcBorders>
              <w:left w:val="single" w:sz="8" w:color="auto"/>
              <w:right w:val="single" w:sz="8" w:color="auto"/>
            </w:tcBorders>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PAGP GP and GP LLC since October 2018 and as</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80" w:type="dxa"/>
            <w:vAlign w:val="bottom"/>
            <w:tcBorders>
              <w:left w:val="single" w:sz="8" w:color="auto"/>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7"/>
              </w:rPr>
              <w:t>Chairman of the Board since January 2020. He served as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80" w:type="dxa"/>
            <w:vAlign w:val="bottom"/>
            <w:tcBorders>
              <w:left w:val="single" w:sz="8" w:color="auto"/>
              <w:right w:val="single" w:sz="8" w:color="auto"/>
            </w:tcBorders>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3"/>
              </w:rPr>
              <w:t>since 2017</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Vice President and Chief Operating Officer of</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66"/>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89"/>
              </w:rPr>
              <w:t>Chairman and CEO</w:t>
            </w:r>
          </w:p>
        </w:tc>
        <w:tc>
          <w:tcPr>
            <w:tcW w:w="40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PAGP GP and GP LLC from January 2018 until</w:t>
            </w: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right w:val="single" w:sz="8" w:color="auto"/>
            </w:tcBorders>
            <w:vMerge w:val="continue"/>
          </w:tcPr>
          <w:p>
            <w:pPr>
              <w:spacing w:after="0"/>
              <w:rPr>
                <w:sz w:val="15"/>
                <w:szCs w:val="15"/>
                <w:color w:val="auto"/>
              </w:rPr>
            </w:pP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October 2018. He also served as Executive Vice</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and Chief Operating Officer (U.S.) of PAGP</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GP and GP LLC from August 2015 through</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35"/>
        </w:trPr>
        <w:tc>
          <w:tcPr>
            <w:tcW w:w="2080" w:type="dxa"/>
            <w:vAlign w:val="bottom"/>
            <w:tcBorders>
              <w:left w:val="single" w:sz="8" w:color="auto"/>
              <w:right w:val="single" w:sz="8" w:color="auto"/>
            </w:tcBorders>
          </w:tcPr>
          <w:p>
            <w:pPr>
              <w:spacing w:after="0"/>
              <w:rPr>
                <w:sz w:val="11"/>
                <w:szCs w:val="11"/>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December 2017. Prior to joining Plains, Mr. Chiang</w:t>
            </w: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80" w:type="dxa"/>
            <w:vAlign w:val="bottom"/>
            <w:tcBorders>
              <w:left w:val="single" w:sz="8" w:color="auto"/>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Executive Vice President — Operations for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Occidental Petroleum Corporation from 2012 until 2015.</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From 1996 until 2012, he served in various positions at</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ConocoPhillips, including most recently as Senior Vice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80" w:type="dxa"/>
            <w:vAlign w:val="bottom"/>
            <w:tcBorders>
              <w:left w:val="single" w:sz="8" w:color="auto"/>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 Refining, Marketing, Transportation and</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Commercial. He serves as chair of the Society for the</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Performing Arts and as chair of the finance committee</w:t>
            </w: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 the United Way of Greater Houston. He received a</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71"/>
        </w:trPr>
        <w:tc>
          <w:tcPr>
            <w:tcW w:w="2080" w:type="dxa"/>
            <w:vAlign w:val="bottom"/>
            <w:tcBorders>
              <w:left w:val="single" w:sz="8" w:color="auto"/>
              <w:right w:val="single" w:sz="8" w:color="auto"/>
            </w:tcBorders>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BS in Mechanical Engineering from South Dakota</w:t>
            </w: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8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tcPr>
          <w:p>
            <w:pPr>
              <w:spacing w:after="0"/>
              <w:rPr>
                <w:sz w:val="10"/>
                <w:szCs w:val="10"/>
                <w:color w:val="auto"/>
              </w:rPr>
            </w:pP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School of Mines and Technology and completed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Advanced Management Program at the University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Pennsylvania. Mr. Chiang’s role as CEO and his broad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in the energy industry, together with his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leadership capabilities and strategic focus, make him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80" w:type="dxa"/>
            <w:vAlign w:val="bottom"/>
            <w:tcBorders>
              <w:left w:val="single" w:sz="8" w:color="auto"/>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highly qualified to serve on the Board.</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30"/>
        </w:trPr>
        <w:tc>
          <w:tcPr>
            <w:tcW w:w="2080" w:type="dxa"/>
            <w:vAlign w:val="bottom"/>
            <w:tcBorders>
              <w:top w:val="single" w:sz="8" w:color="auto"/>
              <w:left w:val="single" w:sz="8" w:color="auto"/>
              <w:right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ALEXANDRA D.</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Alexandra Pruner, age 59, </w:t>
            </w:r>
            <w:r>
              <w:rPr>
                <w:rFonts w:ascii="Arial" w:cs="Arial" w:eastAsia="Arial" w:hAnsi="Arial"/>
                <w:sz w:val="16"/>
                <w:szCs w:val="16"/>
                <w:color w:val="auto"/>
              </w:rPr>
              <w:t>has served as a director of</w:t>
            </w:r>
          </w:p>
        </w:tc>
        <w:tc>
          <w:tcPr>
            <w:tcW w:w="100" w:type="dxa"/>
            <w:vAlign w:val="bottom"/>
            <w:tcBorders>
              <w:top w:val="single" w:sz="8" w:color="auto"/>
            </w:tcBorders>
          </w:tcPr>
          <w:p>
            <w:pPr>
              <w:spacing w:after="0"/>
              <w:rPr>
                <w:sz w:val="19"/>
                <w:szCs w:val="19"/>
                <w:color w:val="auto"/>
              </w:rPr>
            </w:pPr>
          </w:p>
        </w:tc>
        <w:tc>
          <w:tcPr>
            <w:tcW w:w="19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0"/>
        </w:trPr>
        <w:tc>
          <w:tcPr>
            <w:tcW w:w="62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6"/>
                <w:szCs w:val="16"/>
                <w:b w:val="1"/>
                <w:bCs w:val="1"/>
                <w:color w:val="auto"/>
                <w:w w:val="97"/>
              </w:rPr>
              <w:t>PRUNER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PAGP GP since December 2018. Ms. Pruner has served</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1460" w:type="dxa"/>
            <w:vAlign w:val="bottom"/>
            <w:tcBorders>
              <w:right w:val="single" w:sz="8" w:color="auto"/>
            </w:tcBorders>
            <w:gridSpan w:val="2"/>
            <w:vMerge w:val="restart"/>
          </w:tcPr>
          <w:p>
            <w:pPr>
              <w:jc w:val="center"/>
              <w:ind w:right="580"/>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a Senior Advisor of Perella Weinberg Partners</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1460" w:type="dxa"/>
            <w:vAlign w:val="bottom"/>
            <w:tcBorders>
              <w:right w:val="single" w:sz="8" w:color="auto"/>
            </w:tcBorders>
            <w:gridSpan w:val="2"/>
            <w:vMerge w:val="continue"/>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5"/>
        </w:trPr>
        <w:tc>
          <w:tcPr>
            <w:tcW w:w="62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gridSpan w:val="2"/>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(“PWP”), a global independent advisory firm providing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20" w:type="dxa"/>
            <w:vAlign w:val="bottom"/>
            <w:tcBorders>
              <w:left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strategic and financial advice and asset-management</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9"/>
        </w:trPr>
        <w:tc>
          <w:tcPr>
            <w:tcW w:w="620" w:type="dxa"/>
            <w:vAlign w:val="bottom"/>
            <w:tcBorders>
              <w:left w:val="single" w:sz="8" w:color="auto"/>
            </w:tcBorders>
          </w:tcPr>
          <w:p>
            <w:pPr>
              <w:spacing w:after="0"/>
              <w:rPr>
                <w:sz w:val="15"/>
                <w:szCs w:val="15"/>
                <w:color w:val="auto"/>
              </w:rPr>
            </w:pPr>
          </w:p>
        </w:tc>
        <w:tc>
          <w:tcPr>
            <w:tcW w:w="1460" w:type="dxa"/>
            <w:vAlign w:val="bottom"/>
            <w:tcBorders>
              <w:right w:val="single" w:sz="8" w:color="auto"/>
            </w:tcBorders>
            <w:gridSpan w:val="2"/>
          </w:tcPr>
          <w:p>
            <w:pPr>
              <w:jc w:val="center"/>
              <w:ind w:right="580"/>
              <w:spacing w:after="0" w:line="179" w:lineRule="exact"/>
              <w:rPr>
                <w:sz w:val="20"/>
                <w:szCs w:val="20"/>
                <w:color w:val="auto"/>
              </w:rPr>
            </w:pPr>
            <w:r>
              <w:rPr>
                <w:rFonts w:ascii="Arial" w:cs="Arial" w:eastAsia="Arial" w:hAnsi="Arial"/>
                <w:sz w:val="16"/>
                <w:szCs w:val="16"/>
                <w:b w:val="1"/>
                <w:bCs w:val="1"/>
                <w:i w:val="1"/>
                <w:iCs w:val="1"/>
                <w:color w:val="auto"/>
                <w:w w:val="83"/>
              </w:rPr>
              <w:t>since 2018</w:t>
            </w:r>
          </w:p>
        </w:tc>
        <w:tc>
          <w:tcPr>
            <w:tcW w:w="408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services, and its energy division, Tudor, Pickering, Holt</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Committees</w:t>
            </w:r>
          </w:p>
        </w:tc>
        <w:tc>
          <w:tcPr>
            <w:tcW w:w="660" w:type="dxa"/>
            <w:vAlign w:val="bottom"/>
            <w:tcBorders>
              <w:right w:val="single" w:sz="8" w:color="auto"/>
            </w:tcBorders>
            <w:vMerge w:val="restart"/>
          </w:tcPr>
          <w:p>
            <w:pPr>
              <w:jc w:val="right"/>
              <w:ind w:right="580"/>
              <w:spacing w:after="0"/>
              <w:rPr>
                <w:sz w:val="20"/>
                <w:szCs w:val="20"/>
                <w:color w:val="auto"/>
              </w:rPr>
            </w:pPr>
            <w:r>
              <w:rPr>
                <w:rFonts w:ascii="Arial" w:cs="Arial" w:eastAsia="Arial" w:hAnsi="Arial"/>
                <w:sz w:val="8"/>
                <w:szCs w:val="8"/>
                <w:b w:val="1"/>
                <w:bCs w:val="1"/>
                <w:color w:val="auto"/>
                <w:w w:val="73"/>
              </w:rPr>
              <w:t>:</w:t>
            </w:r>
          </w:p>
        </w:tc>
        <w:tc>
          <w:tcPr>
            <w:tcW w:w="40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&amp; Co., since December 2018. She previously served as</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620" w:type="dxa"/>
            <w:vAlign w:val="bottom"/>
            <w:tcBorders>
              <w:left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Partner and Chief Financial Officer of PWP from</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51"/>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gridSpan w:val="2"/>
            <w:vMerge w:val="restart"/>
          </w:tcPr>
          <w:p>
            <w:pPr>
              <w:jc w:val="center"/>
              <w:ind w:right="600"/>
              <w:spacing w:after="0"/>
              <w:rPr>
                <w:sz w:val="20"/>
                <w:szCs w:val="20"/>
                <w:color w:val="auto"/>
              </w:rPr>
            </w:pPr>
            <w:r>
              <w:rPr>
                <w:rFonts w:ascii="Arial" w:cs="Arial" w:eastAsia="Arial" w:hAnsi="Arial"/>
                <w:sz w:val="16"/>
                <w:szCs w:val="16"/>
                <w:color w:val="auto"/>
              </w:rPr>
              <w:t>Audit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December 2016 through November 2018. She served as</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71"/>
        </w:trPr>
        <w:tc>
          <w:tcPr>
            <w:tcW w:w="620" w:type="dxa"/>
            <w:vAlign w:val="bottom"/>
            <w:tcBorders>
              <w:left w:val="single" w:sz="8" w:color="auto"/>
            </w:tcBorders>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CFO and a member of the Management Committee at</w:t>
            </w: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8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8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620" w:type="dxa"/>
            <w:vAlign w:val="bottom"/>
            <w:tcBorders>
              <w:left w:val="single" w:sz="8" w:color="auto"/>
            </w:tcBorders>
          </w:tcPr>
          <w:p>
            <w:pPr>
              <w:spacing w:after="0"/>
              <w:rPr>
                <w:sz w:val="5"/>
                <w:szCs w:val="5"/>
                <w:color w:val="auto"/>
              </w:rPr>
            </w:pPr>
          </w:p>
        </w:tc>
        <w:tc>
          <w:tcPr>
            <w:tcW w:w="1460" w:type="dxa"/>
            <w:vAlign w:val="bottom"/>
            <w:tcBorders>
              <w:right w:val="single" w:sz="8" w:color="auto"/>
            </w:tcBorders>
            <w:gridSpan w:val="2"/>
            <w:vMerge w:val="restart"/>
          </w:tcPr>
          <w:p>
            <w:pPr>
              <w:jc w:val="center"/>
              <w:ind w:right="580"/>
              <w:spacing w:after="0"/>
              <w:rPr>
                <w:sz w:val="20"/>
                <w:szCs w:val="20"/>
                <w:color w:val="auto"/>
              </w:rPr>
            </w:pPr>
            <w:r>
              <w:rPr>
                <w:rFonts w:ascii="Arial" w:cs="Arial" w:eastAsia="Arial" w:hAnsi="Arial"/>
                <w:sz w:val="16"/>
                <w:szCs w:val="16"/>
                <w:color w:val="auto"/>
                <w:w w:val="91"/>
              </w:rPr>
              <w:t>Governance</w:t>
            </w: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gridSpan w:val="2"/>
            <w:vMerge w:val="continue"/>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Tudor, Pickering, Holt &amp; Co. from the firm’s founding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2007 until its combination with PWP in 2016.</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85"/>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8"/>
              </w:rPr>
              <w:t>Ms. Pruner served as a director and member of the audit</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2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of Anadarko Petroleum Corporation from</w:t>
            </w: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2018 until August 2019. She has also served</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12"/>
        </w:trPr>
        <w:tc>
          <w:tcPr>
            <w:tcW w:w="62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a director of NRG Energy, Inc. since October 2019</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20" w:type="dxa"/>
            <w:vAlign w:val="bottom"/>
            <w:tcBorders>
              <w:lef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408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as a director of Encino Acquisition Partners, LLC</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since November 2019. She is the founder and a board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Women’s Global Leadership Conference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&amp; Technology, is an Emeritus Director of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Amegy Bank Development Board, and is Chair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Brown University’s President’s Advisory Council on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Economics Department. She also serves on the Board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Houston Zoo, among other volunteer efforts.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Ms. Pruner holds a BA in Economics from Brown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University. The Board has determined that Ms. Pruner 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 SEC rules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qualifies as an “Audit Committee Financial Expert.”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Ms. Pruner’s extensive experience in the energy industry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a variety of perspectives, along with her strong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finance and investment banking background, make 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uniquely qualified to serve on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gridSpan w:val="2"/>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80" w:type="dxa"/>
            <w:vAlign w:val="bottom"/>
            <w:tcBorders>
              <w:left w:val="single" w:sz="8" w:color="auto"/>
              <w:right w:val="single" w:sz="8" w:color="auto"/>
            </w:tcBorders>
            <w:gridSpan w:val="3"/>
          </w:tcPr>
          <w:p>
            <w:pPr>
              <w:jc w:val="center"/>
              <w:spacing w:after="0" w:line="142" w:lineRule="exact"/>
              <w:rPr>
                <w:sz w:val="20"/>
                <w:szCs w:val="20"/>
                <w:color w:val="auto"/>
              </w:rPr>
            </w:pPr>
            <w:r>
              <w:rPr>
                <w:rFonts w:ascii="Arial" w:cs="Arial" w:eastAsia="Arial" w:hAnsi="Arial"/>
                <w:sz w:val="16"/>
                <w:szCs w:val="16"/>
                <w:b w:val="1"/>
                <w:bCs w:val="1"/>
                <w:color w:val="auto"/>
                <w:w w:val="99"/>
              </w:rPr>
              <w:t>LAWRENCE M. ZIEMBA</w:t>
            </w: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i w:val="1"/>
                <w:iCs w:val="1"/>
                <w:color w:val="auto"/>
                <w:w w:val="97"/>
              </w:rPr>
              <w:t>Lawrence M. Ziemba</w:t>
            </w:r>
            <w:r>
              <w:rPr>
                <w:rFonts w:ascii="Arial" w:cs="Arial" w:eastAsia="Arial" w:hAnsi="Arial"/>
                <w:sz w:val="16"/>
                <w:szCs w:val="16"/>
                <w:color w:val="auto"/>
                <w:w w:val="97"/>
              </w:rPr>
              <w:t>,</w:t>
            </w:r>
            <w:r>
              <w:rPr>
                <w:rFonts w:ascii="Arial" w:cs="Arial" w:eastAsia="Arial" w:hAnsi="Arial"/>
                <w:sz w:val="16"/>
                <w:szCs w:val="16"/>
                <w:i w:val="1"/>
                <w:iCs w:val="1"/>
                <w:color w:val="auto"/>
                <w:w w:val="97"/>
              </w:rPr>
              <w:t xml:space="preserve"> age 65</w:t>
            </w:r>
            <w:r>
              <w:rPr>
                <w:rFonts w:ascii="Arial" w:cs="Arial" w:eastAsia="Arial" w:hAnsi="Arial"/>
                <w:sz w:val="16"/>
                <w:szCs w:val="16"/>
                <w:color w:val="auto"/>
                <w:w w:val="97"/>
              </w:rPr>
              <w:t>, has served as a director of</w:t>
            </w:r>
          </w:p>
        </w:tc>
        <w:tc>
          <w:tcPr>
            <w:tcW w:w="100" w:type="dxa"/>
            <w:vAlign w:val="bottom"/>
          </w:tcPr>
          <w:p>
            <w:pPr>
              <w:spacing w:after="0"/>
              <w:rPr>
                <w:sz w:val="13"/>
                <w:szCs w:val="13"/>
                <w:color w:val="auto"/>
              </w:rPr>
            </w:pPr>
          </w:p>
        </w:tc>
        <w:tc>
          <w:tcPr>
            <w:tcW w:w="1960" w:type="dxa"/>
            <w:vAlign w:val="bottom"/>
            <w:tcBorders>
              <w:right w:val="single" w:sz="8" w:color="auto"/>
            </w:tcBorders>
            <w:gridSpan w:val="3"/>
          </w:tcPr>
          <w:p>
            <w:pPr>
              <w:spacing w:after="0" w:line="142"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0"/>
        </w:trPr>
        <w:tc>
          <w:tcPr>
            <w:tcW w:w="62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vMerge w:val="restart"/>
          </w:tcPr>
          <w:p>
            <w:pPr>
              <w:jc w:val="center"/>
              <w:ind w:right="580"/>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since January 2020. Mr. Ziemba served as</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6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8"/>
              </w:rPr>
              <w:t>Executive Vice President, Refining, and a member of the</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5"/>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87"/>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executive committee of Phillips 66 from May 2012 until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8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62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6"/>
                <w:szCs w:val="16"/>
                <w:b w:val="1"/>
                <w:bCs w:val="1"/>
                <w:i w:val="1"/>
                <w:iCs w:val="1"/>
                <w:color w:val="auto"/>
                <w:w w:val="83"/>
              </w:rPr>
              <w:t>since 2020</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his retirement in December 2017. From 2001 to</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9"/>
        </w:trPr>
        <w:tc>
          <w:tcPr>
            <w:tcW w:w="620" w:type="dxa"/>
            <w:vAlign w:val="bottom"/>
            <w:tcBorders>
              <w:left w:val="single" w:sz="8" w:color="auto"/>
            </w:tcBorders>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Committees</w:t>
            </w:r>
          </w:p>
        </w:tc>
        <w:tc>
          <w:tcPr>
            <w:tcW w:w="660" w:type="dxa"/>
            <w:vAlign w:val="bottom"/>
            <w:tcBorders>
              <w:right w:val="single" w:sz="8" w:color="auto"/>
            </w:tcBorders>
            <w:vMerge w:val="restart"/>
          </w:tcPr>
          <w:p>
            <w:pPr>
              <w:jc w:val="right"/>
              <w:ind w:right="580"/>
              <w:spacing w:after="0"/>
              <w:rPr>
                <w:sz w:val="20"/>
                <w:szCs w:val="20"/>
                <w:color w:val="auto"/>
              </w:rPr>
            </w:pPr>
            <w:r>
              <w:rPr>
                <w:rFonts w:ascii="Arial" w:cs="Arial" w:eastAsia="Arial" w:hAnsi="Arial"/>
                <w:sz w:val="8"/>
                <w:szCs w:val="8"/>
                <w:b w:val="1"/>
                <w:bCs w:val="1"/>
                <w:color w:val="auto"/>
                <w:w w:val="73"/>
              </w:rPr>
              <w:t>:</w:t>
            </w:r>
          </w:p>
        </w:tc>
        <w:tc>
          <w:tcPr>
            <w:tcW w:w="4080" w:type="dxa"/>
            <w:vAlign w:val="bottom"/>
            <w:tcBorders>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May 2012, he served in various downstream positions</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23"/>
        </w:trPr>
        <w:tc>
          <w:tcPr>
            <w:tcW w:w="620" w:type="dxa"/>
            <w:vAlign w:val="bottom"/>
            <w:tcBorders>
              <w:left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with ConocoPhillips, including most recently as</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20" w:type="dxa"/>
            <w:vAlign w:val="bottom"/>
            <w:tcBorders>
              <w:left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Borders>
              <w:right w:val="single" w:sz="8" w:color="auto"/>
            </w:tcBorders>
            <w:vMerge w:val="continue"/>
          </w:tcPr>
          <w:p>
            <w:pPr>
              <w:spacing w:after="0"/>
              <w:rPr>
                <w:sz w:val="3"/>
                <w:szCs w:val="3"/>
                <w:color w:val="auto"/>
              </w:rPr>
            </w:pPr>
          </w:p>
        </w:tc>
        <w:tc>
          <w:tcPr>
            <w:tcW w:w="408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vMerge w:val="restart"/>
          </w:tcPr>
          <w:p>
            <w:pPr>
              <w:jc w:val="center"/>
              <w:ind w:right="600"/>
              <w:spacing w:after="0"/>
              <w:rPr>
                <w:sz w:val="20"/>
                <w:szCs w:val="20"/>
                <w:color w:val="auto"/>
              </w:rPr>
            </w:pPr>
            <w:r>
              <w:rPr>
                <w:rFonts w:ascii="Arial" w:cs="Arial" w:eastAsia="Arial" w:hAnsi="Arial"/>
                <w:sz w:val="16"/>
                <w:szCs w:val="16"/>
                <w:color w:val="auto"/>
              </w:rPr>
              <w:t>Audit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Global Refining, and a member of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71"/>
        </w:trPr>
        <w:tc>
          <w:tcPr>
            <w:tcW w:w="620" w:type="dxa"/>
            <w:vAlign w:val="bottom"/>
            <w:tcBorders>
              <w:left w:val="single" w:sz="8" w:color="auto"/>
            </w:tcBorders>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executive committee. He also held various positions of</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8"/>
              </w:rPr>
              <w:t>HSES (chair)</w:t>
            </w: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58"/>
        </w:trPr>
        <w:tc>
          <w:tcPr>
            <w:tcW w:w="2080" w:type="dxa"/>
            <w:vAlign w:val="bottom"/>
            <w:tcBorders>
              <w:left w:val="single" w:sz="8" w:color="auto"/>
              <w:right w:val="single" w:sz="8" w:color="auto"/>
            </w:tcBorders>
            <w:gridSpan w:val="3"/>
            <w:vMerge w:val="continue"/>
          </w:tcPr>
          <w:p>
            <w:pPr>
              <w:spacing w:after="0"/>
              <w:rPr>
                <w:sz w:val="13"/>
                <w:szCs w:val="13"/>
                <w:color w:val="auto"/>
              </w:rPr>
            </w:pPr>
          </w:p>
        </w:tc>
        <w:tc>
          <w:tcPr>
            <w:tcW w:w="40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rPr>
              <w:t>increasing responsibility with Tosco/Unocal from 1977</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8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to 2001. He has held a number of industry leadership</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31"/>
        </w:trPr>
        <w:tc>
          <w:tcPr>
            <w:tcW w:w="62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080" w:type="dxa"/>
            <w:vAlign w:val="bottom"/>
            <w:tcBorders>
              <w:right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positions, including with API and AFPM. He currently</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serves on the board of directors of PBF Logistics GP</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98"/>
        </w:trPr>
        <w:tc>
          <w:tcPr>
            <w:tcW w:w="62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LLC. He also serves on the board of trustees of</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620" w:type="dxa"/>
            <w:vAlign w:val="bottom"/>
            <w:tcBorders>
              <w:left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Duchesne Academy in Houston, where he chairs the</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finance committee. Mr. Ziemba received a BS in</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39"/>
        </w:trPr>
        <w:tc>
          <w:tcPr>
            <w:tcW w:w="62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mechanical engineering from the University of Illinois</w:t>
            </w: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Champaign and an MBA from the University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Chicago. The Board has determined that Mr. Ziemba 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 SEC rules.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We believe that his operations, technical and project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management expertise, coupled with his business sense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understanding of strategic positioning in the energy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space, adds a diverse operating and downstream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perspective to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 Directors (terms expire in 2022):</w:t>
      </w:r>
    </w:p>
    <w:p>
      <w:pPr>
        <w:spacing w:after="0" w:line="84" w:lineRule="exact"/>
        <w:rPr>
          <w:sz w:val="20"/>
          <w:szCs w:val="20"/>
          <w:color w:val="auto"/>
        </w:rPr>
      </w:pPr>
    </w:p>
    <w:tbl>
      <w:tblPr>
        <w:tblLayout w:type="fixed"/>
        <w:tblInd w:w="1270" w:type="dxa"/>
        <w:tblCellMar>
          <w:top w:w="0" w:type="dxa"/>
          <w:left w:w="0" w:type="dxa"/>
          <w:bottom w:w="0" w:type="dxa"/>
          <w:right w:w="0" w:type="dxa"/>
        </w:tblCellMar>
      </w:tblPr>
      <w:tr>
        <w:trPr>
          <w:trHeight w:val="216"/>
        </w:trPr>
        <w:tc>
          <w:tcPr>
            <w:tcW w:w="2080" w:type="dxa"/>
            <w:vAlign w:val="bottom"/>
            <w:tcBorders>
              <w:top w:val="single" w:sz="8" w:color="auto"/>
              <w:left w:val="single" w:sz="8" w:color="auto"/>
              <w:bottom w:val="single" w:sz="8" w:color="auto"/>
              <w:right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VICTOR BURK</w:t>
            </w:r>
          </w:p>
        </w:tc>
        <w:tc>
          <w:tcPr>
            <w:tcW w:w="4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6"/>
              </w:rPr>
              <w:t xml:space="preserve">Victor Burk, age 71, </w:t>
            </w:r>
            <w:r>
              <w:rPr>
                <w:rFonts w:ascii="Arial" w:cs="Arial" w:eastAsia="Arial" w:hAnsi="Arial"/>
                <w:sz w:val="16"/>
                <w:szCs w:val="16"/>
                <w:color w:val="auto"/>
                <w:w w:val="96"/>
              </w:rPr>
              <w:t>has served as a director of PAGP GP</w:t>
            </w: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w w:val="96"/>
              </w:rPr>
              <w:t>Board Qualifications</w:t>
            </w:r>
          </w:p>
        </w:tc>
        <w:tc>
          <w:tcPr>
            <w:tcW w:w="56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rPr>
                <w:sz w:val="1"/>
                <w:szCs w:val="1"/>
                <w:color w:val="auto"/>
              </w:rPr>
            </w:pPr>
          </w:p>
        </w:tc>
      </w:tr>
      <w:tr>
        <w:trPr>
          <w:trHeight w:val="215"/>
        </w:trPr>
        <w:tc>
          <w:tcPr>
            <w:tcW w:w="620" w:type="dxa"/>
            <w:vAlign w:val="bottom"/>
            <w:tcBorders>
              <w:left w:val="single" w:sz="8" w:color="auto"/>
            </w:tcBorders>
          </w:tcPr>
          <w:p>
            <w:pPr>
              <w:spacing w:after="0"/>
              <w:rPr>
                <w:sz w:val="18"/>
                <w:szCs w:val="18"/>
                <w:color w:val="auto"/>
              </w:rPr>
            </w:pPr>
          </w:p>
        </w:tc>
        <w:tc>
          <w:tcPr>
            <w:tcW w:w="1460" w:type="dxa"/>
            <w:vAlign w:val="bottom"/>
            <w:tcBorders>
              <w:right w:val="single" w:sz="8" w:color="auto"/>
            </w:tcBorders>
            <w:gridSpan w:val="2"/>
            <w:vMerge w:val="restart"/>
          </w:tcPr>
          <w:p>
            <w:pPr>
              <w:jc w:val="center"/>
              <w:ind w:right="540"/>
              <w:spacing w:after="0"/>
              <w:rPr>
                <w:sz w:val="20"/>
                <w:szCs w:val="20"/>
                <w:color w:val="auto"/>
              </w:rPr>
            </w:pPr>
            <w:r>
              <w:rPr>
                <w:rFonts w:ascii="Arial" w:cs="Arial" w:eastAsia="Arial" w:hAnsi="Arial"/>
                <w:sz w:val="16"/>
                <w:szCs w:val="16"/>
                <w:b w:val="1"/>
                <w:bCs w:val="1"/>
                <w:color w:val="auto"/>
                <w:w w:val="88"/>
              </w:rPr>
              <w:t>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since January 2014. He has been a Managing Director for</w:t>
            </w:r>
          </w:p>
        </w:tc>
        <w:tc>
          <w:tcPr>
            <w:tcW w:w="100" w:type="dxa"/>
            <w:vAlign w:val="bottom"/>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1460" w:type="dxa"/>
            <w:vAlign w:val="bottom"/>
            <w:tcBorders>
              <w:right w:val="single" w:sz="8" w:color="auto"/>
            </w:tcBorders>
            <w:gridSpan w:val="2"/>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Alvarez and Marsal, a privately owned professional</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24"/>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85"/>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services firm, since April 2009. From 2005 to 2009,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8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6"/>
                <w:szCs w:val="16"/>
                <w:b w:val="1"/>
                <w:bCs w:val="1"/>
                <w:i w:val="1"/>
                <w:iCs w:val="1"/>
                <w:color w:val="auto"/>
                <w:w w:val="83"/>
              </w:rPr>
              <w:t>since 2010</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 was the global energy practice leader for</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Committees</w:t>
            </w:r>
          </w:p>
        </w:tc>
        <w:tc>
          <w:tcPr>
            <w:tcW w:w="680" w:type="dxa"/>
            <w:vAlign w:val="bottom"/>
            <w:tcBorders>
              <w:right w:val="single" w:sz="8" w:color="auto"/>
            </w:tcBorders>
            <w:vMerge w:val="restart"/>
          </w:tcPr>
          <w:p>
            <w:pPr>
              <w:jc w:val="right"/>
              <w:ind w:right="540"/>
              <w:spacing w:after="0"/>
              <w:rPr>
                <w:sz w:val="20"/>
                <w:szCs w:val="20"/>
                <w:color w:val="auto"/>
              </w:rPr>
            </w:pPr>
            <w:r>
              <w:rPr>
                <w:rFonts w:ascii="Arial" w:cs="Arial" w:eastAsia="Arial" w:hAnsi="Arial"/>
                <w:sz w:val="16"/>
                <w:szCs w:val="16"/>
                <w:b w:val="1"/>
                <w:bCs w:val="1"/>
                <w:color w:val="auto"/>
                <w:w w:val="74"/>
              </w:rPr>
              <w: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Spencer Stuart, a privately owned executive recruiting</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21"/>
        </w:trPr>
        <w:tc>
          <w:tcPr>
            <w:tcW w:w="620" w:type="dxa"/>
            <w:vAlign w:val="bottom"/>
            <w:tcBorders>
              <w:left w:val="single" w:sz="8" w:color="auto"/>
            </w:tcBorders>
            <w:vMerge w:val="restart"/>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line="157" w:lineRule="exact"/>
              <w:rPr>
                <w:sz w:val="20"/>
                <w:szCs w:val="20"/>
                <w:color w:val="auto"/>
              </w:rPr>
            </w:pPr>
            <w:r>
              <w:rPr>
                <w:rFonts w:ascii="Arial" w:cs="Arial" w:eastAsia="Arial" w:hAnsi="Arial"/>
                <w:sz w:val="16"/>
                <w:szCs w:val="16"/>
                <w:color w:val="auto"/>
              </w:rPr>
              <w:t>firm. Prior to joining Spencer Stuart, Mr. Burk served as</w:t>
            </w:r>
          </w:p>
        </w:tc>
        <w:tc>
          <w:tcPr>
            <w:tcW w:w="100" w:type="dxa"/>
            <w:vAlign w:val="bottom"/>
            <w:vMerge w:val="restart"/>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20" w:type="dxa"/>
            <w:vAlign w:val="bottom"/>
            <w:tcBorders>
              <w:left w:val="single" w:sz="8" w:color="auto"/>
            </w:tcBorders>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vMerge w:val="continue"/>
          </w:tcPr>
          <w:p>
            <w:pPr>
              <w:spacing w:after="0" w:line="20" w:lineRule="exact"/>
              <w:rPr>
                <w:sz w:val="1"/>
                <w:szCs w:val="1"/>
                <w:color w:val="auto"/>
              </w:rPr>
            </w:pPr>
          </w:p>
        </w:tc>
        <w:tc>
          <w:tcPr>
            <w:tcW w:w="4080" w:type="dxa"/>
            <w:vAlign w:val="bottom"/>
            <w:tcBorders>
              <w:right w:val="single" w:sz="8" w:color="auto"/>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86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rPr>
              <w:t>Audit (chair)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managing partner of Deloitte &amp; Touche’s global oil and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70"/>
        </w:trPr>
        <w:tc>
          <w:tcPr>
            <w:tcW w:w="2080" w:type="dxa"/>
            <w:vAlign w:val="bottom"/>
            <w:tcBorders>
              <w:left w:val="single" w:sz="8" w:color="auto"/>
              <w:right w:val="single" w:sz="8" w:color="auto"/>
            </w:tcBorders>
            <w:gridSpan w:val="3"/>
            <w:vMerge w:val="continue"/>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natural gas group from 2002 to 2005. He began his</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620" w:type="dxa"/>
            <w:vAlign w:val="bottom"/>
            <w:tcBorders>
              <w:lef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professional career in 1972 with Arthur Andersen and</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Borders>
              <w:lef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24"/>
        </w:trPr>
        <w:tc>
          <w:tcPr>
            <w:tcW w:w="620" w:type="dxa"/>
            <w:vAlign w:val="bottom"/>
            <w:tcBorders>
              <w:lef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9"/>
              </w:rPr>
              <w:t>served as managing partner of Arthur Andersen’s global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620" w:type="dxa"/>
            <w:vAlign w:val="bottom"/>
            <w:tcBorders>
              <w:lef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oil and natural gas group from 1989 until 2002. Mr. Burk</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on the board of directors and audit committee of</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37"/>
        </w:trPr>
        <w:tc>
          <w:tcPr>
            <w:tcW w:w="620" w:type="dxa"/>
            <w:vAlign w:val="bottom"/>
            <w:tcBorders>
              <w:lef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EV Energy Partners, L.P. from September 2006 until</w:t>
            </w: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620" w:type="dxa"/>
            <w:vAlign w:val="bottom"/>
            <w:tcBorders>
              <w:left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June 2018. Mr. Burk served as a director and as chairman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the audit committee of PNGS GP LLC, the general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of PAA Natural Gas Storage, L.P., from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April 2010 through December 2013. Mr. Burk also serves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as a board member of the Sam Houston Area Council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Boy Scouts of America. He received a BBA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Accounting from Stephen F. Austin State University,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graduating with highest honors. The Board has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determined that Mr. Burk is “independent” under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applicable Nasdaq and SEC rules and qualifies as an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“Audit Committee Financial Expert.” We believe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Burk’s background, spanning over 30 years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extensive public accounting and consulting experience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energy industry, coupled with his demonstrated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leadership abilities, bring valuable experience and insight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0" w:type="dxa"/>
            <w:vAlign w:val="bottom"/>
            <w:tcBorders>
              <w:left w:val="single" w:sz="8" w:color="auto"/>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gridSpan w:val="2"/>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620" w:type="dxa"/>
            <w:vAlign w:val="bottom"/>
            <w:tcBorders>
              <w:left w:val="single" w:sz="8" w:color="auto"/>
            </w:tcBorders>
          </w:tcPr>
          <w:p>
            <w:pPr>
              <w:spacing w:after="0"/>
              <w:rPr>
                <w:sz w:val="12"/>
                <w:szCs w:val="12"/>
                <w:color w:val="auto"/>
              </w:rPr>
            </w:pPr>
          </w:p>
        </w:tc>
        <w:tc>
          <w:tcPr>
            <w:tcW w:w="1460" w:type="dxa"/>
            <w:vAlign w:val="bottom"/>
            <w:tcBorders>
              <w:right w:val="single" w:sz="8" w:color="auto"/>
            </w:tcBorders>
            <w:gridSpan w:val="2"/>
          </w:tcPr>
          <w:p>
            <w:pPr>
              <w:jc w:val="center"/>
              <w:ind w:right="580"/>
              <w:spacing w:after="0" w:line="142" w:lineRule="exact"/>
              <w:rPr>
                <w:sz w:val="20"/>
                <w:szCs w:val="20"/>
                <w:color w:val="auto"/>
              </w:rPr>
            </w:pPr>
            <w:r>
              <w:rPr>
                <w:rFonts w:ascii="Arial" w:cs="Arial" w:eastAsia="Arial" w:hAnsi="Arial"/>
                <w:sz w:val="16"/>
                <w:szCs w:val="16"/>
                <w:b w:val="1"/>
                <w:bCs w:val="1"/>
                <w:color w:val="auto"/>
                <w:w w:val="99"/>
              </w:rPr>
              <w:t>KEVIN S.</w:t>
            </w:r>
          </w:p>
        </w:tc>
        <w:tc>
          <w:tcPr>
            <w:tcW w:w="4080" w:type="dxa"/>
            <w:vAlign w:val="bottom"/>
            <w:tcBorders>
              <w:right w:val="single" w:sz="8" w:color="auto"/>
            </w:tcBorders>
          </w:tcPr>
          <w:p>
            <w:pPr>
              <w:ind w:left="80"/>
              <w:spacing w:after="0" w:line="142" w:lineRule="exact"/>
              <w:rPr>
                <w:sz w:val="20"/>
                <w:szCs w:val="20"/>
                <w:color w:val="auto"/>
              </w:rPr>
            </w:pPr>
            <w:r>
              <w:rPr>
                <w:rFonts w:ascii="Arial" w:cs="Arial" w:eastAsia="Arial" w:hAnsi="Arial"/>
                <w:sz w:val="16"/>
                <w:szCs w:val="16"/>
                <w:i w:val="1"/>
                <w:iCs w:val="1"/>
                <w:color w:val="auto"/>
              </w:rPr>
              <w:t xml:space="preserve">Kevin S. McCarthy, age 61, </w:t>
            </w:r>
            <w:r>
              <w:rPr>
                <w:rFonts w:ascii="Arial" w:cs="Arial" w:eastAsia="Arial" w:hAnsi="Arial"/>
                <w:sz w:val="16"/>
                <w:szCs w:val="16"/>
                <w:color w:val="auto"/>
              </w:rPr>
              <w:t>has served as a director of</w:t>
            </w:r>
          </w:p>
        </w:tc>
        <w:tc>
          <w:tcPr>
            <w:tcW w:w="100" w:type="dxa"/>
            <w:vAlign w:val="bottom"/>
          </w:tcPr>
          <w:p>
            <w:pPr>
              <w:spacing w:after="0"/>
              <w:rPr>
                <w:sz w:val="12"/>
                <w:szCs w:val="12"/>
                <w:color w:val="auto"/>
              </w:rPr>
            </w:pPr>
          </w:p>
        </w:tc>
        <w:tc>
          <w:tcPr>
            <w:tcW w:w="140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color w:val="auto"/>
              </w:rPr>
              <w:t>Board Qualifications</w:t>
            </w:r>
          </w:p>
        </w:tc>
        <w:tc>
          <w:tcPr>
            <w:tcW w:w="560" w:type="dxa"/>
            <w:vAlign w:val="bottom"/>
            <w:tcBorders>
              <w:right w:val="single" w:sz="8" w:color="auto"/>
            </w:tcBorders>
          </w:tcPr>
          <w:p>
            <w:pPr>
              <w:jc w:val="right"/>
              <w:ind w:right="470"/>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MCCARTHY</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since October 2020. He currently serves as</w:t>
            </w:r>
          </w:p>
        </w:tc>
        <w:tc>
          <w:tcPr>
            <w:tcW w:w="100" w:type="dxa"/>
            <w:vAlign w:val="bottom"/>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86"/>
              </w:rPr>
              <w:t>Designated Director —</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7"/>
              </w:rPr>
              <w:t>Vice Chairman at Kayne Anderson, where he co-founded</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gridSpan w:val="3"/>
            <w:vMerge w:val="continue"/>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the firm’s energy infrastructure securities activities, and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86"/>
              </w:rPr>
              <w:t>Independence Not</w:t>
            </w: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gridSpan w:val="3"/>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CEO and Chairman of the Board of Directors</w:t>
            </w:r>
          </w:p>
        </w:tc>
        <w:tc>
          <w:tcPr>
            <w:tcW w:w="100" w:type="dxa"/>
            <w:vAlign w:val="bottom"/>
          </w:tcPr>
          <w:p>
            <w:pPr>
              <w:spacing w:after="0"/>
              <w:rPr>
                <w:sz w:val="9"/>
                <w:szCs w:val="9"/>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85"/>
        </w:trPr>
        <w:tc>
          <w:tcPr>
            <w:tcW w:w="620" w:type="dxa"/>
            <w:vAlign w:val="bottom"/>
            <w:tcBorders>
              <w:left w:val="single" w:sz="8" w:color="auto"/>
            </w:tcBorders>
          </w:tcPr>
          <w:p>
            <w:pPr>
              <w:spacing w:after="0"/>
              <w:rPr>
                <w:sz w:val="7"/>
                <w:szCs w:val="7"/>
                <w:color w:val="auto"/>
              </w:rPr>
            </w:pPr>
          </w:p>
        </w:tc>
        <w:tc>
          <w:tcPr>
            <w:tcW w:w="1460" w:type="dxa"/>
            <w:vAlign w:val="bottom"/>
            <w:tcBorders>
              <w:right w:val="single" w:sz="8" w:color="auto"/>
            </w:tcBorders>
            <w:gridSpan w:val="2"/>
            <w:vMerge w:val="restart"/>
          </w:tcPr>
          <w:p>
            <w:pPr>
              <w:jc w:val="center"/>
              <w:ind w:right="540"/>
              <w:spacing w:after="0"/>
              <w:rPr>
                <w:sz w:val="20"/>
                <w:szCs w:val="20"/>
                <w:color w:val="auto"/>
              </w:rPr>
            </w:pPr>
            <w:r>
              <w:rPr>
                <w:rFonts w:ascii="Arial" w:cs="Arial" w:eastAsia="Arial" w:hAnsi="Arial"/>
                <w:sz w:val="16"/>
                <w:szCs w:val="16"/>
                <w:b w:val="1"/>
                <w:bCs w:val="1"/>
                <w:color w:val="auto"/>
                <w:w w:val="74"/>
              </w:rPr>
              <w:t>Assessed</w:t>
            </w: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8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2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gridSpan w:val="2"/>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for Kayne Anderson’s closed-end funds from 2004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620" w:type="dxa"/>
            <w:vAlign w:val="bottom"/>
            <w:tcBorders>
              <w:lef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408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8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85"/>
              </w:rPr>
              <w:t>PAGP/PAA Director</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through July 2019. Prior to joining Kayne Anderson in</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8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2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6"/>
                <w:szCs w:val="16"/>
                <w:b w:val="1"/>
                <w:bCs w:val="1"/>
                <w:i w:val="1"/>
                <w:iCs w:val="1"/>
                <w:color w:val="auto"/>
                <w:w w:val="83"/>
              </w:rPr>
              <w:t>since 2020</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2004, Mr. McCarthy was global head of energy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86"/>
              </w:rPr>
              <w:t>Committees:</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investment banking at UBS Securities LLC and held</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16"/>
        </w:trPr>
        <w:tc>
          <w:tcPr>
            <w:tcW w:w="2080" w:type="dxa"/>
            <w:vAlign w:val="bottom"/>
            <w:tcBorders>
              <w:left w:val="single" w:sz="8" w:color="auto"/>
              <w:right w:val="single" w:sz="8" w:color="auto"/>
            </w:tcBorders>
            <w:gridSpan w:val="3"/>
            <w:vMerge w:val="continue"/>
          </w:tcPr>
          <w:p>
            <w:pPr>
              <w:spacing w:after="0"/>
              <w:rPr>
                <w:sz w:val="10"/>
                <w:szCs w:val="10"/>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8"/>
              </w:rPr>
              <w:t>similar positions at PaineWebber Incorporated and Dean</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620" w:type="dxa"/>
            <w:vAlign w:val="bottom"/>
            <w:tcBorders>
              <w:left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32"/>
        </w:trPr>
        <w:tc>
          <w:tcPr>
            <w:tcW w:w="620" w:type="dxa"/>
            <w:vAlign w:val="bottom"/>
            <w:tcBorders>
              <w:left w:val="single" w:sz="8" w:color="auto"/>
            </w:tcBorders>
          </w:tcPr>
          <w:p>
            <w:pPr>
              <w:spacing w:after="0"/>
              <w:rPr>
                <w:sz w:val="11"/>
                <w:szCs w:val="11"/>
                <w:color w:val="auto"/>
              </w:rPr>
            </w:pPr>
          </w:p>
        </w:tc>
        <w:tc>
          <w:tcPr>
            <w:tcW w:w="1460" w:type="dxa"/>
            <w:vAlign w:val="bottom"/>
            <w:tcBorders>
              <w:right w:val="single" w:sz="8" w:color="auto"/>
            </w:tcBorders>
            <w:gridSpan w:val="2"/>
            <w:vMerge w:val="restart"/>
          </w:tcPr>
          <w:p>
            <w:pPr>
              <w:jc w:val="center"/>
              <w:ind w:right="540"/>
              <w:spacing w:after="0"/>
              <w:rPr>
                <w:sz w:val="20"/>
                <w:szCs w:val="20"/>
                <w:color w:val="auto"/>
              </w:rPr>
            </w:pPr>
            <w:r>
              <w:rPr>
                <w:rFonts w:ascii="Arial" w:cs="Arial" w:eastAsia="Arial" w:hAnsi="Arial"/>
                <w:sz w:val="16"/>
                <w:szCs w:val="16"/>
                <w:color w:val="auto"/>
                <w:w w:val="89"/>
              </w:rPr>
              <w:t>none</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Witter Reynolds. Mr. McCarthy serves as a director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620" w:type="dxa"/>
            <w:vAlign w:val="bottom"/>
            <w:tcBorders>
              <w:left w:val="single" w:sz="8" w:color="auto"/>
            </w:tcBorders>
          </w:tcPr>
          <w:p>
            <w:pPr>
              <w:spacing w:after="0"/>
              <w:rPr>
                <w:sz w:val="4"/>
                <w:szCs w:val="4"/>
                <w:color w:val="auto"/>
              </w:rPr>
            </w:pPr>
          </w:p>
        </w:tc>
        <w:tc>
          <w:tcPr>
            <w:tcW w:w="1460" w:type="dxa"/>
            <w:vAlign w:val="bottom"/>
            <w:tcBorders>
              <w:right w:val="single" w:sz="8" w:color="auto"/>
            </w:tcBorders>
            <w:gridSpan w:val="2"/>
            <w:vMerge w:val="continue"/>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620" w:type="dxa"/>
            <w:vAlign w:val="bottom"/>
            <w:tcBorders>
              <w:left w:val="single" w:sz="8" w:color="auto"/>
            </w:tcBorders>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Altus Midstream Company and Whiting Petroleum</w:t>
            </w:r>
          </w:p>
        </w:tc>
        <w:tc>
          <w:tcPr>
            <w:tcW w:w="100" w:type="dxa"/>
            <w:vAlign w:val="bottom"/>
          </w:tcPr>
          <w:p>
            <w:pPr>
              <w:spacing w:after="0"/>
              <w:rPr>
                <w:sz w:val="6"/>
                <w:szCs w:val="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19"/>
        </w:trPr>
        <w:tc>
          <w:tcPr>
            <w:tcW w:w="620" w:type="dxa"/>
            <w:vAlign w:val="bottom"/>
            <w:tcBorders>
              <w:lef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8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Corporation, and previously served as a director of Range</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37"/>
        </w:trPr>
        <w:tc>
          <w:tcPr>
            <w:tcW w:w="620" w:type="dxa"/>
            <w:vAlign w:val="bottom"/>
            <w:tcBorders>
              <w:lef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Resources Corporation, ONEOK, Inc., Emerge Energy</w:t>
            </w: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86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620" w:type="dxa"/>
            <w:vAlign w:val="bottom"/>
            <w:tcBorders>
              <w:left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08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Services LP and K-Sea Transportation Partners L.P. 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also sits on the board of directors of the Gladney Fund.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McCarthy earned a BA in economics and geology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Amherst College and an MBA in Finance from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Wharton School at the University of Pennsylvania.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McCarthy’s extensive investment management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background and involvement in the energy sector, along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the breadth and depth of his market and industry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knowledge, brings substantial experience, insight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skill to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20" w:type="dxa"/>
            <w:vAlign w:val="bottom"/>
            <w:tcBorders>
              <w:left w:val="single" w:sz="8" w:color="auto"/>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40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16"/>
        </w:trPr>
        <w:tc>
          <w:tcPr>
            <w:tcW w:w="208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5"/>
              </w:rPr>
              <w:t>HARRY N. PEFANIS</w:t>
            </w:r>
          </w:p>
        </w:tc>
        <w:tc>
          <w:tcPr>
            <w:tcW w:w="4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Harry N. Pefanis, age 63, </w:t>
            </w:r>
            <w:r>
              <w:rPr>
                <w:rFonts w:ascii="Arial" w:cs="Arial" w:eastAsia="Arial" w:hAnsi="Arial"/>
                <w:sz w:val="16"/>
                <w:szCs w:val="16"/>
                <w:color w:val="auto"/>
              </w:rPr>
              <w:t>has served as a director of</w:t>
            </w:r>
          </w:p>
        </w:tc>
        <w:tc>
          <w:tcPr>
            <w:tcW w:w="100" w:type="dxa"/>
            <w:vAlign w:val="bottom"/>
            <w:tcBorders>
              <w:top w:val="single" w:sz="8" w:color="auto"/>
            </w:tcBorders>
          </w:tcPr>
          <w:p>
            <w:pPr>
              <w:spacing w:after="0"/>
              <w:rPr>
                <w:sz w:val="18"/>
                <w:szCs w:val="18"/>
                <w:color w:val="auto"/>
              </w:rPr>
            </w:pPr>
          </w:p>
        </w:tc>
        <w:tc>
          <w:tcPr>
            <w:tcW w:w="19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85"/>
              </w:rPr>
              <w:t>Not 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5"/>
              </w:rPr>
              <w:t>PAGP GP since February 2017 and as President of PAGP</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gridSpan w:val="3"/>
            <w:vMerge w:val="continue"/>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7"/>
              </w:rPr>
              <w:t>GP and GP LLC since March 2021. He previously served</w:t>
            </w: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20" w:type="dxa"/>
            <w:vAlign w:val="bottom"/>
            <w:tcBorders>
              <w:lef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07"/>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85"/>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9"/>
              </w:rPr>
              <w:t>as President and Chief Commercial Officer of PAGP GP</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80" w:type="dxa"/>
            <w:vAlign w:val="bottom"/>
            <w:tcBorders>
              <w:left w:val="single" w:sz="8" w:color="auto"/>
              <w:right w:val="single" w:sz="8" w:color="auto"/>
            </w:tcBorders>
            <w:gridSpan w:val="3"/>
            <w:vMerge w:val="continue"/>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gridSpan w:val="2"/>
          </w:tcPr>
          <w:p>
            <w:pPr>
              <w:jc w:val="center"/>
              <w:ind w:right="521"/>
              <w:spacing w:after="0"/>
              <w:rPr>
                <w:sz w:val="20"/>
                <w:szCs w:val="20"/>
                <w:color w:val="auto"/>
              </w:rPr>
            </w:pPr>
            <w:r>
              <w:rPr>
                <w:rFonts w:ascii="Arial" w:cs="Arial" w:eastAsia="Arial" w:hAnsi="Arial"/>
                <w:sz w:val="16"/>
                <w:szCs w:val="16"/>
                <w:b w:val="1"/>
                <w:bCs w:val="1"/>
                <w:i w:val="1"/>
                <w:iCs w:val="1"/>
                <w:color w:val="auto"/>
                <w:w w:val="81"/>
              </w:rPr>
              <w:t>since 2017</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GP LLC from January 2018 until March 2021. He</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gridSpan w:val="2"/>
            <w:vMerge w:val="restart"/>
          </w:tcPr>
          <w:p>
            <w:pPr>
              <w:jc w:val="center"/>
              <w:ind w:right="541"/>
              <w:spacing w:after="0"/>
              <w:rPr>
                <w:sz w:val="20"/>
                <w:szCs w:val="20"/>
                <w:color w:val="auto"/>
              </w:rPr>
            </w:pPr>
            <w:r>
              <w:rPr>
                <w:rFonts w:ascii="Arial" w:cs="Arial" w:eastAsia="Arial" w:hAnsi="Arial"/>
                <w:sz w:val="16"/>
                <w:szCs w:val="16"/>
                <w:b w:val="1"/>
                <w:bCs w:val="1"/>
                <w:i w:val="1"/>
                <w:iCs w:val="1"/>
                <w:color w:val="auto"/>
                <w:w w:val="82"/>
              </w:rPr>
              <w:t>President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President and Chief Operating Officer of GP</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5"/>
        </w:trPr>
        <w:tc>
          <w:tcPr>
            <w:tcW w:w="620" w:type="dxa"/>
            <w:vAlign w:val="bottom"/>
            <w:tcBorders>
              <w:left w:val="single" w:sz="8" w:color="auto"/>
            </w:tcBorders>
          </w:tcPr>
          <w:p>
            <w:pPr>
              <w:spacing w:after="0"/>
              <w:rPr>
                <w:sz w:val="13"/>
                <w:szCs w:val="13"/>
                <w:color w:val="auto"/>
              </w:rPr>
            </w:pPr>
          </w:p>
        </w:tc>
        <w:tc>
          <w:tcPr>
            <w:tcW w:w="1460" w:type="dxa"/>
            <w:vAlign w:val="bottom"/>
            <w:tcBorders>
              <w:right w:val="single" w:sz="8" w:color="auto"/>
            </w:tcBorders>
            <w:gridSpan w:val="2"/>
            <w:vMerge w:val="continue"/>
          </w:tcPr>
          <w:p>
            <w:pPr>
              <w:spacing w:after="0"/>
              <w:rPr>
                <w:sz w:val="13"/>
                <w:szCs w:val="13"/>
                <w:color w:val="auto"/>
              </w:rPr>
            </w:pPr>
          </w:p>
        </w:tc>
        <w:tc>
          <w:tcPr>
            <w:tcW w:w="40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LLC from PAA’s formation in 1998 through</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8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2017, and as President and Chief Operating</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Officer of PAGP GP from July 2013 through</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94"/>
        </w:trPr>
        <w:tc>
          <w:tcPr>
            <w:tcW w:w="620" w:type="dxa"/>
            <w:vAlign w:val="bottom"/>
            <w:tcBorders>
              <w:lef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9"/>
              </w:rPr>
              <w:t>December 2017. He was also a director of PAA’s former</w:t>
            </w: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07"/>
        </w:trPr>
        <w:tc>
          <w:tcPr>
            <w:tcW w:w="620" w:type="dxa"/>
            <w:vAlign w:val="bottom"/>
            <w:tcBorders>
              <w:lef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general partner. In addition, he was Executive Vice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620" w:type="dxa"/>
            <w:vAlign w:val="bottom"/>
            <w:tcBorders>
              <w:lef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62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President — Midstream of Plains Resources from</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May 1998 to May 2001. He previously served Plains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w w:val="97"/>
              </w:rPr>
              <w:t>Resources as: Senior Vice President from February 1996</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until May 1998; Vice President — Products Marketing</w:t>
            </w: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1988 to February 1996; Manager of Products</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93"/>
        </w:trPr>
        <w:tc>
          <w:tcPr>
            <w:tcW w:w="620" w:type="dxa"/>
            <w:vAlign w:val="bottom"/>
            <w:tcBorders>
              <w:lef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Marketing from 1987 to 1988; and Special Assistant for</w:t>
            </w: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620" w:type="dxa"/>
            <w:vAlign w:val="bottom"/>
            <w:tcBorders>
              <w:lef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Corporate Planning from 1983 to 1987. Mr. Pefanis was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also President of several former midstream subsidiaries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Plains Resources prior to PAA’s formation. Mr. Pefanis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serves as lead independent director of Oasis Midstream</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Partners, L.P. He is also a director of the Memorial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Hermann Foundation. Mr. Pefanis’s involvement with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PAA since its formation and his considerable operational,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commercial, accounting and financial experience brings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important and valuable skills to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40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80" w:type="dxa"/>
            <w:vAlign w:val="bottom"/>
            <w:tcBorders>
              <w:left w:val="single" w:sz="8" w:color="auto"/>
              <w:right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rPr>
              <w:t>GARY R. PETERSEN</w:t>
            </w:r>
          </w:p>
        </w:tc>
        <w:tc>
          <w:tcPr>
            <w:tcW w:w="4080" w:type="dxa"/>
            <w:vAlign w:val="bottom"/>
            <w:tcBorders>
              <w:right w:val="single" w:sz="8" w:color="auto"/>
            </w:tcBorders>
          </w:tcPr>
          <w:p>
            <w:pPr>
              <w:ind w:left="80"/>
              <w:spacing w:after="0" w:line="129" w:lineRule="exact"/>
              <w:rPr>
                <w:sz w:val="20"/>
                <w:szCs w:val="20"/>
                <w:color w:val="auto"/>
              </w:rPr>
            </w:pPr>
            <w:r>
              <w:rPr>
                <w:rFonts w:ascii="Arial" w:cs="Arial" w:eastAsia="Arial" w:hAnsi="Arial"/>
                <w:sz w:val="14"/>
                <w:szCs w:val="14"/>
                <w:i w:val="1"/>
                <w:iCs w:val="1"/>
                <w:color w:val="auto"/>
              </w:rPr>
              <w:t xml:space="preserve">Gary R. Petersen, age 74, </w:t>
            </w:r>
            <w:r>
              <w:rPr>
                <w:rFonts w:ascii="Arial" w:cs="Arial" w:eastAsia="Arial" w:hAnsi="Arial"/>
                <w:sz w:val="14"/>
                <w:szCs w:val="14"/>
                <w:color w:val="auto"/>
              </w:rPr>
              <w:t>has served as a director of</w:t>
            </w:r>
          </w:p>
        </w:tc>
        <w:tc>
          <w:tcPr>
            <w:tcW w:w="100" w:type="dxa"/>
            <w:vAlign w:val="bottom"/>
          </w:tcPr>
          <w:p>
            <w:pPr>
              <w:spacing w:after="0"/>
              <w:rPr>
                <w:sz w:val="12"/>
                <w:szCs w:val="12"/>
                <w:color w:val="auto"/>
              </w:rPr>
            </w:pPr>
          </w:p>
        </w:tc>
        <w:tc>
          <w:tcPr>
            <w:tcW w:w="196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color w:val="auto"/>
              </w:rPr>
              <w:t>Board Qualifications:</w:t>
            </w:r>
          </w:p>
        </w:tc>
        <w:tc>
          <w:tcPr>
            <w:tcW w:w="0" w:type="dxa"/>
            <w:vAlign w:val="bottom"/>
          </w:tcPr>
          <w:p>
            <w:pPr>
              <w:spacing w:after="0"/>
              <w:rPr>
                <w:sz w:val="1"/>
                <w:szCs w:val="1"/>
                <w:color w:val="auto"/>
              </w:rPr>
            </w:pPr>
          </w:p>
        </w:tc>
      </w:tr>
      <w:tr>
        <w:trPr>
          <w:trHeight w:val="203"/>
        </w:trPr>
        <w:tc>
          <w:tcPr>
            <w:tcW w:w="620" w:type="dxa"/>
            <w:vAlign w:val="bottom"/>
            <w:tcBorders>
              <w:left w:val="single" w:sz="8" w:color="auto"/>
            </w:tcBorders>
          </w:tcPr>
          <w:p>
            <w:pPr>
              <w:spacing w:after="0"/>
              <w:rPr>
                <w:sz w:val="17"/>
                <w:szCs w:val="17"/>
                <w:color w:val="auto"/>
              </w:rPr>
            </w:pPr>
          </w:p>
        </w:tc>
        <w:tc>
          <w:tcPr>
            <w:tcW w:w="1460" w:type="dxa"/>
            <w:vAlign w:val="bottom"/>
            <w:tcBorders>
              <w:right w:val="single" w:sz="8" w:color="auto"/>
            </w:tcBorders>
            <w:gridSpan w:val="2"/>
            <w:vMerge w:val="restart"/>
          </w:tcPr>
          <w:p>
            <w:pPr>
              <w:jc w:val="center"/>
              <w:ind w:right="521"/>
              <w:spacing w:after="0"/>
              <w:rPr>
                <w:sz w:val="20"/>
                <w:szCs w:val="20"/>
                <w:color w:val="auto"/>
              </w:rPr>
            </w:pPr>
            <w:r>
              <w:rPr>
                <w:rFonts w:ascii="Arial" w:cs="Arial" w:eastAsia="Arial" w:hAnsi="Arial"/>
                <w:sz w:val="16"/>
                <w:szCs w:val="16"/>
                <w:b w:val="1"/>
                <w:bCs w:val="1"/>
                <w:color w:val="auto"/>
                <w:w w:val="86"/>
              </w:rPr>
              <w:t>Independent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PAGP GP since November 2016. He served as a director</w:t>
            </w:r>
          </w:p>
        </w:tc>
        <w:tc>
          <w:tcPr>
            <w:tcW w:w="100" w:type="dxa"/>
            <w:vAlign w:val="bottom"/>
          </w:tcPr>
          <w:p>
            <w:pPr>
              <w:spacing w:after="0"/>
              <w:rPr>
                <w:sz w:val="17"/>
                <w:szCs w:val="17"/>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gridSpan w:val="2"/>
            <w:vMerge w:val="continue"/>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PAA’s general partner from June 2001 until</w:t>
            </w: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408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07"/>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85"/>
              </w:rPr>
              <w:t>PAGP/PAA Director</w:t>
            </w: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November 2016. Mr. Petersen is a Managing Partner 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80" w:type="dxa"/>
            <w:vAlign w:val="bottom"/>
            <w:tcBorders>
              <w:left w:val="single" w:sz="8" w:color="auto"/>
              <w:right w:val="single" w:sz="8" w:color="auto"/>
            </w:tcBorders>
            <w:gridSpan w:val="3"/>
            <w:vMerge w:val="continue"/>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1460" w:type="dxa"/>
            <w:vAlign w:val="bottom"/>
            <w:tcBorders>
              <w:right w:val="single" w:sz="8" w:color="auto"/>
            </w:tcBorders>
            <w:gridSpan w:val="2"/>
          </w:tcPr>
          <w:p>
            <w:pPr>
              <w:jc w:val="center"/>
              <w:ind w:right="521"/>
              <w:spacing w:after="0"/>
              <w:rPr>
                <w:sz w:val="20"/>
                <w:szCs w:val="20"/>
                <w:color w:val="auto"/>
              </w:rPr>
            </w:pPr>
            <w:r>
              <w:rPr>
                <w:rFonts w:ascii="Arial" w:cs="Arial" w:eastAsia="Arial" w:hAnsi="Arial"/>
                <w:sz w:val="16"/>
                <w:szCs w:val="16"/>
                <w:b w:val="1"/>
                <w:bCs w:val="1"/>
                <w:i w:val="1"/>
                <w:iCs w:val="1"/>
                <w:color w:val="auto"/>
                <w:w w:val="81"/>
              </w:rPr>
              <w:t>since 2001</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EnCap Investments L.P., an investment management firm</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6"/>
                <w:szCs w:val="16"/>
                <w:b w:val="1"/>
                <w:bCs w:val="1"/>
                <w:color w:val="auto"/>
                <w:w w:val="82"/>
              </w:rPr>
              <w:t>Committees</w:t>
            </w:r>
          </w:p>
        </w:tc>
        <w:tc>
          <w:tcPr>
            <w:tcW w:w="680" w:type="dxa"/>
            <w:vAlign w:val="bottom"/>
            <w:tcBorders>
              <w:right w:val="single" w:sz="8" w:color="auto"/>
            </w:tcBorders>
            <w:vMerge w:val="restart"/>
          </w:tcPr>
          <w:p>
            <w:pPr>
              <w:jc w:val="right"/>
              <w:ind w:right="541"/>
              <w:spacing w:after="0"/>
              <w:rPr>
                <w:sz w:val="20"/>
                <w:szCs w:val="20"/>
                <w:color w:val="auto"/>
              </w:rPr>
            </w:pPr>
            <w:r>
              <w:rPr>
                <w:rFonts w:ascii="Arial" w:cs="Arial" w:eastAsia="Arial" w:hAnsi="Arial"/>
                <w:sz w:val="16"/>
                <w:szCs w:val="16"/>
                <w:b w:val="1"/>
                <w:bCs w:val="1"/>
                <w:color w:val="auto"/>
                <w:w w:val="74"/>
              </w:rPr>
              <w:t>:</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5"/>
              </w:rPr>
              <w:t>which he co-founded in 1988. He also served as a director</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20"/>
        </w:trPr>
        <w:tc>
          <w:tcPr>
            <w:tcW w:w="620" w:type="dxa"/>
            <w:vAlign w:val="bottom"/>
            <w:tcBorders>
              <w:left w:val="single" w:sz="8" w:color="auto"/>
            </w:tcBorders>
            <w:vMerge w:val="restart"/>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4080" w:type="dxa"/>
            <w:vAlign w:val="bottom"/>
            <w:tcBorders>
              <w:right w:val="single" w:sz="8" w:color="auto"/>
            </w:tcBorders>
            <w:vMerge w:val="restart"/>
          </w:tcPr>
          <w:p>
            <w:pPr>
              <w:ind w:left="80"/>
              <w:spacing w:after="0" w:line="155" w:lineRule="exact"/>
              <w:rPr>
                <w:sz w:val="20"/>
                <w:szCs w:val="20"/>
                <w:color w:val="auto"/>
              </w:rPr>
            </w:pPr>
            <w:r>
              <w:rPr>
                <w:rFonts w:ascii="Arial" w:cs="Arial" w:eastAsia="Arial" w:hAnsi="Arial"/>
                <w:sz w:val="16"/>
                <w:szCs w:val="16"/>
                <w:color w:val="auto"/>
              </w:rPr>
              <w:t>of EV Energy Partners, L.P. from September 2006 until</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 w:type="dxa"/>
            <w:vAlign w:val="bottom"/>
            <w:tcBorders>
              <w:left w:val="single" w:sz="8" w:color="auto"/>
            </w:tcBorders>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right w:val="single" w:sz="8" w:color="auto"/>
            </w:tcBorders>
            <w:vMerge w:val="continue"/>
          </w:tcPr>
          <w:p>
            <w:pPr>
              <w:spacing w:after="0" w:line="20" w:lineRule="exact"/>
              <w:rPr>
                <w:sz w:val="1"/>
                <w:szCs w:val="1"/>
                <w:color w:val="auto"/>
              </w:rPr>
            </w:pPr>
          </w:p>
        </w:tc>
        <w:tc>
          <w:tcPr>
            <w:tcW w:w="4080" w:type="dxa"/>
            <w:vAlign w:val="bottom"/>
            <w:tcBorders>
              <w:right w:val="single" w:sz="8" w:color="auto"/>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86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3"/>
              </w:rPr>
              <w:t>Compensation</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June 2018. He had previously served as Senior Vice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6"/>
        </w:trPr>
        <w:tc>
          <w:tcPr>
            <w:tcW w:w="2080" w:type="dxa"/>
            <w:vAlign w:val="bottom"/>
            <w:tcBorders>
              <w:left w:val="single" w:sz="8" w:color="auto"/>
              <w:right w:val="single" w:sz="8" w:color="auto"/>
            </w:tcBorders>
            <w:gridSpan w:val="3"/>
            <w:vMerge w:val="continue"/>
          </w:tcPr>
          <w:p>
            <w:pPr>
              <w:spacing w:after="0"/>
              <w:rPr>
                <w:sz w:val="5"/>
                <w:szCs w:val="5"/>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7"/>
              </w:rPr>
              <w:t>President and Manager of the Corporate Finance Division</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62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gridSpan w:val="2"/>
            <w:vMerge w:val="restart"/>
          </w:tcPr>
          <w:p>
            <w:pPr>
              <w:jc w:val="center"/>
              <w:ind w:right="541"/>
              <w:spacing w:after="0"/>
              <w:rPr>
                <w:sz w:val="20"/>
                <w:szCs w:val="20"/>
                <w:color w:val="auto"/>
              </w:rPr>
            </w:pPr>
            <w:r>
              <w:rPr>
                <w:rFonts w:ascii="Arial" w:cs="Arial" w:eastAsia="Arial" w:hAnsi="Arial"/>
                <w:sz w:val="16"/>
                <w:szCs w:val="16"/>
                <w:color w:val="auto"/>
                <w:w w:val="91"/>
              </w:rPr>
              <w:t>Governance</w:t>
            </w:r>
          </w:p>
        </w:tc>
        <w:tc>
          <w:tcPr>
            <w:tcW w:w="40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94"/>
        </w:trPr>
        <w:tc>
          <w:tcPr>
            <w:tcW w:w="62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gridSpan w:val="2"/>
            <w:vMerge w:val="continue"/>
          </w:tcPr>
          <w:p>
            <w:pPr>
              <w:spacing w:after="0"/>
              <w:rPr>
                <w:sz w:val="8"/>
                <w:szCs w:val="8"/>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the Energy Banking Group for RepublicBank</w:t>
            </w: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tcBorders>
              <w:left w:val="single" w:sz="8" w:color="auto"/>
            </w:tcBorders>
          </w:tcPr>
          <w:p>
            <w:pPr>
              <w:spacing w:after="0"/>
              <w:rPr>
                <w:sz w:val="8"/>
                <w:szCs w:val="8"/>
                <w:color w:val="auto"/>
              </w:rPr>
            </w:pPr>
          </w:p>
        </w:tc>
        <w:tc>
          <w:tcPr>
            <w:tcW w:w="1460" w:type="dxa"/>
            <w:vAlign w:val="bottom"/>
            <w:tcBorders>
              <w:right w:val="single" w:sz="8" w:color="auto"/>
            </w:tcBorders>
            <w:gridSpan w:val="2"/>
            <w:vMerge w:val="continue"/>
          </w:tcPr>
          <w:p>
            <w:pPr>
              <w:spacing w:after="0"/>
              <w:rPr>
                <w:sz w:val="8"/>
                <w:szCs w:val="8"/>
                <w:color w:val="auto"/>
              </w:rPr>
            </w:pPr>
          </w:p>
        </w:tc>
        <w:tc>
          <w:tcPr>
            <w:tcW w:w="408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07"/>
        </w:trPr>
        <w:tc>
          <w:tcPr>
            <w:tcW w:w="620" w:type="dxa"/>
            <w:vAlign w:val="bottom"/>
            <w:tcBorders>
              <w:lef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0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Corporation. Prior to his position at RepublicBank, he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620" w:type="dxa"/>
            <w:vAlign w:val="bottom"/>
            <w:tcBorders>
              <w:lef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was Executive Vice President and a member of the Board</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Directors of Nicklos Oil &amp; Gas Company from 1979 to</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1984. He served from 1970 to 1971 in the U.S. Army as a</w:t>
            </w: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First Lieutenant in the Finance Corps and as an Army</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86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Officer in the Army Security Agency. He is a member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Independent Petroleum Association of America,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Houston Producers Forum and the Petroleum Club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Houston. Mr. Petersen is a director of the Memorial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Hermann Health System and the Houston Museum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Natural Science. He also sits on the board of trustees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Council on Recovery. Mr. Petersen holds BBA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MBA degrees in finance from Texas Tech University.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Board has determined that Mr. Petersen is “independent”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5"/>
              </w:rPr>
              <w:t>under applicable Nasdaq and SEC rules. Mr. Petersen has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been involved in the energy sector for a period of more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than 35 years, garnering extensive knowledge of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sectors’ various cycles, as well as the current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market and industry knowledge that comes with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management of approximately $18 billion of energy-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related investments. In tandem with the leadership</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qualities evidenced by his executive background, we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believe that Mr. Petersen brings numerous valuable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attributes to the Board.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20" w:type="dxa"/>
            <w:vAlign w:val="bottom"/>
            <w:tcBorders>
              <w:left w:val="single" w:sz="8" w:color="auto"/>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40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CORPORATE GOVERNANCE AND RELATED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14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own a 100% managing member interest in GP LLC, which owns a non- economic general partner interest in AAP. As of March 26, 2021, we also owned, directly and through GP LLC, a 79.3% limited partner interest in AAP, which directly owns approximately 245.6 million of PAA’s outstanding common units (representing approximately 31% of PAA’s outstanding common units and Series A preferred units combined) . AAP is the sole member of PAA GP LLC, which directly holds the non-economic general partner interest in PAA. PAGP GP holds a non-economic general partner interest in us and manages our operations and activities. We own an 81% membership interest in PAGP GP and the balance of the membership interests in PAGP GP are owned by various individuals and entities. The Board has responsibility for managing the business and affairs of PAGP, PAA and AAP.</w:t>
      </w:r>
    </w:p>
    <w:p>
      <w:pPr>
        <w:spacing w:after="0" w:line="124"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We and our general partner have no employees. All of our officers and other personnel necessary for our business to function (to the extent not out-sourced) are employed by GP LLC. All of the officers of our general partner are also officers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Our Class A shareholders are limited partners and do not directly or indirectly participate in our management or operation. Unlike holders of common stock in a corporation, our shareholders have only limited voting rights on matters affecting our business or governance, subject in all cases to any specific shareholder rights contained in our partnership agreement. In connection with the Simplification Transactions completed in November 2016, we expanded the voting rights of our shareholders to include the election of directors and, in 2018, we began holding annual meetings for this purpose. For a description of the steps we have taken to strengthen our governance structure and expand the voting rights of our shareholders, as well as a description of our Board structure and information regarding the election of Directors, see “Proposal 1 — Election of Class III Directors — Board and Governance Structure” above.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4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7"/>
          <w:szCs w:val="17"/>
          <w:color w:val="auto"/>
        </w:rPr>
        <w:t>Effective with the retirement of Mr. Armstrong as Chairman of the Board at the end of 2019, after carefully considering the issue over the course of several meetings, our Board determined that it was in the best interests of PAGP and PAA to re-combine the offices of CEO and Chairman of the Board, and</w:t>
      </w:r>
    </w:p>
    <w:p>
      <w:pPr>
        <w:ind w:left="1260" w:right="499"/>
        <w:spacing w:after="0" w:line="251" w:lineRule="auto"/>
        <w:rPr>
          <w:sz w:val="20"/>
          <w:szCs w:val="20"/>
          <w:color w:val="auto"/>
        </w:rPr>
      </w:pPr>
      <w:r>
        <w:rPr>
          <w:rFonts w:ascii="Arial" w:cs="Arial" w:eastAsia="Arial" w:hAnsi="Arial"/>
          <w:sz w:val="17"/>
          <w:szCs w:val="17"/>
          <w:color w:val="auto"/>
        </w:rPr>
        <w:t>Mr. Chiang assumed the role of Chairman of the Board while continuing to serve as CEO. The Board also approved an amendment to our governing documents that established a strong Lead Director role, requires that one of our independent directors serve as the Lead Director for so long as the CEO and Chairman roles are held by the same person, and clearly delineates the respective responsibilities of the Chairman and the Lead Director. The Board has no set policy with respect to the separation of the offices of Chairman and CEO; rather the Board believes it is in the best interests of PAA and PAGP for the Board to review ongoing conditions and circumstances and to make an appropriate determination to separate, or maintain as combined, the CEO and Chairman roles at the time a new CEO succeeds the current CEO, or upon a significant change in circumstances. In connection with the re -combination of the Chairman and CEO roles effective January 1, 2020, the Board appointed Mr. Shackouls to serve as Lead Director.</w:t>
      </w:r>
    </w:p>
    <w:p>
      <w:pPr>
        <w:spacing w:after="0" w:line="113" w:lineRule="exact"/>
        <w:rPr>
          <w:sz w:val="20"/>
          <w:szCs w:val="20"/>
          <w:color w:val="auto"/>
        </w:rPr>
      </w:pPr>
    </w:p>
    <w:p>
      <w:pPr>
        <w:jc w:val="both"/>
        <w:ind w:left="1260" w:right="659" w:firstLine="360"/>
        <w:spacing w:after="0" w:line="241" w:lineRule="auto"/>
        <w:rPr>
          <w:sz w:val="20"/>
          <w:szCs w:val="20"/>
          <w:color w:val="auto"/>
        </w:rPr>
      </w:pPr>
      <w:r>
        <w:rPr>
          <w:rFonts w:ascii="Arial" w:cs="Arial" w:eastAsia="Arial" w:hAnsi="Arial"/>
          <w:sz w:val="18"/>
          <w:szCs w:val="18"/>
          <w:color w:val="auto"/>
        </w:rPr>
        <w:t>With respect to the management of enterprise-level risk (ELR), which is the process of identifying, managing and monitoring events that present opportunities and risks with respect to the operation of our business and the creation of value for our shareholders, the Board has delegated primary responsibility to management and retained oversight responsibility. Management provides a formal ELR assessment to the Board at least once every year.</w:t>
      </w:r>
    </w:p>
    <w:p>
      <w:pPr>
        <w:spacing w:after="0" w:line="122"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We believe that our Board leadership structure supports the Board’s risk oversight function by facilitating open and regular communication between management and the directors, which allows informed oversight of management’s processes for identifying and managing significant risks and their impact on PAA’s business. For example, in connection with its ongoing management and assessment of the risks facing</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7"/>
          <w:szCs w:val="17"/>
          <w:color w:val="auto"/>
        </w:rPr>
        <w:t>PAA as a result of the impacts to its business resulting from the COVID -19 pandemic, management has assembled a cross-disciplinary crisis management team, which includes all of our executive officers, that has continuously monitored developments throughout the pandemic. Executive management has been in regular communication with the Board, has had several meetings with the Board and has provided numerous updates and related information to the Board regarding the assessment and management of the significant risks to PAA and its business as a result of the pandemic. In addition, the CEO/Chairman is in regular contact with the Lead Director to make sure the Board is receiving the information it needs and has the opportunity to provide feedback and input to management, in each case as required for the Board to discharge its oversight role with respect to the risks facing PAA and its business in the current environment.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148"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Non-management directors meet in executive session in connection with each regular Board meeting. These sessions are presided over by the Lead Director. As circumstances warrant, non-management directors may also meet in executive sessions of special meetings of the Board.</w:t>
      </w:r>
    </w:p>
    <w:p>
      <w:pPr>
        <w:spacing w:after="0" w:line="114"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Because we are a limited partnership, the listing standards of Nasdaq do not require that we or our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general partner have a majority of independent directors on the Board. Nonetheless, we have amended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PAGP GP LLC Agreement to require that our Board have a majority of directors who are “independent” as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defined in applicable Nasdaq and SEC rules. To be considered independent under Nasdaq listing standards,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Board must determine that a director has no relationship with us that would interfere with the exercise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independent judgement in carrying out his or her responsibilities as a director. The standards specify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criteria by which the independence of directors will be determined, including guidelines for directors and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their immediate family members with respect to employment or affiliation with us or with our independent</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public accountants. Although the Board has not assessed the independence of our designated director</w:t>
      </w:r>
    </w:p>
    <w:p>
      <w:pPr>
        <w:ind w:left="1260"/>
        <w:spacing w:after="0"/>
        <w:rPr>
          <w:sz w:val="20"/>
          <w:szCs w:val="20"/>
          <w:color w:val="auto"/>
        </w:rPr>
      </w:pPr>
      <w:r>
        <w:rPr>
          <w:rFonts w:ascii="Arial" w:cs="Arial" w:eastAsia="Arial" w:hAnsi="Arial"/>
          <w:sz w:val="17"/>
          <w:szCs w:val="17"/>
          <w:color w:val="auto"/>
        </w:rPr>
        <w:t>(Mr. McCarthy), the Board has assessed the independence of the seven directors who are not current 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former members of management (Messrs. Burk, Petersen, Raymond, Shackouls, Temple, Ziemba and</w:t>
      </w:r>
    </w:p>
    <w:p>
      <w:pPr>
        <w:ind w:left="1260"/>
        <w:spacing w:after="0"/>
        <w:rPr>
          <w:sz w:val="20"/>
          <w:szCs w:val="20"/>
          <w:color w:val="auto"/>
        </w:rPr>
      </w:pPr>
      <w:r>
        <w:rPr>
          <w:rFonts w:ascii="Arial" w:cs="Arial" w:eastAsia="Arial" w:hAnsi="Arial"/>
          <w:sz w:val="17"/>
          <w:szCs w:val="17"/>
          <w:color w:val="auto"/>
        </w:rPr>
        <w:t>Ms. Pruner) and has concluded that all of such directors are independent under applicable Nasdaq and SEC</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standards.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Our audit committee reviews our external financial reporting, engages our independent auditors, and reviews the adequacy of our internal accounting controls. The charter of our audit committee is available on our website. See “— Meetings and Other Information” for information on how to access or obtain copies of this charter. The Board has determined that each member of our audit committee (Messrs. Burk (chair), Ziemba and Ms. Pruner) is (i) “independent” under applicable Nasdaq and SEC rules, and (ii) financially literate. The Board has also determined that each of Mr. Burk and Ms. Pruner qualifies as an “Audit Committee Financial Expert” as that term is defined in Item 407 of Regulation S-K.</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162"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Raymond (chair), Petersen and Temple. Under applicable stock exchange rules, none of the members of our compensation committee are required to be “independent;” however, the charter of our compensation</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committee requires that all members of the committee be independent and the Board has determined that all of the current members of such committee are independent under applicable stock exchange and SEC standards. The compensation committee has the sole authority to retain any compensation consultants to assist the committee. During 2019 and 2020, the compensation committee engaged Meridian Compensation Partners, LLC to conduct an independent review and benchmark study of our executive compensation program and practices.</w:t>
      </w:r>
    </w:p>
    <w:p>
      <w:pPr>
        <w:spacing w:after="0" w:line="108"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During 2020,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EMG. We have relationships with entities affiliated with EMG. See “Certain Relationships and Related Transactions.”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Committee</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Although not required by Nasdaq listing standards, we also have a governance committee that periodically reviews our governance structure, policies and principles, oversees the Board’s annual self-assessment and committee evaluation process, and assists with succession planning and related activities, including identifying and assessing director nominees among other governance related matters. See "Proposal 1 — Election of Class III Directors — Board and Governance Structure"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 Messrs. Shackouls (chair), Petersen and Ms. Pruner. Under applicable stock exchange rules, none of the members of our governance committee are required to be “independent;” however, the charter of our governance committee requires that all members of the committee be independent and the Board has determined that all of the current members of such committee are independent under applicable stock exchange and SEC standards.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HSES Committee</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In February 2021, the Board established the Health, Safety, Environmental and Sustainability (“HSES”) Committee. The HSES committee will assist the Board in its evaluation and oversight of our</w:t>
      </w:r>
    </w:p>
    <w:p>
      <w:pPr>
        <w:ind w:left="1480" w:hanging="220"/>
        <w:spacing w:after="0" w:line="234"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of HSES matters, including compliance with applicable laws and regulations;</w:t>
      </w:r>
    </w:p>
    <w:p>
      <w:pPr>
        <w:ind w:left="1260" w:right="499"/>
        <w:spacing w:after="0" w:line="269" w:lineRule="auto"/>
        <w:tabs>
          <w:tab w:leader="none" w:pos="15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management of systems and plans to protect the health and safety of employees, contractors, customers, the environment, the communities where we operate, our assets, and our reputation; and (iii) plans to adjust to HSES trends and related risks to more effectively achieve our long-term business and sustainability objectives. Through the discharge of its oversight responsibilities, the HSES committee will facilitate the efforts of management to further strengthen our focus on sustainability and ESG matters. The charter of our HSES committee is available on our website. See “— Meetings and Other Information” for information on how to access or obtain copies of this charter. The HSES committee currently consists of Messrs. Ziemba (chair) and Temple, both of whom are independent under applicable stock exchange and SEC standards.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14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During 2020, our Board had nine meetings, our audit committee had ten meetings, our compensation committee had two meetings and our governance committee had two meetings. In addition, members of our compensation committee and governance committee held numerous conference calls and discussions throughout the year on various compensation and governance related matters. All directors have access to members of management, and a substantial amount of information transfer and informal communication occurs between meetings. In 2020, all of our directors attended all meetings of the Board and applicable committees of the Board on which the director served (100% attendance rate), other than one former director who attended all except one meeting (87.5% attendance rate). Board members are encouraged, but not required to attend our annual meetings; eight Board members attended our annual meeting in 2020.</w:t>
      </w:r>
    </w:p>
    <w:p>
      <w:pPr>
        <w:spacing w:after="0" w:line="116"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75" w:lineRule="auto"/>
        <w:rPr>
          <w:sz w:val="20"/>
          <w:szCs w:val="20"/>
          <w:color w:val="auto"/>
        </w:rPr>
      </w:pPr>
      <w:r>
        <w:rPr>
          <w:rFonts w:ascii="Arial" w:cs="Arial" w:eastAsia="Arial" w:hAnsi="Arial"/>
          <w:sz w:val="17"/>
          <w:szCs w:val="17"/>
          <w:color w:val="auto"/>
        </w:rPr>
        <w:t xml:space="preserve">accounting officer), are available under the Structure and Governance tab in the Investor Relations section of our Internet website at </w:t>
      </w:r>
      <w:r>
        <w:rPr>
          <w:rFonts w:ascii="Arial" w:cs="Arial" w:eastAsia="Arial" w:hAnsi="Arial"/>
          <w:sz w:val="17"/>
          <w:szCs w:val="17"/>
          <w:i w:val="1"/>
          <w:iCs w:val="1"/>
          <w:color w:val="auto"/>
        </w:rPr>
        <w:t>http://www.plainsallamerican.com</w:t>
      </w:r>
      <w:r>
        <w:rPr>
          <w:rFonts w:ascii="Arial" w:cs="Arial" w:eastAsia="Arial" w:hAnsi="Arial"/>
          <w:sz w:val="17"/>
          <w:szCs w:val="17"/>
          <w:color w:val="auto"/>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Committee/Fiduciary Duties</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partnership agreement provides for the establishment of a conflicts committee as circumstances warrant to review conflicts of interest between us and our limited partners, on the one hand, and our general partner, its owners and their respective affiliates, on the other hand. Such committee would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shareholders. See “Certain Relationships and Related Party Transactions — Review, Approval or Ratification of Transactions with Related Persons.”</w:t>
      </w:r>
    </w:p>
    <w:p>
      <w:pPr>
        <w:spacing w:after="0" w:line="124"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Although our general partner has not exercised such discretion in the past, it may do so in the future.</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DELINQUENT SECTION 16(A) REPORTS</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 xml:space="preserve">Section 16(a) of the Exchange Act requires directors, executive officers and persons who beneficially own more than 10% of a registered class of our equity securities to file with the SEC and Nasdaq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107"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69"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2540" w:type="dxa"/>
            <w:vAlign w:val="bottom"/>
            <w:tcBorders>
              <w:left w:val="single" w:sz="8" w:color="434F69"/>
              <w:right w:val="single" w:sz="8" w:color="434F69"/>
            </w:tcBorders>
            <w:shd w:val="clear" w:color="auto" w:fill="434F69"/>
          </w:tcPr>
          <w:p>
            <w:pPr>
              <w:spacing w:after="0"/>
              <w:rPr>
                <w:sz w:val="16"/>
                <w:szCs w:val="16"/>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3"/>
              </w:rPr>
              <w:t>Age</w:t>
            </w:r>
          </w:p>
        </w:tc>
        <w:tc>
          <w:tcPr>
            <w:tcW w:w="4520" w:type="dxa"/>
            <w:vAlign w:val="bottom"/>
            <w:tcBorders>
              <w:right w:val="single" w:sz="8" w:color="434F69"/>
            </w:tcBorders>
            <w:shd w:val="clear" w:color="auto" w:fill="434F69"/>
          </w:tcPr>
          <w:p>
            <w:pPr>
              <w:spacing w:after="0"/>
              <w:rPr>
                <w:sz w:val="16"/>
                <w:szCs w:val="16"/>
                <w:color w:val="auto"/>
              </w:rPr>
            </w:pPr>
          </w:p>
        </w:tc>
      </w:tr>
      <w:tr>
        <w:trPr>
          <w:trHeight w:val="192"/>
        </w:trPr>
        <w:tc>
          <w:tcPr>
            <w:tcW w:w="254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1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(as of 3/26/21)</w:t>
            </w:r>
          </w:p>
        </w:tc>
        <w:tc>
          <w:tcPr>
            <w:tcW w:w="4520" w:type="dxa"/>
            <w:vAlign w:val="bottom"/>
            <w:tcBorders>
              <w:bottom w:val="single" w:sz="8" w:color="434F69"/>
              <w:right w:val="single" w:sz="8" w:color="434F69"/>
            </w:tcBorders>
            <w:shd w:val="clear" w:color="auto" w:fill="434F69"/>
          </w:tcPr>
          <w:p>
            <w:pPr>
              <w:ind w:left="2040"/>
              <w:spacing w:after="0"/>
              <w:rPr>
                <w:sz w:val="20"/>
                <w:szCs w:val="20"/>
                <w:color w:val="auto"/>
              </w:rPr>
            </w:pPr>
            <w:r>
              <w:rPr>
                <w:rFonts w:ascii="Arial" w:cs="Arial" w:eastAsia="Arial" w:hAnsi="Arial"/>
                <w:sz w:val="14"/>
                <w:szCs w:val="14"/>
                <w:b w:val="1"/>
                <w:bCs w:val="1"/>
                <w:color w:val="FFFFFF"/>
              </w:rPr>
              <w:t>Position</w:t>
            </w:r>
          </w:p>
        </w:tc>
      </w:tr>
      <w:tr>
        <w:trPr>
          <w:trHeight w:val="250"/>
        </w:trPr>
        <w:tc>
          <w:tcPr>
            <w:tcW w:w="2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1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89"/>
              </w:rPr>
              <w:t>60</w:t>
            </w:r>
          </w:p>
        </w:tc>
        <w:tc>
          <w:tcPr>
            <w:tcW w:w="452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Chairman of the Board and Chief Executive Officer</w:t>
            </w:r>
          </w:p>
        </w:tc>
      </w:tr>
      <w:tr>
        <w:trPr>
          <w:trHeight w:val="25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116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63</w:t>
            </w:r>
          </w:p>
        </w:tc>
        <w:tc>
          <w:tcPr>
            <w:tcW w:w="452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rPr>
              <w:t>President and Director</w:t>
            </w:r>
          </w:p>
        </w:tc>
      </w:tr>
      <w:tr>
        <w:trPr>
          <w:trHeight w:val="250"/>
        </w:trPr>
        <w:tc>
          <w:tcPr>
            <w:tcW w:w="2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1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89"/>
              </w:rPr>
              <w:t>57</w:t>
            </w:r>
          </w:p>
        </w:tc>
        <w:tc>
          <w:tcPr>
            <w:tcW w:w="452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K. McGee</w:t>
            </w:r>
          </w:p>
        </w:tc>
        <w:tc>
          <w:tcPr>
            <w:tcW w:w="116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60</w:t>
            </w:r>
          </w:p>
        </w:tc>
        <w:tc>
          <w:tcPr>
            <w:tcW w:w="452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w w:val="94"/>
              </w:rPr>
              <w:t>Executive Vice President, General Counsel and Secretary</w:t>
            </w:r>
          </w:p>
        </w:tc>
      </w:tr>
      <w:tr>
        <w:trPr>
          <w:trHeight w:val="250"/>
        </w:trPr>
        <w:tc>
          <w:tcPr>
            <w:tcW w:w="2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R. Chandler</w:t>
            </w:r>
          </w:p>
        </w:tc>
        <w:tc>
          <w:tcPr>
            <w:tcW w:w="11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89"/>
              </w:rPr>
              <w:t>49</w:t>
            </w:r>
          </w:p>
        </w:tc>
        <w:tc>
          <w:tcPr>
            <w:tcW w:w="452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Executive Vice President and Chief Operating Officer</w:t>
            </w:r>
          </w:p>
        </w:tc>
      </w:tr>
      <w:tr>
        <w:trPr>
          <w:trHeight w:val="250"/>
        </w:trPr>
        <w:tc>
          <w:tcPr>
            <w:tcW w:w="25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L. Goebel</w:t>
            </w:r>
          </w:p>
        </w:tc>
        <w:tc>
          <w:tcPr>
            <w:tcW w:w="116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43</w:t>
            </w:r>
          </w:p>
        </w:tc>
        <w:tc>
          <w:tcPr>
            <w:tcW w:w="452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w w:val="99"/>
              </w:rPr>
              <w:t>Executive Vice President and Chief Commercial Officer</w:t>
            </w:r>
          </w:p>
        </w:tc>
      </w:tr>
      <w:tr>
        <w:trPr>
          <w:trHeight w:val="250"/>
        </w:trPr>
        <w:tc>
          <w:tcPr>
            <w:tcW w:w="254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Herbold</w:t>
            </w:r>
          </w:p>
        </w:tc>
        <w:tc>
          <w:tcPr>
            <w:tcW w:w="116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89"/>
              </w:rPr>
              <w:t>48</w:t>
            </w:r>
          </w:p>
        </w:tc>
        <w:tc>
          <w:tcPr>
            <w:tcW w:w="452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Senior Vice President and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759" w:hanging="360"/>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Biographical information for Messrs. Chiang and Pefanis is located under Proposal 1 — Election of Class III Directors.</w:t>
      </w:r>
    </w:p>
    <w:p>
      <w:pPr>
        <w:spacing w:after="0" w:line="103" w:lineRule="exact"/>
        <w:rPr>
          <w:sz w:val="20"/>
          <w:szCs w:val="20"/>
          <w:color w:val="auto"/>
        </w:rPr>
      </w:pPr>
    </w:p>
    <w:p>
      <w:pPr>
        <w:ind w:left="1260" w:right="939" w:firstLine="360"/>
        <w:spacing w:after="0" w:line="253" w:lineRule="auto"/>
        <w:rPr>
          <w:sz w:val="20"/>
          <w:szCs w:val="20"/>
          <w:color w:val="auto"/>
        </w:rPr>
      </w:pPr>
      <w:r>
        <w:rPr>
          <w:rFonts w:ascii="Arial" w:cs="Arial" w:eastAsia="Arial" w:hAnsi="Arial"/>
          <w:sz w:val="17"/>
          <w:szCs w:val="17"/>
          <w:i w:val="1"/>
          <w:iCs w:val="1"/>
          <w:color w:val="auto"/>
        </w:rPr>
        <w:t xml:space="preserve">Al Swanson </w:t>
      </w:r>
      <w:r>
        <w:rPr>
          <w:rFonts w:ascii="Arial" w:cs="Arial" w:eastAsia="Arial" w:hAnsi="Arial"/>
          <w:sz w:val="17"/>
          <w:szCs w:val="17"/>
          <w:color w:val="auto"/>
        </w:rPr>
        <w:t>has served as Executive Vice President and Chief Financial Officer of GP LLC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2011. He previously served as Senior Vice President and Chief Financial Officer from November 2008 through February 2011, as Senior Vice President — Finance from August 2008 until November 2008 and as Senior Vice President — Finance and Treasurer from August 2007 until</w:t>
      </w:r>
    </w:p>
    <w:p>
      <w:pPr>
        <w:spacing w:after="0" w:line="2"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August 2008. He served as Vice President — 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 — SOCO Offshore, Inc. from 1997, and Accounting Manager from 1992. Mr. Swanson began his career with Apache Corporation in 1986 serving in internal audit and accounting. Mr. Swanson also serves as Executive Vice President and Chief Financial Officer of PAGP GP.</w:t>
      </w:r>
    </w:p>
    <w:p>
      <w:pPr>
        <w:spacing w:after="0" w:line="102"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i w:val="1"/>
          <w:iCs w:val="1"/>
          <w:color w:val="auto"/>
        </w:rPr>
        <w:t xml:space="preserve">Richard K. McGee </w:t>
      </w:r>
      <w:r>
        <w:rPr>
          <w:rFonts w:ascii="Arial" w:cs="Arial" w:eastAsia="Arial" w:hAnsi="Arial"/>
          <w:sz w:val="17"/>
          <w:szCs w:val="17"/>
          <w:color w:val="auto"/>
        </w:rPr>
        <w:t>has served as Executive Vice President, General Counsel and Secretary of GP LLC</w:t>
      </w:r>
      <w:r>
        <w:rPr>
          <w:rFonts w:ascii="Arial" w:cs="Arial" w:eastAsia="Arial" w:hAnsi="Arial"/>
          <w:sz w:val="17"/>
          <w:szCs w:val="17"/>
          <w:i w:val="1"/>
          <w:iCs w:val="1"/>
          <w:color w:val="auto"/>
        </w:rPr>
        <w:t xml:space="preserve"> </w:t>
      </w:r>
      <w:r>
        <w:rPr>
          <w:rFonts w:ascii="Arial" w:cs="Arial" w:eastAsia="Arial" w:hAnsi="Arial"/>
          <w:sz w:val="17"/>
          <w:szCs w:val="17"/>
          <w:color w:val="auto"/>
        </w:rPr>
        <w:t>since February 2013. He served as Vice President, General Counsel and Secretary from 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1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2019. He served as Senior Vice President — Strategic Planning and Acquisitions since joining Plains in May 2018 until March 2019. Mr. Chandler has more than 25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pacing w:after="0" w:line="123"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i w:val="1"/>
          <w:iCs w:val="1"/>
          <w:color w:val="auto"/>
        </w:rPr>
        <w:t xml:space="preserve">Jeremy L. Goebel </w:t>
      </w:r>
      <w:r>
        <w:rPr>
          <w:rFonts w:ascii="Arial" w:cs="Arial" w:eastAsia="Arial" w:hAnsi="Arial"/>
          <w:sz w:val="17"/>
          <w:szCs w:val="17"/>
          <w:color w:val="auto"/>
        </w:rPr>
        <w:t>has served as Executive Vice President and Chief Commercial Officer since March 1,</w:t>
      </w:r>
      <w:r>
        <w:rPr>
          <w:rFonts w:ascii="Arial" w:cs="Arial" w:eastAsia="Arial" w:hAnsi="Arial"/>
          <w:sz w:val="17"/>
          <w:szCs w:val="17"/>
          <w:i w:val="1"/>
          <w:iCs w:val="1"/>
          <w:color w:val="auto"/>
        </w:rPr>
        <w:t xml:space="preserve"> </w:t>
      </w:r>
      <w:r>
        <w:rPr>
          <w:rFonts w:ascii="Arial" w:cs="Arial" w:eastAsia="Arial" w:hAnsi="Arial"/>
          <w:sz w:val="17"/>
          <w:szCs w:val="17"/>
          <w:color w:val="auto"/>
        </w:rPr>
        <w:t>2021. He previously served as Executive Vice President — Commercial of GP LLC from March 2019 until March 2021, as Senior Group Vice President — Commercial from May 2018 to March 2019, as Senior Vice President — Acquisitions and Strategic Planning from April 2017 until May 2018, as Vice</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5" w:lineRule="auto"/>
        <w:rPr>
          <w:sz w:val="20"/>
          <w:szCs w:val="20"/>
          <w:color w:val="auto"/>
        </w:rPr>
      </w:pPr>
      <w:r>
        <w:rPr>
          <w:rFonts w:ascii="Arial" w:cs="Arial" w:eastAsia="Arial" w:hAnsi="Arial"/>
          <w:sz w:val="17"/>
          <w:szCs w:val="17"/>
          <w:color w:val="auto"/>
        </w:rPr>
        <w:t>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20 years of energy and investment banking experience. Mr. Goebel also serves as Executive Vice President and Chief Commercial Officer of PAGP GP.</w:t>
      </w:r>
    </w:p>
    <w:p>
      <w:pPr>
        <w:spacing w:after="0" w:line="95" w:lineRule="exact"/>
        <w:rPr>
          <w:sz w:val="20"/>
          <w:szCs w:val="20"/>
          <w:color w:val="auto"/>
        </w:rPr>
      </w:pPr>
    </w:p>
    <w:p>
      <w:pPr>
        <w:ind w:left="1260" w:right="599" w:firstLine="360"/>
        <w:spacing w:after="0" w:line="268" w:lineRule="auto"/>
        <w:rPr>
          <w:sz w:val="20"/>
          <w:szCs w:val="20"/>
          <w:color w:val="auto"/>
        </w:rPr>
      </w:pPr>
      <w:r>
        <w:rPr>
          <w:rFonts w:ascii="Arial" w:cs="Arial" w:eastAsia="Arial" w:hAnsi="Arial"/>
          <w:sz w:val="17"/>
          <w:szCs w:val="17"/>
          <w:i w:val="1"/>
          <w:iCs w:val="1"/>
          <w:color w:val="auto"/>
        </w:rPr>
        <w:t xml:space="preserve">Chris Herbold </w:t>
      </w:r>
      <w:r>
        <w:rPr>
          <w:rFonts w:ascii="Arial" w:cs="Arial" w:eastAsia="Arial" w:hAnsi="Arial"/>
          <w:sz w:val="17"/>
          <w:szCs w:val="17"/>
          <w:color w:val="auto"/>
        </w:rPr>
        <w:t>has served as Senior Vice President and Chief Accounting Officer of GP LLC since</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2018. He served as Vice President — Accounting and Chief Accounting Officer from August 2010 until August 2018.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Herbold also serves as Senior Vice President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John T. Raymond,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Christopher M. Temple</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2" w:lineRule="exact"/>
        <w:rPr>
          <w:sz w:val="20"/>
          <w:szCs w:val="20"/>
          <w:color w:val="auto"/>
        </w:rPr>
      </w:pPr>
    </w:p>
    <w:p>
      <w:pPr>
        <w:jc w:val="both"/>
        <w:ind w:left="1260" w:right="819" w:firstLine="360"/>
        <w:spacing w:after="0" w:line="263" w:lineRule="auto"/>
        <w:rPr>
          <w:sz w:val="20"/>
          <w:szCs w:val="20"/>
          <w:color w:val="auto"/>
        </w:rPr>
      </w:pPr>
      <w:r>
        <w:rPr>
          <w:rFonts w:ascii="Arial" w:cs="Arial" w:eastAsia="Arial" w:hAnsi="Arial"/>
          <w:sz w:val="18"/>
          <w:szCs w:val="18"/>
          <w:color w:val="auto"/>
        </w:rPr>
        <w:t>For 2020, our Named Executive Officers (sometimes referred to as “NEOs”) include our CEO, our President, our CFO, and the three most highly compensated executive officers (other than our CEO and CFO). Our Named Executive Officers for 2020 include the following individuals:</w:t>
      </w:r>
    </w:p>
    <w:p>
      <w:pPr>
        <w:spacing w:after="0" w:line="89"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Willie Chiang</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Harry Pefanis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 Swanson</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Richard McGee</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Chris Chandler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Jeremy Goebel</w:t>
      </w:r>
    </w:p>
    <w:p>
      <w:pPr>
        <w:spacing w:after="0" w:line="158" w:lineRule="exact"/>
        <w:rPr>
          <w:sz w:val="20"/>
          <w:szCs w:val="20"/>
          <w:color w:val="auto"/>
        </w:rPr>
      </w:pPr>
    </w:p>
    <w:p>
      <w:pPr>
        <w:jc w:val="both"/>
        <w:ind w:left="1260" w:right="539"/>
        <w:spacing w:after="0" w:line="259" w:lineRule="auto"/>
        <w:rPr>
          <w:sz w:val="20"/>
          <w:szCs w:val="20"/>
          <w:color w:val="auto"/>
        </w:rPr>
      </w:pPr>
      <w:r>
        <w:rPr>
          <w:rFonts w:ascii="Arial" w:cs="Arial" w:eastAsia="Arial" w:hAnsi="Arial"/>
          <w:sz w:val="18"/>
          <w:szCs w:val="18"/>
          <w:color w:val="auto"/>
        </w:rPr>
        <w:t>Mr. Pefanis is a co-founder and substantial equity owner and for the last several years has requested to not participate in the long-term incentive program. As a result, Mr. Pefanis is not one of the three most highly compensated executive officers, but is included as a Named Executive Officer given the significance of his role (President and Chief Commercial Officer during 2020).</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Compensation General Philosophy and Approach</w:t>
      </w:r>
    </w:p>
    <w:p>
      <w:pPr>
        <w:spacing w:after="0" w:line="144"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 holders and at the same time allows us to attract, motivate and retain key executives while maintaining a lower level of base overhead in the event operating and financial performance fails to meet expectations. The table below highlights some of the key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653415</wp:posOffset>
            </wp:positionV>
            <wp:extent cx="12344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20" w:right="639" w:hanging="360"/>
        <w:spacing w:after="0" w:line="255"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Named Executive Officers are employed by GP LLC and spend the substantial majority of their time managing the business of PAA, which benefits us as PAA’s performance will determine our success. We do not have operations that are separate from PAA and we do not separately compensate our Named Executive Officers for any services provided to us. As a result, this CD&amp;A describes the compensation of our Named Executive Officers as it relates to their services performed on behalf of PAA.</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520065</wp:posOffset>
            </wp:positionV>
            <wp:extent cx="5212080" cy="6978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697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1879"/>
        <w:spacing w:after="0"/>
        <w:tabs>
          <w:tab w:leader="none" w:pos="1120" w:val="left"/>
        </w:tabs>
        <w:rPr>
          <w:sz w:val="20"/>
          <w:szCs w:val="20"/>
          <w:color w:val="auto"/>
        </w:rPr>
      </w:pPr>
      <w:r>
        <w:rPr>
          <w:rFonts w:ascii="Arial" w:cs="Arial" w:eastAsia="Arial" w:hAnsi="Arial"/>
          <w:sz w:val="14"/>
          <w:szCs w:val="14"/>
          <w:b w:val="1"/>
          <w:bCs w:val="1"/>
          <w:color w:val="FFFFFF"/>
        </w:rPr>
        <w:t>What We Do</w:t>
      </w:r>
      <w:r>
        <w:rPr>
          <w:sz w:val="20"/>
          <w:szCs w:val="20"/>
          <w:color w:val="auto"/>
        </w:rPr>
        <w:tab/>
      </w:r>
      <w:r>
        <w:rPr>
          <w:rFonts w:ascii="Arial" w:cs="Arial" w:eastAsia="Arial" w:hAnsi="Arial"/>
          <w:sz w:val="13"/>
          <w:szCs w:val="13"/>
          <w:b w:val="1"/>
          <w:bCs w:val="1"/>
          <w:color w:val="FFFFFF"/>
        </w:rPr>
        <w:t>What We Don’t Do</w:t>
      </w:r>
    </w:p>
    <w:p>
      <w:pPr>
        <w:sectPr>
          <w:pgSz w:w="11900" w:h="16838" w:orient="portrait"/>
          <w:cols w:equalWidth="0" w:num="1">
            <w:col w:w="9879"/>
          </w:cols>
          <w:pgMar w:left="580" w:top="131" w:right="1440" w:bottom="1440" w:gutter="0" w:footer="0" w:header="0"/>
        </w:sectPr>
      </w:pPr>
    </w:p>
    <w:p>
      <w:pPr>
        <w:spacing w:after="0" w:line="50" w:lineRule="exact"/>
        <w:rPr>
          <w:sz w:val="20"/>
          <w:szCs w:val="20"/>
          <w:color w:val="auto"/>
        </w:rPr>
      </w:pPr>
    </w:p>
    <w:p>
      <w:pPr>
        <w:ind w:left="1680" w:hanging="366"/>
        <w:spacing w:after="0"/>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We emphasize pay for performance</w:t>
      </w:r>
    </w:p>
    <w:p>
      <w:pPr>
        <w:spacing w:after="0" w:line="130" w:lineRule="exact"/>
        <w:rPr>
          <w:rFonts w:ascii="MS PGothic" w:cs="MS PGothic" w:eastAsia="MS PGothic" w:hAnsi="MS PGothic"/>
          <w:sz w:val="18"/>
          <w:szCs w:val="18"/>
          <w:color w:val="auto"/>
        </w:rPr>
      </w:pPr>
    </w:p>
    <w:p>
      <w:pPr>
        <w:ind w:left="1680" w:right="20" w:hanging="366"/>
        <w:spacing w:after="0" w:line="342" w:lineRule="auto"/>
        <w:tabs>
          <w:tab w:leader="none" w:pos="1680" w:val="left"/>
        </w:tabs>
        <w:numPr>
          <w:ilvl w:val="0"/>
          <w:numId w:val="36"/>
        </w:numPr>
        <w:rPr>
          <w:rFonts w:ascii="MS PGothic" w:cs="MS PGothic" w:eastAsia="MS PGothic" w:hAnsi="MS PGothic"/>
          <w:sz w:val="16"/>
          <w:szCs w:val="16"/>
          <w:color w:val="auto"/>
        </w:rPr>
      </w:pPr>
      <w:r>
        <w:rPr>
          <w:rFonts w:ascii="Arial" w:cs="Arial" w:eastAsia="Arial" w:hAnsi="Arial"/>
          <w:sz w:val="16"/>
          <w:szCs w:val="16"/>
          <w:color w:val="auto"/>
        </w:rPr>
        <w:t>We pay lower base salaries vs. median of peers to emphasize variable, at-risk compensation</w:t>
      </w:r>
    </w:p>
    <w:p>
      <w:pPr>
        <w:spacing w:after="0" w:line="42" w:lineRule="exact"/>
        <w:rPr>
          <w:rFonts w:ascii="MS PGothic" w:cs="MS PGothic" w:eastAsia="MS PGothic" w:hAnsi="MS PGothic"/>
          <w:sz w:val="16"/>
          <w:szCs w:val="16"/>
          <w:color w:val="auto"/>
        </w:rPr>
      </w:pPr>
    </w:p>
    <w:p>
      <w:pPr>
        <w:ind w:left="1680" w:right="220" w:hanging="366"/>
        <w:spacing w:after="0" w:line="277"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A significant portion (over 80% at target) of our executive compensation is at risk</w:t>
      </w:r>
    </w:p>
    <w:p>
      <w:pPr>
        <w:spacing w:after="0" w:line="102" w:lineRule="exact"/>
        <w:rPr>
          <w:rFonts w:ascii="MS PGothic" w:cs="MS PGothic" w:eastAsia="MS PGothic" w:hAnsi="MS PGothic"/>
          <w:sz w:val="18"/>
          <w:szCs w:val="18"/>
          <w:color w:val="auto"/>
        </w:rPr>
      </w:pPr>
    </w:p>
    <w:p>
      <w:pPr>
        <w:ind w:left="1680" w:right="360"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Our annual bonus program is 100% performance based with payout based on a formulaic framework</w:t>
      </w:r>
    </w:p>
    <w:p>
      <w:pPr>
        <w:spacing w:after="0" w:line="116" w:lineRule="exact"/>
        <w:rPr>
          <w:rFonts w:ascii="MS PGothic" w:cs="MS PGothic" w:eastAsia="MS PGothic" w:hAnsi="MS PGothic"/>
          <w:sz w:val="18"/>
          <w:szCs w:val="18"/>
          <w:color w:val="auto"/>
        </w:rPr>
      </w:pPr>
    </w:p>
    <w:p>
      <w:pPr>
        <w:ind w:left="1680" w:right="300" w:hanging="366"/>
        <w:spacing w:after="0" w:line="286" w:lineRule="auto"/>
        <w:tabs>
          <w:tab w:leader="none" w:pos="1680" w:val="left"/>
        </w:tabs>
        <w:numPr>
          <w:ilvl w:val="0"/>
          <w:numId w:val="36"/>
        </w:numPr>
        <w:rPr>
          <w:rFonts w:ascii="MS PGothic" w:cs="MS PGothic" w:eastAsia="MS PGothic" w:hAnsi="MS PGothic"/>
          <w:sz w:val="17"/>
          <w:szCs w:val="17"/>
          <w:color w:val="auto"/>
        </w:rPr>
      </w:pPr>
      <w:r>
        <w:rPr>
          <w:rFonts w:ascii="Arial" w:cs="Arial" w:eastAsia="Arial" w:hAnsi="Arial"/>
          <w:sz w:val="17"/>
          <w:szCs w:val="17"/>
          <w:color w:val="auto"/>
        </w:rPr>
        <w:t>Our short-term and long-term incentive compensation programs utilize quantitative and objective performance metrics</w:t>
      </w:r>
    </w:p>
    <w:p>
      <w:pPr>
        <w:spacing w:after="0" w:line="84" w:lineRule="exact"/>
        <w:rPr>
          <w:rFonts w:ascii="MS PGothic" w:cs="MS PGothic" w:eastAsia="MS PGothic" w:hAnsi="MS PGothic"/>
          <w:sz w:val="17"/>
          <w:szCs w:val="17"/>
          <w:color w:val="auto"/>
        </w:rPr>
      </w:pPr>
    </w:p>
    <w:p>
      <w:pPr>
        <w:ind w:left="1680" w:right="160"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We deliver balanced long-term equity incentives (50% performance based and 50% time based)</w:t>
      </w:r>
    </w:p>
    <w:p>
      <w:pPr>
        <w:spacing w:after="0" w:line="116" w:lineRule="exact"/>
        <w:rPr>
          <w:rFonts w:ascii="MS PGothic" w:cs="MS PGothic" w:eastAsia="MS PGothic" w:hAnsi="MS PGothic"/>
          <w:sz w:val="18"/>
          <w:szCs w:val="18"/>
          <w:color w:val="auto"/>
        </w:rPr>
      </w:pPr>
    </w:p>
    <w:p>
      <w:pPr>
        <w:ind w:left="1680" w:right="240"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The performance-based portion of our long-term incentive awards require performance over a multi-year period</w:t>
      </w:r>
    </w:p>
    <w:p>
      <w:pPr>
        <w:spacing w:after="0" w:line="116" w:lineRule="exact"/>
        <w:rPr>
          <w:rFonts w:ascii="MS PGothic" w:cs="MS PGothic" w:eastAsia="MS PGothic" w:hAnsi="MS PGothic"/>
          <w:sz w:val="18"/>
          <w:szCs w:val="18"/>
          <w:color w:val="auto"/>
        </w:rPr>
      </w:pPr>
    </w:p>
    <w:p>
      <w:pPr>
        <w:ind w:left="1680" w:right="100"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The change in control protections in our long-term incentive plan grants include a “double trigger” requirement</w:t>
      </w:r>
    </w:p>
    <w:p>
      <w:pPr>
        <w:spacing w:after="0" w:line="102" w:lineRule="exact"/>
        <w:rPr>
          <w:rFonts w:ascii="MS PGothic" w:cs="MS PGothic" w:eastAsia="MS PGothic" w:hAnsi="MS PGothic"/>
          <w:sz w:val="18"/>
          <w:szCs w:val="18"/>
          <w:color w:val="auto"/>
        </w:rPr>
      </w:pPr>
    </w:p>
    <w:p>
      <w:pPr>
        <w:ind w:left="1680" w:right="180"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The structure and terms of our incentive compensation mitigate against excessive risk taking</w:t>
      </w:r>
    </w:p>
    <w:p>
      <w:pPr>
        <w:spacing w:after="0" w:line="116" w:lineRule="exact"/>
        <w:rPr>
          <w:rFonts w:ascii="MS PGothic" w:cs="MS PGothic" w:eastAsia="MS PGothic" w:hAnsi="MS PGothic"/>
          <w:sz w:val="18"/>
          <w:szCs w:val="18"/>
          <w:color w:val="auto"/>
        </w:rPr>
      </w:pPr>
    </w:p>
    <w:p>
      <w:pPr>
        <w:ind w:left="1680" w:right="460" w:hanging="366"/>
        <w:spacing w:after="0" w:line="342" w:lineRule="auto"/>
        <w:tabs>
          <w:tab w:leader="none" w:pos="1680" w:val="left"/>
        </w:tabs>
        <w:numPr>
          <w:ilvl w:val="0"/>
          <w:numId w:val="36"/>
        </w:numPr>
        <w:rPr>
          <w:rFonts w:ascii="MS PGothic" w:cs="MS PGothic" w:eastAsia="MS PGothic" w:hAnsi="MS PGothic"/>
          <w:sz w:val="16"/>
          <w:szCs w:val="16"/>
          <w:color w:val="auto"/>
        </w:rPr>
      </w:pPr>
      <w:r>
        <w:rPr>
          <w:rFonts w:ascii="Arial" w:cs="Arial" w:eastAsia="Arial" w:hAnsi="Arial"/>
          <w:sz w:val="16"/>
          <w:szCs w:val="16"/>
          <w:color w:val="auto"/>
        </w:rPr>
        <w:t>Our compensation committee engages an independent compensation consultant</w:t>
      </w:r>
    </w:p>
    <w:p>
      <w:pPr>
        <w:spacing w:after="0" w:line="56" w:lineRule="exact"/>
        <w:rPr>
          <w:rFonts w:ascii="MS PGothic" w:cs="MS PGothic" w:eastAsia="MS PGothic" w:hAnsi="MS PGothic"/>
          <w:sz w:val="16"/>
          <w:szCs w:val="16"/>
          <w:color w:val="auto"/>
        </w:rPr>
      </w:pPr>
    </w:p>
    <w:p>
      <w:pPr>
        <w:ind w:left="1680" w:right="20"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We engage with our investors and other stakeholders to get their input on our executive compensation program</w:t>
      </w:r>
    </w:p>
    <w:p>
      <w:pPr>
        <w:spacing w:after="0" w:line="102" w:lineRule="exact"/>
        <w:rPr>
          <w:rFonts w:ascii="MS PGothic" w:cs="MS PGothic" w:eastAsia="MS PGothic" w:hAnsi="MS PGothic"/>
          <w:sz w:val="18"/>
          <w:szCs w:val="18"/>
          <w:color w:val="auto"/>
        </w:rPr>
      </w:pPr>
    </w:p>
    <w:p>
      <w:pPr>
        <w:ind w:left="1680" w:right="140" w:hanging="366"/>
        <w:spacing w:after="0" w:line="286" w:lineRule="auto"/>
        <w:tabs>
          <w:tab w:leader="none" w:pos="1680" w:val="left"/>
        </w:tabs>
        <w:numPr>
          <w:ilvl w:val="0"/>
          <w:numId w:val="36"/>
        </w:numPr>
        <w:rPr>
          <w:rFonts w:ascii="MS PGothic" w:cs="MS PGothic" w:eastAsia="MS PGothic" w:hAnsi="MS PGothic"/>
          <w:sz w:val="17"/>
          <w:szCs w:val="17"/>
          <w:color w:val="auto"/>
        </w:rPr>
      </w:pPr>
      <w:r>
        <w:rPr>
          <w:rFonts w:ascii="Arial" w:cs="Arial" w:eastAsia="Arial" w:hAnsi="Arial"/>
          <w:sz w:val="17"/>
          <w:szCs w:val="17"/>
          <w:color w:val="auto"/>
        </w:rPr>
        <w:t>Our compensation committee is composed entirely of independent directors even though not required by Nasdaq listing standards</w:t>
      </w:r>
    </w:p>
    <w:p>
      <w:pPr>
        <w:spacing w:after="0" w:line="97" w:lineRule="exact"/>
        <w:rPr>
          <w:rFonts w:ascii="MS PGothic" w:cs="MS PGothic" w:eastAsia="MS PGothic" w:hAnsi="MS PGothic"/>
          <w:sz w:val="17"/>
          <w:szCs w:val="17"/>
          <w:color w:val="auto"/>
        </w:rPr>
      </w:pPr>
    </w:p>
    <w:p>
      <w:pPr>
        <w:ind w:left="1680" w:hanging="366"/>
        <w:spacing w:after="0" w:line="263"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We have adopted Equity Ownership Guidelines applicable to our executive officers and directors</w:t>
      </w:r>
    </w:p>
    <w:p>
      <w:pPr>
        <w:spacing w:after="0" w:line="116" w:lineRule="exact"/>
        <w:rPr>
          <w:rFonts w:ascii="MS PGothic" w:cs="MS PGothic" w:eastAsia="MS PGothic" w:hAnsi="MS PGothic"/>
          <w:sz w:val="18"/>
          <w:szCs w:val="18"/>
          <w:color w:val="auto"/>
        </w:rPr>
      </w:pPr>
    </w:p>
    <w:p>
      <w:pPr>
        <w:ind w:left="1680" w:right="100" w:hanging="366"/>
        <w:spacing w:after="0" w:line="254" w:lineRule="auto"/>
        <w:tabs>
          <w:tab w:leader="none" w:pos="168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We have adopted a Clawback Policy that allows us to recoup certain compensation in the event of (i) fraud or misconduct that contributes to a material financial restatement or (ii) detrimental conduct that results in significant financial, reputational or other harm to the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No guaranteed bonuses</w:t>
      </w:r>
    </w:p>
    <w:p>
      <w:pPr>
        <w:spacing w:after="0" w:line="101" w:lineRule="exact"/>
        <w:rPr>
          <w:sz w:val="20"/>
          <w:szCs w:val="20"/>
          <w:color w:val="auto"/>
        </w:rPr>
      </w:pPr>
    </w:p>
    <w:p>
      <w:pPr>
        <w:ind w:right="779"/>
        <w:spacing w:after="0" w:line="277" w:lineRule="auto"/>
        <w:rPr>
          <w:sz w:val="20"/>
          <w:szCs w:val="20"/>
          <w:color w:val="auto"/>
        </w:rPr>
      </w:pPr>
      <w:r>
        <w:rPr>
          <w:rFonts w:ascii="Arial" w:cs="Arial" w:eastAsia="Arial" w:hAnsi="Arial"/>
          <w:sz w:val="18"/>
          <w:szCs w:val="18"/>
          <w:color w:val="auto"/>
        </w:rPr>
        <w:t>We do not make regular annual increases to base pay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 excise tax gross ups</w:t>
      </w:r>
    </w:p>
    <w:p>
      <w:pPr>
        <w:spacing w:after="0" w:line="104" w:lineRule="exact"/>
        <w:rPr>
          <w:sz w:val="20"/>
          <w:szCs w:val="20"/>
          <w:color w:val="auto"/>
        </w:rPr>
      </w:pPr>
    </w:p>
    <w:p>
      <w:pPr>
        <w:ind w:right="899"/>
        <w:spacing w:after="0" w:line="308" w:lineRule="auto"/>
        <w:rPr>
          <w:sz w:val="20"/>
          <w:szCs w:val="20"/>
          <w:color w:val="auto"/>
        </w:rPr>
      </w:pPr>
      <w:r>
        <w:rPr>
          <w:rFonts w:ascii="Arial" w:cs="Arial" w:eastAsia="Arial" w:hAnsi="Arial"/>
          <w:sz w:val="17"/>
          <w:szCs w:val="17"/>
          <w:color w:val="auto"/>
        </w:rPr>
        <w:t>Directors and officers are prohibited from hedging or pledging company securities</w:t>
      </w:r>
    </w:p>
    <w:p>
      <w:pPr>
        <w:spacing w:after="0" w:line="52" w:lineRule="exact"/>
        <w:rPr>
          <w:sz w:val="20"/>
          <w:szCs w:val="20"/>
          <w:color w:val="auto"/>
        </w:rPr>
      </w:pPr>
    </w:p>
    <w:p>
      <w:pPr>
        <w:ind w:right="1079"/>
        <w:spacing w:after="0" w:line="277" w:lineRule="auto"/>
        <w:rPr>
          <w:sz w:val="20"/>
          <w:szCs w:val="20"/>
          <w:color w:val="auto"/>
        </w:rPr>
      </w:pPr>
      <w:r>
        <w:rPr>
          <w:rFonts w:ascii="Arial" w:cs="Arial" w:eastAsia="Arial" w:hAnsi="Arial"/>
          <w:sz w:val="18"/>
          <w:szCs w:val="18"/>
          <w:color w:val="auto"/>
        </w:rPr>
        <w:t>Our equity plan prohibits backdating or repricing of options</w:t>
      </w:r>
    </w:p>
    <w:p>
      <w:pPr>
        <w:spacing w:after="0" w:line="89"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We did not grant any large, out of cycle equity awards in 2020</w:t>
      </w:r>
    </w:p>
    <w:p>
      <w:pPr>
        <w:spacing w:after="0" w:line="76" w:lineRule="exact"/>
        <w:rPr>
          <w:sz w:val="20"/>
          <w:szCs w:val="20"/>
          <w:color w:val="auto"/>
        </w:rPr>
      </w:pPr>
    </w:p>
    <w:p>
      <w:pPr>
        <w:ind w:right="779"/>
        <w:spacing w:after="0" w:line="277" w:lineRule="auto"/>
        <w:rPr>
          <w:sz w:val="20"/>
          <w:szCs w:val="20"/>
          <w:color w:val="auto"/>
        </w:rPr>
      </w:pPr>
      <w:r>
        <w:rPr>
          <w:rFonts w:ascii="Arial" w:cs="Arial" w:eastAsia="Arial" w:hAnsi="Arial"/>
          <w:sz w:val="18"/>
          <w:szCs w:val="18"/>
          <w:color w:val="auto"/>
        </w:rPr>
        <w:t>No significant perquisites for our executive officers</w:t>
      </w:r>
    </w:p>
    <w:p>
      <w:pPr>
        <w:spacing w:after="0" w:line="7600" w:lineRule="exact"/>
        <w:rPr>
          <w:sz w:val="20"/>
          <w:szCs w:val="20"/>
          <w:color w:val="auto"/>
        </w:rPr>
      </w:pPr>
    </w:p>
    <w:p>
      <w:pPr>
        <w:sectPr>
          <w:pgSz w:w="11900" w:h="16838" w:orient="portrait"/>
          <w:cols w:equalWidth="0" w:num="2">
            <w:col w:w="5240" w:space="580"/>
            <w:col w:w="4059"/>
          </w:cols>
          <w:pgMar w:left="580" w:top="131" w:right="1440" w:bottom="1440" w:gutter="0" w:footer="0" w:header="0"/>
          <w:type w:val="continuous"/>
        </w:sectPr>
      </w:pP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Engagement</w:t>
      </w:r>
    </w:p>
    <w:p>
      <w:pPr>
        <w:spacing w:after="0" w:line="158"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Our compensation committee and Board value the opinions of our shareholders and carefully consider the results of “say on pay” votes and direct feedback received from investors, among a variety of other factors, when making future compensation decisions for our Named Executive Officers. Our investor relations team regularly meets with investors and other stakeholders to seek input and feedback on a wide range of</w:t>
      </w:r>
    </w:p>
    <w:p>
      <w:pPr>
        <w:sectPr>
          <w:pgSz w:w="11900" w:h="16838" w:orient="portrait"/>
          <w:cols w:equalWidth="0" w:num="1">
            <w:col w:w="9879"/>
          </w:cols>
          <w:pgMar w:left="580" w:top="131" w:right="1440" w:bottom="1440" w:gutter="0" w:footer="0" w:header="0"/>
          <w:type w:val="continuous"/>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00"/>
        <w:spacing w:after="0" w:line="268" w:lineRule="auto"/>
        <w:rPr>
          <w:sz w:val="20"/>
          <w:szCs w:val="20"/>
          <w:color w:val="auto"/>
        </w:rPr>
      </w:pPr>
      <w:r>
        <w:rPr>
          <w:rFonts w:ascii="Arial" w:cs="Arial" w:eastAsia="Arial" w:hAnsi="Arial"/>
          <w:sz w:val="17"/>
          <w:szCs w:val="17"/>
          <w:color w:val="auto"/>
        </w:rPr>
        <w:t>topics, including executive compensation. In response to the disappointing and negative trend of our recent say on pay results (72% approval in 2019 and 58% approval in 2020), we engaged in an expanded investor outreach and engagement process during 2020 to actively solicit feedback regarding our executive compensation programs and other matters of importance to our investors, including our evolving governance practices and sustainability efforts. In connection with this process, members of our executive and investor relations teams held individual meetings with 17 of our largest investors, representing approximately 40% of our outstanding voting equity. The meetings led to a number of follow-up calls and discussions and were generally well received. The constructive feedback and input we received during these meetings and during prior years was shared and discussed with our compensation committee and Board. As we strive for continuous improvement, receiving and incorporating this investor feedback into our decision making process is critical. The table below summarizes the key feedback we have received from our investors over the past several years and the changes we made to our executive compensation program during 2020 in response to such feedback and related considerations: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280" w:type="dxa"/>
            <w:vAlign w:val="bottom"/>
            <w:tcBorders>
              <w:right w:val="single" w:sz="8" w:color="auto"/>
            </w:tcBorders>
          </w:tcPr>
          <w:p>
            <w:pPr>
              <w:spacing w:after="0"/>
              <w:rPr>
                <w:sz w:val="21"/>
                <w:szCs w:val="21"/>
                <w:color w:val="auto"/>
              </w:rPr>
            </w:pPr>
          </w:p>
        </w:tc>
        <w:tc>
          <w:tcPr>
            <w:tcW w:w="3960" w:type="dxa"/>
            <w:vAlign w:val="bottom"/>
            <w:tcBorders>
              <w:top w:val="single" w:sz="8" w:color="auto"/>
              <w:bottom w:val="single" w:sz="8" w:color="434F69"/>
            </w:tcBorders>
            <w:shd w:val="clear" w:color="auto" w:fill="434F69"/>
          </w:tcPr>
          <w:p>
            <w:pPr>
              <w:ind w:left="1520"/>
              <w:spacing w:after="0"/>
              <w:rPr>
                <w:sz w:val="20"/>
                <w:szCs w:val="20"/>
                <w:color w:val="auto"/>
              </w:rPr>
            </w:pPr>
            <w:r>
              <w:rPr>
                <w:rFonts w:ascii="Arial" w:cs="Arial" w:eastAsia="Arial" w:hAnsi="Arial"/>
                <w:sz w:val="14"/>
                <w:szCs w:val="14"/>
                <w:b w:val="1"/>
                <w:bCs w:val="1"/>
                <w:color w:val="FFFFFF"/>
              </w:rPr>
              <w:t>What We Heard</w:t>
            </w:r>
          </w:p>
        </w:tc>
        <w:tc>
          <w:tcPr>
            <w:tcW w:w="140" w:type="dxa"/>
            <w:vAlign w:val="bottom"/>
            <w:tcBorders>
              <w:top w:val="single" w:sz="8" w:color="auto"/>
              <w:bottom w:val="single" w:sz="8" w:color="434F69"/>
              <w:right w:val="single" w:sz="8" w:color="434F69"/>
            </w:tcBorders>
            <w:shd w:val="clear" w:color="auto" w:fill="434F69"/>
          </w:tcPr>
          <w:p>
            <w:pPr>
              <w:spacing w:after="0"/>
              <w:rPr>
                <w:sz w:val="21"/>
                <w:szCs w:val="21"/>
                <w:color w:val="auto"/>
              </w:rPr>
            </w:pPr>
          </w:p>
        </w:tc>
        <w:tc>
          <w:tcPr>
            <w:tcW w:w="4100" w:type="dxa"/>
            <w:vAlign w:val="bottom"/>
            <w:tcBorders>
              <w:top w:val="single" w:sz="8" w:color="auto"/>
              <w:bottom w:val="single" w:sz="8" w:color="434F69"/>
              <w:right w:val="single" w:sz="8" w:color="auto"/>
            </w:tcBorders>
            <w:shd w:val="clear" w:color="auto" w:fill="434F69"/>
          </w:tcPr>
          <w:p>
            <w:pPr>
              <w:ind w:left="1640"/>
              <w:spacing w:after="0"/>
              <w:rPr>
                <w:sz w:val="20"/>
                <w:szCs w:val="20"/>
                <w:color w:val="auto"/>
              </w:rPr>
            </w:pPr>
            <w:r>
              <w:rPr>
                <w:rFonts w:ascii="Arial" w:cs="Arial" w:eastAsia="Arial" w:hAnsi="Arial"/>
                <w:sz w:val="14"/>
                <w:szCs w:val="14"/>
                <w:b w:val="1"/>
                <w:bCs w:val="1"/>
                <w:color w:val="FFFFFF"/>
              </w:rPr>
              <w:t>What We Did</w:t>
            </w:r>
          </w:p>
        </w:tc>
        <w:tc>
          <w:tcPr>
            <w:tcW w:w="1240" w:type="dxa"/>
            <w:vAlign w:val="bottom"/>
          </w:tcPr>
          <w:p>
            <w:pPr>
              <w:spacing w:after="0"/>
              <w:rPr>
                <w:sz w:val="21"/>
                <w:szCs w:val="21"/>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tcBorders>
              <w:top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w w:val="97"/>
              </w:rPr>
              <w:t>Concern that DCF/CUE metric in equity incentives</w:t>
            </w:r>
          </w:p>
        </w:tc>
        <w:tc>
          <w:tcPr>
            <w:tcW w:w="140" w:type="dxa"/>
            <w:vAlign w:val="bottom"/>
            <w:tcBorders>
              <w:top w:val="single" w:sz="8" w:color="auto"/>
              <w:right w:val="single" w:sz="8" w:color="auto"/>
            </w:tcBorders>
            <w:shd w:val="clear" w:color="auto" w:fill="D9DCE1"/>
          </w:tcPr>
          <w:p>
            <w:pPr>
              <w:spacing w:after="0"/>
              <w:rPr>
                <w:sz w:val="18"/>
                <w:szCs w:val="18"/>
                <w:color w:val="auto"/>
              </w:rPr>
            </w:pPr>
          </w:p>
        </w:tc>
        <w:tc>
          <w:tcPr>
            <w:tcW w:w="4100" w:type="dxa"/>
            <w:vAlign w:val="bottom"/>
            <w:tcBorders>
              <w:top w:val="single" w:sz="8" w:color="auto"/>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We changed the DCF/CUE performance metric in</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w w:val="97"/>
              </w:rPr>
              <w:t>did not require performance throughout three year</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our long-term equity incentive awards granted in</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grant period and allowed too long of a period</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9"/>
              </w:rPr>
              <w:t>2020 to require performance over a full 12-quarter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(4 years) to achieve target</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period vs. any trailing 4-quarter period; and we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shortened the performance period to three years,</w:t>
            </w:r>
          </w:p>
        </w:tc>
        <w:tc>
          <w:tcPr>
            <w:tcW w:w="1240" w:type="dxa"/>
            <w:vAlign w:val="bottom"/>
          </w:tcPr>
          <w:p>
            <w:pPr>
              <w:spacing w:after="0"/>
              <w:rPr>
                <w:sz w:val="18"/>
                <w:szCs w:val="18"/>
                <w:color w:val="auto"/>
              </w:rPr>
            </w:pPr>
          </w:p>
        </w:tc>
      </w:tr>
      <w:tr>
        <w:trPr>
          <w:trHeight w:val="262"/>
        </w:trPr>
        <w:tc>
          <w:tcPr>
            <w:tcW w:w="1280" w:type="dxa"/>
            <w:vAlign w:val="bottom"/>
            <w:tcBorders>
              <w:right w:val="single" w:sz="8" w:color="auto"/>
            </w:tcBorders>
          </w:tcPr>
          <w:p>
            <w:pPr>
              <w:spacing w:after="0"/>
              <w:rPr>
                <w:sz w:val="22"/>
                <w:szCs w:val="22"/>
                <w:color w:val="auto"/>
              </w:rPr>
            </w:pPr>
          </w:p>
        </w:tc>
        <w:tc>
          <w:tcPr>
            <w:tcW w:w="3960" w:type="dxa"/>
            <w:vAlign w:val="bottom"/>
            <w:tcBorders>
              <w:bottom w:val="single" w:sz="8" w:color="D9DCE1"/>
            </w:tcBorders>
            <w:shd w:val="clear" w:color="auto" w:fill="D9DCE1"/>
          </w:tcPr>
          <w:p>
            <w:pPr>
              <w:spacing w:after="0"/>
              <w:rPr>
                <w:sz w:val="22"/>
                <w:szCs w:val="22"/>
                <w:color w:val="auto"/>
              </w:rPr>
            </w:pPr>
          </w:p>
        </w:tc>
        <w:tc>
          <w:tcPr>
            <w:tcW w:w="140" w:type="dxa"/>
            <w:vAlign w:val="bottom"/>
            <w:tcBorders>
              <w:bottom w:val="single" w:sz="8" w:color="D9DCE1"/>
              <w:right w:val="single" w:sz="8" w:color="auto"/>
            </w:tcBorders>
            <w:shd w:val="clear" w:color="auto" w:fill="D9DCE1"/>
          </w:tcPr>
          <w:p>
            <w:pPr>
              <w:spacing w:after="0"/>
              <w:rPr>
                <w:sz w:val="22"/>
                <w:szCs w:val="22"/>
                <w:color w:val="auto"/>
              </w:rPr>
            </w:pPr>
          </w:p>
        </w:tc>
        <w:tc>
          <w:tcPr>
            <w:tcW w:w="4100" w:type="dxa"/>
            <w:vAlign w:val="bottom"/>
            <w:tcBorders>
              <w:bottom w:val="single" w:sz="8" w:color="D9DCE1"/>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eliminating the extra one-year “tail” period.</w:t>
            </w:r>
          </w:p>
        </w:tc>
        <w:tc>
          <w:tcPr>
            <w:tcW w:w="1240" w:type="dxa"/>
            <w:vAlign w:val="bottom"/>
          </w:tcPr>
          <w:p>
            <w:pPr>
              <w:spacing w:after="0"/>
              <w:rPr>
                <w:sz w:val="22"/>
                <w:szCs w:val="2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Concern that DCF/CUE performance metric in</w:t>
            </w:r>
          </w:p>
        </w:tc>
        <w:tc>
          <w:tcPr>
            <w:tcW w:w="140" w:type="dxa"/>
            <w:vAlign w:val="bottom"/>
            <w:tcBorders>
              <w:top w:val="single" w:sz="8" w:color="auto"/>
              <w:right w:val="single" w:sz="8" w:color="auto"/>
            </w:tcBorders>
          </w:tcPr>
          <w:p>
            <w:pPr>
              <w:spacing w:after="0"/>
              <w:rPr>
                <w:sz w:val="18"/>
                <w:szCs w:val="18"/>
                <w:color w:val="auto"/>
              </w:rPr>
            </w:pP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 included a leverage modifier to mitigate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long-term incentive awards could incentivize</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concern. Payout on cumulative three-year DCF/</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w w:val="93"/>
              </w:rPr>
              <w:t>management to inappropriately increase leverage to</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CUE metric is subject to increase or decrease based</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meet targets</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on comparison of leverage ratio at end of three year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measurement period to the target leverage ratio</w:t>
            </w:r>
          </w:p>
        </w:tc>
        <w:tc>
          <w:tcPr>
            <w:tcW w:w="1240" w:type="dxa"/>
            <w:vAlign w:val="bottom"/>
          </w:tcPr>
          <w:p>
            <w:pPr>
              <w:spacing w:after="0"/>
              <w:rPr>
                <w:sz w:val="18"/>
                <w:szCs w:val="18"/>
                <w:color w:val="auto"/>
              </w:rPr>
            </w:pPr>
          </w:p>
        </w:tc>
      </w:tr>
      <w:tr>
        <w:trPr>
          <w:trHeight w:val="230"/>
        </w:trPr>
        <w:tc>
          <w:tcPr>
            <w:tcW w:w="1280" w:type="dxa"/>
            <w:vAlign w:val="bottom"/>
            <w:tcBorders>
              <w:right w:val="single" w:sz="8" w:color="auto"/>
            </w:tcBorders>
          </w:tcPr>
          <w:p>
            <w:pPr>
              <w:spacing w:after="0"/>
              <w:rPr>
                <w:sz w:val="20"/>
                <w:szCs w:val="20"/>
                <w:color w:val="auto"/>
              </w:rPr>
            </w:pPr>
          </w:p>
        </w:tc>
        <w:tc>
          <w:tcPr>
            <w:tcW w:w="39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established at time of grant.</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w w:val="98"/>
              </w:rPr>
              <w:t>Investor desire for use of a relative, returns-based</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8"/>
              </w:rPr>
              <w:t>We added a relative total shareholder return metric</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w w:val="96"/>
              </w:rPr>
              <w:t>performance metric in our equity incentive program</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with an absolute TSR modifier to our long-term</w:t>
            </w:r>
          </w:p>
        </w:tc>
        <w:tc>
          <w:tcPr>
            <w:tcW w:w="1240" w:type="dxa"/>
            <w:vAlign w:val="bottom"/>
          </w:tcPr>
          <w:p>
            <w:pPr>
              <w:spacing w:after="0"/>
              <w:rPr>
                <w:sz w:val="18"/>
                <w:szCs w:val="18"/>
                <w:color w:val="auto"/>
              </w:rPr>
            </w:pPr>
          </w:p>
        </w:tc>
      </w:tr>
      <w:tr>
        <w:trPr>
          <w:trHeight w:val="262"/>
        </w:trPr>
        <w:tc>
          <w:tcPr>
            <w:tcW w:w="1280" w:type="dxa"/>
            <w:vAlign w:val="bottom"/>
            <w:tcBorders>
              <w:right w:val="single" w:sz="8" w:color="auto"/>
            </w:tcBorders>
          </w:tcPr>
          <w:p>
            <w:pPr>
              <w:spacing w:after="0"/>
              <w:rPr>
                <w:sz w:val="22"/>
                <w:szCs w:val="22"/>
                <w:color w:val="auto"/>
              </w:rPr>
            </w:pPr>
          </w:p>
        </w:tc>
        <w:tc>
          <w:tcPr>
            <w:tcW w:w="3960" w:type="dxa"/>
            <w:vAlign w:val="bottom"/>
            <w:tcBorders>
              <w:bottom w:val="single" w:sz="8" w:color="D9DCE1"/>
            </w:tcBorders>
            <w:shd w:val="clear" w:color="auto" w:fill="D9DCE1"/>
          </w:tcPr>
          <w:p>
            <w:pPr>
              <w:spacing w:after="0"/>
              <w:rPr>
                <w:sz w:val="22"/>
                <w:szCs w:val="22"/>
                <w:color w:val="auto"/>
              </w:rPr>
            </w:pPr>
          </w:p>
        </w:tc>
        <w:tc>
          <w:tcPr>
            <w:tcW w:w="140" w:type="dxa"/>
            <w:vAlign w:val="bottom"/>
            <w:tcBorders>
              <w:bottom w:val="single" w:sz="8" w:color="D9DCE1"/>
              <w:right w:val="single" w:sz="8" w:color="auto"/>
            </w:tcBorders>
            <w:shd w:val="clear" w:color="auto" w:fill="D9DCE1"/>
          </w:tcPr>
          <w:p>
            <w:pPr>
              <w:spacing w:after="0"/>
              <w:rPr>
                <w:sz w:val="22"/>
                <w:szCs w:val="22"/>
                <w:color w:val="auto"/>
              </w:rPr>
            </w:pPr>
          </w:p>
        </w:tc>
        <w:tc>
          <w:tcPr>
            <w:tcW w:w="4100" w:type="dxa"/>
            <w:vAlign w:val="bottom"/>
            <w:tcBorders>
              <w:bottom w:val="single" w:sz="8" w:color="D9DCE1"/>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equity incentive awards granted in 2020.</w:t>
            </w:r>
          </w:p>
        </w:tc>
        <w:tc>
          <w:tcPr>
            <w:tcW w:w="1240" w:type="dxa"/>
            <w:vAlign w:val="bottom"/>
          </w:tcPr>
          <w:p>
            <w:pPr>
              <w:spacing w:after="0"/>
              <w:rPr>
                <w:sz w:val="22"/>
                <w:szCs w:val="2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Investors would like to see more use of ESG</w:t>
            </w:r>
          </w:p>
        </w:tc>
        <w:tc>
          <w:tcPr>
            <w:tcW w:w="140" w:type="dxa"/>
            <w:vAlign w:val="bottom"/>
            <w:tcBorders>
              <w:top w:val="single" w:sz="8" w:color="auto"/>
              <w:right w:val="single" w:sz="8" w:color="auto"/>
            </w:tcBorders>
          </w:tcPr>
          <w:p>
            <w:pPr>
              <w:spacing w:after="0"/>
              <w:rPr>
                <w:sz w:val="18"/>
                <w:szCs w:val="18"/>
                <w:color w:val="auto"/>
              </w:rPr>
            </w:pP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 continue to use safety and environmental</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metrics in our performance-based incentive</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metrics in our annual bonus program and we agreed</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programs</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 consider further direct alignment between our</w:t>
            </w:r>
          </w:p>
        </w:tc>
        <w:tc>
          <w:tcPr>
            <w:tcW w:w="1240" w:type="dxa"/>
            <w:vAlign w:val="bottom"/>
          </w:tcPr>
          <w:p>
            <w:pPr>
              <w:spacing w:after="0"/>
              <w:rPr>
                <w:sz w:val="18"/>
                <w:szCs w:val="18"/>
                <w:color w:val="auto"/>
              </w:rPr>
            </w:pPr>
          </w:p>
        </w:tc>
      </w:tr>
      <w:tr>
        <w:trPr>
          <w:trHeight w:val="230"/>
        </w:trPr>
        <w:tc>
          <w:tcPr>
            <w:tcW w:w="1280" w:type="dxa"/>
            <w:vAlign w:val="bottom"/>
            <w:tcBorders>
              <w:right w:val="single" w:sz="8" w:color="auto"/>
            </w:tcBorders>
          </w:tcPr>
          <w:p>
            <w:pPr>
              <w:spacing w:after="0"/>
              <w:rPr>
                <w:sz w:val="20"/>
                <w:szCs w:val="20"/>
                <w:color w:val="auto"/>
              </w:rPr>
            </w:pPr>
          </w:p>
        </w:tc>
        <w:tc>
          <w:tcPr>
            <w:tcW w:w="39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sustainability strategy and executive compensation.</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Concern regarding significant, out of cycle equity</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The Board and compensation committee have at</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w w:val="96"/>
              </w:rPr>
              <w:t>awards granted to CEO in 2018 (in connection with</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8"/>
              </w:rPr>
              <w:t>times used performance-based long term incentive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w w:val="95"/>
              </w:rPr>
              <w:t>his promotion to the CEO role) and certain NEOs in</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4"/>
              </w:rPr>
              <w:t>and retention awards under special circumstances to</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2019 (long-term retention and incentive for two</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secure and incentivize leadership talent and</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individuals regarded as key to future leadership</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facilitate long-term succession efforts. We do not</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succession)</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routinely grant out of cycle equity awards and we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7"/>
              </w:rPr>
              <w:t>did not grant any special out of cycle equity awards</w:t>
            </w:r>
          </w:p>
        </w:tc>
        <w:tc>
          <w:tcPr>
            <w:tcW w:w="1240" w:type="dxa"/>
            <w:vAlign w:val="bottom"/>
          </w:tcPr>
          <w:p>
            <w:pPr>
              <w:spacing w:after="0"/>
              <w:rPr>
                <w:sz w:val="18"/>
                <w:szCs w:val="18"/>
                <w:color w:val="auto"/>
              </w:rPr>
            </w:pPr>
          </w:p>
        </w:tc>
      </w:tr>
      <w:tr>
        <w:trPr>
          <w:trHeight w:val="262"/>
        </w:trPr>
        <w:tc>
          <w:tcPr>
            <w:tcW w:w="1280" w:type="dxa"/>
            <w:vAlign w:val="bottom"/>
            <w:tcBorders>
              <w:right w:val="single" w:sz="8" w:color="auto"/>
            </w:tcBorders>
          </w:tcPr>
          <w:p>
            <w:pPr>
              <w:spacing w:after="0"/>
              <w:rPr>
                <w:sz w:val="22"/>
                <w:szCs w:val="22"/>
                <w:color w:val="auto"/>
              </w:rPr>
            </w:pPr>
          </w:p>
        </w:tc>
        <w:tc>
          <w:tcPr>
            <w:tcW w:w="3960" w:type="dxa"/>
            <w:vAlign w:val="bottom"/>
            <w:tcBorders>
              <w:bottom w:val="single" w:sz="8" w:color="D9DCE1"/>
            </w:tcBorders>
            <w:shd w:val="clear" w:color="auto" w:fill="D9DCE1"/>
          </w:tcPr>
          <w:p>
            <w:pPr>
              <w:spacing w:after="0"/>
              <w:rPr>
                <w:sz w:val="22"/>
                <w:szCs w:val="22"/>
                <w:color w:val="auto"/>
              </w:rPr>
            </w:pPr>
          </w:p>
        </w:tc>
        <w:tc>
          <w:tcPr>
            <w:tcW w:w="140" w:type="dxa"/>
            <w:vAlign w:val="bottom"/>
            <w:tcBorders>
              <w:bottom w:val="single" w:sz="8" w:color="D9DCE1"/>
              <w:right w:val="single" w:sz="8" w:color="auto"/>
            </w:tcBorders>
            <w:shd w:val="clear" w:color="auto" w:fill="D9DCE1"/>
          </w:tcPr>
          <w:p>
            <w:pPr>
              <w:spacing w:after="0"/>
              <w:rPr>
                <w:sz w:val="22"/>
                <w:szCs w:val="22"/>
                <w:color w:val="auto"/>
              </w:rPr>
            </w:pPr>
          </w:p>
        </w:tc>
        <w:tc>
          <w:tcPr>
            <w:tcW w:w="4100" w:type="dxa"/>
            <w:vAlign w:val="bottom"/>
            <w:tcBorders>
              <w:bottom w:val="single" w:sz="8" w:color="D9DCE1"/>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in 2020.</w:t>
            </w:r>
          </w:p>
        </w:tc>
        <w:tc>
          <w:tcPr>
            <w:tcW w:w="1240" w:type="dxa"/>
            <w:vAlign w:val="bottom"/>
          </w:tcPr>
          <w:p>
            <w:pPr>
              <w:spacing w:after="0"/>
              <w:rPr>
                <w:sz w:val="22"/>
                <w:szCs w:val="2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8"/>
              </w:rPr>
              <w:t>Adoption of equity ownership guidelines would be</w:t>
            </w:r>
          </w:p>
        </w:tc>
        <w:tc>
          <w:tcPr>
            <w:tcW w:w="140" w:type="dxa"/>
            <w:vAlign w:val="bottom"/>
            <w:tcBorders>
              <w:top w:val="single" w:sz="8" w:color="auto"/>
              <w:right w:val="single" w:sz="8" w:color="auto"/>
            </w:tcBorders>
          </w:tcPr>
          <w:p>
            <w:pPr>
              <w:spacing w:after="0"/>
              <w:rPr>
                <w:sz w:val="18"/>
                <w:szCs w:val="18"/>
                <w:color w:val="auto"/>
              </w:rPr>
            </w:pP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 November 2020, the Board adopted Equity</w:t>
            </w:r>
          </w:p>
        </w:tc>
        <w:tc>
          <w:tcPr>
            <w:tcW w:w="1240" w:type="dxa"/>
            <w:vAlign w:val="bottom"/>
          </w:tcPr>
          <w:p>
            <w:pPr>
              <w:spacing w:after="0"/>
              <w:rPr>
                <w:sz w:val="18"/>
                <w:szCs w:val="18"/>
                <w:color w:val="auto"/>
              </w:rPr>
            </w:pPr>
          </w:p>
        </w:tc>
      </w:tr>
      <w:tr>
        <w:trPr>
          <w:trHeight w:val="230"/>
        </w:trPr>
        <w:tc>
          <w:tcPr>
            <w:tcW w:w="1280" w:type="dxa"/>
            <w:vAlign w:val="bottom"/>
            <w:tcBorders>
              <w:right w:val="single" w:sz="8" w:color="auto"/>
            </w:tcBorders>
          </w:tcPr>
          <w:p>
            <w:pPr>
              <w:spacing w:after="0"/>
              <w:rPr>
                <w:sz w:val="20"/>
                <w:szCs w:val="20"/>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seen as a beneficial mitigant</w:t>
            </w:r>
          </w:p>
        </w:tc>
        <w:tc>
          <w:tcPr>
            <w:tcW w:w="1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Ownership Guidelines.</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shd w:val="clear" w:color="auto" w:fill="D9DCE1"/>
          </w:tcPr>
          <w:p>
            <w:pPr>
              <w:ind w:left="40"/>
              <w:spacing w:after="0"/>
              <w:rPr>
                <w:sz w:val="20"/>
                <w:szCs w:val="20"/>
                <w:color w:val="auto"/>
              </w:rPr>
            </w:pPr>
            <w:r>
              <w:rPr>
                <w:rFonts w:ascii="Arial" w:cs="Arial" w:eastAsia="Arial" w:hAnsi="Arial"/>
                <w:sz w:val="18"/>
                <w:szCs w:val="18"/>
                <w:color w:val="auto"/>
              </w:rPr>
              <w:t>Adoption of clawback policy would be seen as a</w:t>
            </w:r>
          </w:p>
        </w:tc>
        <w:tc>
          <w:tcPr>
            <w:tcW w:w="140" w:type="dxa"/>
            <w:vAlign w:val="bottom"/>
            <w:tcBorders>
              <w:right w:val="single" w:sz="8" w:color="auto"/>
            </w:tcBorders>
            <w:shd w:val="clear" w:color="auto" w:fill="D9DCE1"/>
          </w:tcPr>
          <w:p>
            <w:pPr>
              <w:spacing w:after="0"/>
              <w:rPr>
                <w:sz w:val="18"/>
                <w:szCs w:val="18"/>
                <w:color w:val="auto"/>
              </w:rPr>
            </w:pPr>
          </w:p>
        </w:tc>
        <w:tc>
          <w:tcPr>
            <w:tcW w:w="4100" w:type="dxa"/>
            <w:vAlign w:val="bottom"/>
            <w:tcBorders>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w w:val="98"/>
              </w:rPr>
              <w:t>In November 2020, the Board adopted a Clawback</w:t>
            </w:r>
          </w:p>
        </w:tc>
        <w:tc>
          <w:tcPr>
            <w:tcW w:w="1240" w:type="dxa"/>
            <w:vAlign w:val="bottom"/>
          </w:tcPr>
          <w:p>
            <w:pPr>
              <w:spacing w:after="0"/>
              <w:rPr>
                <w:sz w:val="18"/>
                <w:szCs w:val="18"/>
                <w:color w:val="auto"/>
              </w:rPr>
            </w:pPr>
          </w:p>
        </w:tc>
      </w:tr>
      <w:tr>
        <w:trPr>
          <w:trHeight w:val="262"/>
        </w:trPr>
        <w:tc>
          <w:tcPr>
            <w:tcW w:w="1280" w:type="dxa"/>
            <w:vAlign w:val="bottom"/>
            <w:tcBorders>
              <w:right w:val="single" w:sz="8" w:color="auto"/>
            </w:tcBorders>
          </w:tcPr>
          <w:p>
            <w:pPr>
              <w:spacing w:after="0"/>
              <w:rPr>
                <w:sz w:val="22"/>
                <w:szCs w:val="22"/>
                <w:color w:val="auto"/>
              </w:rPr>
            </w:pPr>
          </w:p>
        </w:tc>
        <w:tc>
          <w:tcPr>
            <w:tcW w:w="39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8"/>
                <w:szCs w:val="18"/>
                <w:color w:val="auto"/>
              </w:rPr>
              <w:t>beneficial mitigant</w:t>
            </w:r>
          </w:p>
        </w:tc>
        <w:tc>
          <w:tcPr>
            <w:tcW w:w="140" w:type="dxa"/>
            <w:vAlign w:val="bottom"/>
            <w:tcBorders>
              <w:bottom w:val="single" w:sz="8" w:color="D9DCE1"/>
              <w:right w:val="single" w:sz="8" w:color="auto"/>
            </w:tcBorders>
            <w:shd w:val="clear" w:color="auto" w:fill="D9DCE1"/>
          </w:tcPr>
          <w:p>
            <w:pPr>
              <w:spacing w:after="0"/>
              <w:rPr>
                <w:sz w:val="22"/>
                <w:szCs w:val="22"/>
                <w:color w:val="auto"/>
              </w:rPr>
            </w:pPr>
          </w:p>
        </w:tc>
        <w:tc>
          <w:tcPr>
            <w:tcW w:w="4100" w:type="dxa"/>
            <w:vAlign w:val="bottom"/>
            <w:tcBorders>
              <w:bottom w:val="single" w:sz="8" w:color="D9DCE1"/>
              <w:right w:val="single" w:sz="8" w:color="auto"/>
            </w:tcBorders>
            <w:shd w:val="clear" w:color="auto" w:fill="D9DCE1"/>
          </w:tcPr>
          <w:p>
            <w:pPr>
              <w:ind w:left="80"/>
              <w:spacing w:after="0"/>
              <w:rPr>
                <w:sz w:val="20"/>
                <w:szCs w:val="20"/>
                <w:color w:val="auto"/>
              </w:rPr>
            </w:pPr>
            <w:r>
              <w:rPr>
                <w:rFonts w:ascii="Arial" w:cs="Arial" w:eastAsia="Arial" w:hAnsi="Arial"/>
                <w:sz w:val="18"/>
                <w:szCs w:val="18"/>
                <w:color w:val="auto"/>
              </w:rPr>
              <w:t>Policy.</w:t>
            </w:r>
          </w:p>
        </w:tc>
        <w:tc>
          <w:tcPr>
            <w:tcW w:w="1240" w:type="dxa"/>
            <w:vAlign w:val="bottom"/>
          </w:tcPr>
          <w:p>
            <w:pPr>
              <w:spacing w:after="0"/>
              <w:rPr>
                <w:sz w:val="22"/>
                <w:szCs w:val="22"/>
                <w:color w:val="auto"/>
              </w:rPr>
            </w:pPr>
          </w:p>
        </w:tc>
      </w:tr>
      <w:tr>
        <w:trPr>
          <w:trHeight w:val="209"/>
        </w:trPr>
        <w:tc>
          <w:tcPr>
            <w:tcW w:w="1280" w:type="dxa"/>
            <w:vAlign w:val="bottom"/>
            <w:tcBorders>
              <w:right w:val="single" w:sz="8" w:color="auto"/>
            </w:tcBorders>
          </w:tcPr>
          <w:p>
            <w:pPr>
              <w:spacing w:after="0"/>
              <w:rPr>
                <w:sz w:val="18"/>
                <w:szCs w:val="18"/>
                <w:color w:val="auto"/>
              </w:rPr>
            </w:pPr>
          </w:p>
        </w:tc>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7"/>
              </w:rPr>
              <w:t>Supportive of inclusion of S&amp;P and Alerian indices</w:t>
            </w:r>
          </w:p>
        </w:tc>
        <w:tc>
          <w:tcPr>
            <w:tcW w:w="140" w:type="dxa"/>
            <w:vAlign w:val="bottom"/>
            <w:tcBorders>
              <w:top w:val="single" w:sz="8" w:color="auto"/>
              <w:right w:val="single" w:sz="8" w:color="auto"/>
            </w:tcBorders>
          </w:tcPr>
          <w:p>
            <w:pPr>
              <w:spacing w:after="0"/>
              <w:rPr>
                <w:sz w:val="18"/>
                <w:szCs w:val="18"/>
                <w:color w:val="auto"/>
              </w:rPr>
            </w:pP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S&amp;P and Alerian indices included in TSR</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in TSR comparator group, but viewed AMNA as</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comparator group for 2020 long-term incentive</w:t>
            </w: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960" w:type="dxa"/>
            <w:vAlign w:val="bottom"/>
          </w:tcPr>
          <w:p>
            <w:pPr>
              <w:ind w:left="40"/>
              <w:spacing w:after="0"/>
              <w:rPr>
                <w:sz w:val="20"/>
                <w:szCs w:val="20"/>
                <w:color w:val="auto"/>
              </w:rPr>
            </w:pPr>
            <w:r>
              <w:rPr>
                <w:rFonts w:ascii="Arial" w:cs="Arial" w:eastAsia="Arial" w:hAnsi="Arial"/>
                <w:sz w:val="18"/>
                <w:szCs w:val="18"/>
                <w:color w:val="auto"/>
              </w:rPr>
              <w:t>more appropriate index vs. AMZX</w:t>
            </w:r>
          </w:p>
        </w:tc>
        <w:tc>
          <w:tcPr>
            <w:tcW w:w="140" w:type="dxa"/>
            <w:vAlign w:val="bottom"/>
            <w:tcBorders>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awards and we will substitute AMNA for AMZX</w:t>
            </w:r>
          </w:p>
        </w:tc>
        <w:tc>
          <w:tcPr>
            <w:tcW w:w="1240" w:type="dxa"/>
            <w:vAlign w:val="bottom"/>
          </w:tcPr>
          <w:p>
            <w:pPr>
              <w:spacing w:after="0"/>
              <w:rPr>
                <w:sz w:val="18"/>
                <w:szCs w:val="18"/>
                <w:color w:val="auto"/>
              </w:rPr>
            </w:pPr>
          </w:p>
        </w:tc>
      </w:tr>
      <w:tr>
        <w:trPr>
          <w:trHeight w:val="230"/>
        </w:trPr>
        <w:tc>
          <w:tcPr>
            <w:tcW w:w="1280" w:type="dxa"/>
            <w:vAlign w:val="bottom"/>
            <w:tcBorders>
              <w:right w:val="single" w:sz="8" w:color="auto"/>
            </w:tcBorders>
          </w:tcPr>
          <w:p>
            <w:pPr>
              <w:spacing w:after="0"/>
              <w:rPr>
                <w:sz w:val="20"/>
                <w:szCs w:val="20"/>
                <w:color w:val="auto"/>
              </w:rPr>
            </w:pPr>
          </w:p>
        </w:tc>
        <w:tc>
          <w:tcPr>
            <w:tcW w:w="39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going forward.</w:t>
            </w: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601"/>
        </w:trPr>
        <w:tc>
          <w:tcPr>
            <w:tcW w:w="12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240" w:type="dxa"/>
            <w:vAlign w:val="bottom"/>
            <w:gridSpan w:val="2"/>
          </w:tcPr>
          <w:p>
            <w:pPr>
              <w:jc w:val="right"/>
              <w:ind w:right="3951"/>
              <w:spacing w:after="0"/>
              <w:rPr>
                <w:sz w:val="20"/>
                <w:szCs w:val="20"/>
                <w:color w:val="auto"/>
              </w:rPr>
            </w:pPr>
            <w:r>
              <w:rPr>
                <w:rFonts w:ascii="Arial" w:cs="Arial" w:eastAsia="Arial" w:hAnsi="Arial"/>
                <w:sz w:val="18"/>
                <w:szCs w:val="18"/>
                <w:color w:val="auto"/>
                <w:w w:val="89"/>
              </w:rPr>
              <w:t>26</w:t>
            </w:r>
          </w:p>
        </w:tc>
        <w:tc>
          <w:tcPr>
            <w:tcW w:w="1240" w:type="dxa"/>
            <w:vAlign w:val="bottom"/>
          </w:tcPr>
          <w:p>
            <w:pPr>
              <w:spacing w:after="0"/>
              <w:rPr>
                <w:sz w:val="24"/>
                <w:szCs w:val="24"/>
                <w:color w:val="auto"/>
              </w:rPr>
            </w:pPr>
          </w:p>
        </w:tc>
      </w:tr>
      <w:tr>
        <w:trPr>
          <w:trHeight w:val="399"/>
        </w:trPr>
        <w:tc>
          <w:tcPr>
            <w:tcW w:w="12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Executive Compensation Highlights</w:t>
      </w:r>
    </w:p>
    <w:p>
      <w:pPr>
        <w:spacing w:after="0" w:line="144"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The discussion set forth below in this Compensation Discussion and Analysis describes our current approach to executive compensation and elaborates upon the various actions taken and adjustments made with respect to our executive compensation program, highlights of which include the following:</w:t>
      </w:r>
    </w:p>
    <w:p>
      <w:pPr>
        <w:spacing w:after="0" w:line="84"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to pay salaries that are lower than the median of our peers;</w:t>
      </w:r>
    </w:p>
    <w:p>
      <w:pPr>
        <w:spacing w:after="0" w:line="130"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to emphasize pay for performance with a significant portion of executive compensation at risk;</w:t>
      </w:r>
    </w:p>
    <w:p>
      <w:pPr>
        <w:spacing w:after="0" w:line="89"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Utilized an objective and transparent structure to determine 2020 short-term incentives, which paid out at 95% of target for our CEO;</w:t>
      </w:r>
    </w:p>
    <w:p>
      <w:pPr>
        <w:spacing w:after="0" w:line="89"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Added a relative total shareholder return metric with an absolute TSR modifier to our 2020 long-term equity incentive awards;</w:t>
      </w:r>
    </w:p>
    <w:p>
      <w:pPr>
        <w:spacing w:after="0" w:line="75" w:lineRule="exact"/>
        <w:rPr>
          <w:rFonts w:ascii="Arial" w:cs="Arial" w:eastAsia="Arial" w:hAnsi="Arial"/>
          <w:sz w:val="18"/>
          <w:szCs w:val="18"/>
          <w:color w:val="auto"/>
        </w:rPr>
      </w:pPr>
    </w:p>
    <w:p>
      <w:pPr>
        <w:ind w:left="1800" w:right="559" w:hanging="180"/>
        <w:spacing w:after="0" w:line="286"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Enhanced the DCF/CUE performance metric in our 2020 long-term equity incentive awards to require performance over a full three-year period and added a leverage modifier to further align our long term equity incentives with our key financial performance and leverage reduction goals;</w:t>
      </w:r>
    </w:p>
    <w:p>
      <w:pPr>
        <w:spacing w:after="0" w:line="84" w:lineRule="exact"/>
        <w:rPr>
          <w:rFonts w:ascii="Arial" w:cs="Arial" w:eastAsia="Arial" w:hAnsi="Arial"/>
          <w:sz w:val="17"/>
          <w:szCs w:val="17"/>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Adopted Equity Ownership Guidelines for our executive officers and directors;</w:t>
      </w:r>
    </w:p>
    <w:p>
      <w:pPr>
        <w:spacing w:after="0" w:line="130"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Adopted a Clawback Policy that allows us to recoup compensation from our executive officers under certain circumstances; and</w:t>
      </w:r>
    </w:p>
    <w:p>
      <w:pPr>
        <w:spacing w:after="0" w:line="89"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Engaged an independent compensation consultant to conduct a review and benchmark study of our executive compensation.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Our executive compensation philosophy is focused on a long-term pay for performance culture designed to attract and retain key management talent in a competitive industry and market. Our program combines relatively low base pay with higher variable, at-risk compensation opportunities based on objective and transparent performance requirements. As demonstrated in the graphic below, in 2020, at target, approximately 88% of our CEO’s compensation and approximately 83% of our other NEOs’ compensation consisted of at-risk compensation. 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 Adjusted EBITDA</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and distributable cash flow (“DCF”) per common unit equivalent (“CUE”). The primary long-term performance measures included in our equity incentive grants are DCF per CUE over a 3 year period (with a leverage modifier) and relative total shareholder return. We believe our short- and long-term performance metrics are consistent with our overall financial strategy of reducing our leverage and generating attractive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1222375</wp:posOffset>
            </wp:positionV>
            <wp:extent cx="12344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20" w:right="639" w:hanging="360"/>
        <w:spacing w:after="0" w:line="238" w:lineRule="auto"/>
        <w:tabs>
          <w:tab w:leader="none" w:pos="1620" w:val="left"/>
        </w:tabs>
        <w:numPr>
          <w:ilvl w:val="0"/>
          <w:numId w:val="38"/>
        </w:numPr>
        <w:rPr>
          <w:rFonts w:ascii="Arial" w:cs="Arial" w:eastAsia="Arial" w:hAnsi="Arial"/>
          <w:sz w:val="26"/>
          <w:szCs w:val="26"/>
          <w:color w:val="auto"/>
          <w:vertAlign w:val="superscript"/>
        </w:rPr>
      </w:pPr>
      <w:r>
        <w:rPr>
          <w:rFonts w:ascii="Arial" w:cs="Arial" w:eastAsia="Arial" w:hAnsi="Arial"/>
          <w:sz w:val="17"/>
          <w:szCs w:val="17"/>
          <w:color w:val="auto"/>
        </w:rPr>
        <w:t>Earnings before interest, taxes, depreciation and amortization (including our proportionate share of depreciation of and amortization of unconsolidated entities), gains and losses on asset sales and asset impairments, goodwill impairment losses and gains on and impairments of investments in unconsolidated entities, adjusted for certain selected items impacting comparability.</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545465</wp:posOffset>
            </wp:positionV>
            <wp:extent cx="5177790" cy="33686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7779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20" w:right="539" w:hanging="360"/>
        <w:spacing w:after="0" w:line="259"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NEOs” graphic excludes Mr. Pefanis. At target, the percentage of at-risk compensation for Mr. Pefanis is 88%; however, at his request, for reasons described above, Mr. Pefanis does not participate in the long-term incentive program, which reduces the percentage of his at-risk compensation to 71%.</w:t>
      </w:r>
    </w:p>
    <w:p>
      <w:pPr>
        <w:spacing w:after="0" w:line="11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believe our pay-for-performance approach aligns the interests of our executive officers with the interests of our equity holders, and at the same time enables us to maintain a lower level of base overhead in the event operating and financial performance fails to meet expectations. We also believe that our pay-for-performance approach helps us achieve the overall objectives of our executive compensation program, which are to:</w:t>
      </w:r>
    </w:p>
    <w:p>
      <w:pPr>
        <w:spacing w:after="0" w:line="80" w:lineRule="exact"/>
        <w:rPr>
          <w:sz w:val="20"/>
          <w:szCs w:val="20"/>
          <w:color w:val="auto"/>
        </w:rPr>
      </w:pPr>
    </w:p>
    <w:p>
      <w:pPr>
        <w:ind w:left="1800" w:right="67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attract and retain individuals with the background and skills necessary to successfully execute our business model in a demanding environment;</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motivate those individuals to reach near-term and long-term goals in a way that aligns their interests with the interests of our unitholders;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reward success in reaching such goals.</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order to demonstrate how the design of our executive pay program is aligned with the interests of our unitholders, the table and chart below compares the potentially realizable market value of long term incentive plan awards granted to Mr. Chiang since he became CEO in 2018 to the realizable market value of such awards as of year-end 2020. The values utilized in the table and chart below are based on closing market prices of PAA’s common units to demonstrate how PAA’s unit price performance over time impacts the actual value realized and future realizable value of equity awards held by our NEOs. These values are different than the grant date fair values set forth in the summary compensation table, which are accounting-based values mandated by SEC requirements and which are calculated on the date of grant and not adjusted over time to reflect fluctuations in market price.</w:t>
      </w:r>
    </w:p>
    <w:p>
      <w:pPr>
        <w:spacing w:after="0" w:line="129" w:lineRule="exact"/>
        <w:rPr>
          <w:sz w:val="20"/>
          <w:szCs w:val="20"/>
          <w:color w:val="auto"/>
        </w:rPr>
      </w:pPr>
    </w:p>
    <w:p>
      <w:pPr>
        <w:jc w:val="both"/>
        <w:ind w:left="1260" w:right="519" w:firstLine="360"/>
        <w:spacing w:after="0" w:line="286" w:lineRule="auto"/>
        <w:rPr>
          <w:sz w:val="20"/>
          <w:szCs w:val="20"/>
          <w:color w:val="auto"/>
        </w:rPr>
      </w:pPr>
      <w:r>
        <w:rPr>
          <w:rFonts w:ascii="Arial" w:cs="Arial" w:eastAsia="Arial" w:hAnsi="Arial"/>
          <w:sz w:val="17"/>
          <w:szCs w:val="17"/>
          <w:color w:val="auto"/>
        </w:rPr>
        <w:t>Since the date of Mr. Chiang’s first long term incentive plan award as CEO in August 2018, consistent with the performance of the Alerian MLP Index during such period, PAA’s common unit price has declined by approximately 69% through December 31, 2020 (from $26.85 per unit to $8.24 per unit). The table and</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chart below demonstrate that the realizable market value of Mr. Chiang’s long-term incentive plan awards over the same time period (i.e., from August 2018 through year-end 2020) has declined by approximately 57%. The unadjusted analysis in the table does not discount the value of Mr. Chiang’s August 16, 2018 phantom unit award, which requires achievement of aggressive performance targets based on pre-pandemic projections, none of which are currently deemed probable of occurring pursuant to FASB ASC Topic 718. The performance targets that must be achieved in order for Mr. Chiang’s August 2018 phantom unit award to vest include DCF per common unit of $3.00 as to 25% of the award and $3.50 as to the remaining 75% of the award. The figures in the row titled “Adjusted Total” attribute no realizable value as of December 31, 2020 to Mr. Chiang’s August 16, 2018 grant based on the current improbability of achieving such performance targets. On such adjusted basis, the realizable value of Mr. Chiang’s long-term incentive plan awards from August 2018 through December 31, 2020 declined by approximately 78%. Mr. Chiang’s experience with respect to his long-term equity awards is similar to the experience of our other NEOs during the same time period and demonstrates that there is a significant correlation and alignment between our NEOs’ long-term equity incentive compensation and the interests of our unitholders.</w:t>
      </w:r>
    </w:p>
    <w:p>
      <w:pPr>
        <w:spacing w:after="0" w:line="23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Realizable Market Value of CEO LTIPs*</w:t>
      </w:r>
    </w:p>
    <w:p>
      <w:pPr>
        <w:spacing w:after="0" w:line="203"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2000" w:type="dxa"/>
            <w:vAlign w:val="bottom"/>
            <w:tcBorders>
              <w:left w:val="single" w:sz="8" w:color="434F69"/>
            </w:tcBorders>
            <w:shd w:val="clear" w:color="auto" w:fill="434F69"/>
          </w:tcPr>
          <w:p>
            <w:pPr>
              <w:spacing w:after="0"/>
              <w:rPr>
                <w:sz w:val="16"/>
                <w:szCs w:val="16"/>
                <w:color w:val="auto"/>
              </w:rPr>
            </w:pPr>
          </w:p>
        </w:tc>
        <w:tc>
          <w:tcPr>
            <w:tcW w:w="980" w:type="dxa"/>
            <w:vAlign w:val="bottom"/>
            <w:shd w:val="clear" w:color="auto" w:fill="434F69"/>
          </w:tcPr>
          <w:p>
            <w:pPr>
              <w:spacing w:after="0"/>
              <w:rPr>
                <w:sz w:val="16"/>
                <w:szCs w:val="16"/>
                <w:color w:val="auto"/>
              </w:rPr>
            </w:pPr>
          </w:p>
        </w:tc>
        <w:tc>
          <w:tcPr>
            <w:tcW w:w="240" w:type="dxa"/>
            <w:vAlign w:val="bottom"/>
            <w:shd w:val="clear" w:color="auto" w:fill="434F69"/>
          </w:tcPr>
          <w:p>
            <w:pPr>
              <w:spacing w:after="0"/>
              <w:rPr>
                <w:sz w:val="16"/>
                <w:szCs w:val="16"/>
                <w:color w:val="auto"/>
              </w:rPr>
            </w:pPr>
          </w:p>
        </w:tc>
        <w:tc>
          <w:tcPr>
            <w:tcW w:w="940" w:type="dxa"/>
            <w:vAlign w:val="bottom"/>
            <w:shd w:val="clear" w:color="auto" w:fill="434F69"/>
          </w:tcPr>
          <w:p>
            <w:pPr>
              <w:spacing w:after="0"/>
              <w:rPr>
                <w:sz w:val="16"/>
                <w:szCs w:val="16"/>
                <w:color w:val="auto"/>
              </w:rPr>
            </w:pPr>
          </w:p>
        </w:tc>
        <w:tc>
          <w:tcPr>
            <w:tcW w:w="960" w:type="dxa"/>
            <w:vAlign w:val="bottom"/>
            <w:shd w:val="clear" w:color="auto" w:fill="434F69"/>
          </w:tcPr>
          <w:p>
            <w:pPr>
              <w:spacing w:after="0"/>
              <w:rPr>
                <w:sz w:val="16"/>
                <w:szCs w:val="16"/>
                <w:color w:val="auto"/>
              </w:rPr>
            </w:pPr>
          </w:p>
        </w:tc>
        <w:tc>
          <w:tcPr>
            <w:tcW w:w="1160" w:type="dxa"/>
            <w:vAlign w:val="bottom"/>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Total</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12/31/20</w:t>
            </w:r>
          </w:p>
        </w:tc>
        <w:tc>
          <w:tcPr>
            <w:tcW w:w="920" w:type="dxa"/>
            <w:vAlign w:val="bottom"/>
            <w:tcBorders>
              <w:right w:val="single" w:sz="8" w:color="434F69"/>
            </w:tcBorders>
            <w:shd w:val="clear" w:color="auto" w:fill="434F69"/>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00" w:type="dxa"/>
            <w:vAlign w:val="bottom"/>
            <w:tcBorders>
              <w:left w:val="single" w:sz="8" w:color="434F69"/>
            </w:tcBorders>
            <w:shd w:val="clear" w:color="auto" w:fill="434F69"/>
          </w:tcPr>
          <w:p>
            <w:pPr>
              <w:spacing w:after="0"/>
              <w:rPr>
                <w:sz w:val="12"/>
                <w:szCs w:val="12"/>
                <w:color w:val="auto"/>
              </w:rPr>
            </w:pPr>
          </w:p>
        </w:tc>
        <w:tc>
          <w:tcPr>
            <w:tcW w:w="980" w:type="dxa"/>
            <w:vAlign w:val="bottom"/>
            <w:shd w:val="clear" w:color="auto" w:fill="434F69"/>
          </w:tcPr>
          <w:p>
            <w:pPr>
              <w:spacing w:after="0"/>
              <w:rPr>
                <w:sz w:val="12"/>
                <w:szCs w:val="12"/>
                <w:color w:val="auto"/>
              </w:rPr>
            </w:pPr>
          </w:p>
        </w:tc>
        <w:tc>
          <w:tcPr>
            <w:tcW w:w="240" w:type="dxa"/>
            <w:vAlign w:val="bottom"/>
            <w:shd w:val="clear" w:color="auto" w:fill="434F69"/>
          </w:tcPr>
          <w:p>
            <w:pPr>
              <w:spacing w:after="0"/>
              <w:rPr>
                <w:sz w:val="12"/>
                <w:szCs w:val="12"/>
                <w:color w:val="auto"/>
              </w:rPr>
            </w:pPr>
          </w:p>
        </w:tc>
        <w:tc>
          <w:tcPr>
            <w:tcW w:w="940" w:type="dxa"/>
            <w:vAlign w:val="bottom"/>
            <w:shd w:val="clear" w:color="auto" w:fill="434F69"/>
          </w:tcPr>
          <w:p>
            <w:pPr>
              <w:spacing w:after="0"/>
              <w:rPr>
                <w:sz w:val="12"/>
                <w:szCs w:val="12"/>
                <w:color w:val="auto"/>
              </w:rPr>
            </w:pPr>
          </w:p>
        </w:tc>
        <w:tc>
          <w:tcPr>
            <w:tcW w:w="960" w:type="dxa"/>
            <w:vAlign w:val="bottom"/>
            <w:shd w:val="clear" w:color="auto" w:fill="434F69"/>
          </w:tcPr>
          <w:p>
            <w:pPr>
              <w:spacing w:after="0"/>
              <w:rPr>
                <w:sz w:val="12"/>
                <w:szCs w:val="12"/>
                <w:color w:val="auto"/>
              </w:rPr>
            </w:pPr>
          </w:p>
        </w:tc>
        <w:tc>
          <w:tcPr>
            <w:tcW w:w="1160" w:type="dxa"/>
            <w:vAlign w:val="bottom"/>
            <w:vMerge w:val="continue"/>
            <w:shd w:val="clear" w:color="auto" w:fill="434F69"/>
          </w:tcPr>
          <w:p>
            <w:pPr>
              <w:spacing w:after="0"/>
              <w:rPr>
                <w:sz w:val="12"/>
                <w:szCs w:val="12"/>
                <w:color w:val="auto"/>
              </w:rPr>
            </w:pPr>
          </w:p>
        </w:tc>
        <w:tc>
          <w:tcPr>
            <w:tcW w:w="1020" w:type="dxa"/>
            <w:vAlign w:val="bottom"/>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0"/>
              </w:rPr>
              <w:t>Realizable</w:t>
            </w:r>
          </w:p>
        </w:tc>
        <w:tc>
          <w:tcPr>
            <w:tcW w:w="920" w:type="dxa"/>
            <w:vAlign w:val="bottom"/>
            <w:tcBorders>
              <w:right w:val="single" w:sz="8" w:color="434F69"/>
            </w:tcBorders>
            <w:shd w:val="clear" w:color="auto" w:fill="434F6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Borders>
              <w:left w:val="single" w:sz="8" w:color="434F69"/>
            </w:tcBorders>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240" w:type="dxa"/>
            <w:vAlign w:val="bottom"/>
            <w:shd w:val="clear" w:color="auto" w:fill="434F69"/>
          </w:tcPr>
          <w:p>
            <w:pPr>
              <w:spacing w:after="0"/>
              <w:rPr>
                <w:sz w:val="14"/>
                <w:szCs w:val="14"/>
                <w:color w:val="auto"/>
              </w:rPr>
            </w:pPr>
          </w:p>
        </w:tc>
        <w:tc>
          <w:tcPr>
            <w:tcW w:w="940" w:type="dxa"/>
            <w:vAlign w:val="bottom"/>
            <w:shd w:val="clear" w:color="auto" w:fill="434F69"/>
          </w:tcPr>
          <w:p>
            <w:pPr>
              <w:spacing w:after="0"/>
              <w:rPr>
                <w:sz w:val="14"/>
                <w:szCs w:val="14"/>
                <w:color w:val="auto"/>
              </w:rPr>
            </w:pPr>
          </w:p>
        </w:tc>
        <w:tc>
          <w:tcPr>
            <w:tcW w:w="960" w:type="dxa"/>
            <w:vAlign w:val="bottom"/>
            <w:shd w:val="clear" w:color="auto" w:fill="434F69"/>
          </w:tcPr>
          <w:p>
            <w:pPr>
              <w:spacing w:after="0"/>
              <w:rPr>
                <w:sz w:val="14"/>
                <w:szCs w:val="14"/>
                <w:color w:val="auto"/>
              </w:rPr>
            </w:pPr>
          </w:p>
        </w:tc>
        <w:tc>
          <w:tcPr>
            <w:tcW w:w="11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Realizable</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Value as</w:t>
            </w:r>
          </w:p>
        </w:tc>
        <w:tc>
          <w:tcPr>
            <w:tcW w:w="9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Change in</w:t>
            </w:r>
          </w:p>
        </w:tc>
        <w:tc>
          <w:tcPr>
            <w:tcW w:w="0" w:type="dxa"/>
            <w:vAlign w:val="bottom"/>
          </w:tcPr>
          <w:p>
            <w:pPr>
              <w:spacing w:after="0"/>
              <w:rPr>
                <w:sz w:val="1"/>
                <w:szCs w:val="1"/>
                <w:color w:val="auto"/>
              </w:rPr>
            </w:pPr>
          </w:p>
        </w:tc>
      </w:tr>
      <w:tr>
        <w:trPr>
          <w:trHeight w:val="162"/>
        </w:trPr>
        <w:tc>
          <w:tcPr>
            <w:tcW w:w="2000" w:type="dxa"/>
            <w:vAlign w:val="bottom"/>
            <w:tcBorders>
              <w:left w:val="single" w:sz="8" w:color="434F69"/>
            </w:tcBorders>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240" w:type="dxa"/>
            <w:vAlign w:val="bottom"/>
            <w:shd w:val="clear" w:color="auto" w:fill="434F69"/>
          </w:tcPr>
          <w:p>
            <w:pPr>
              <w:spacing w:after="0"/>
              <w:rPr>
                <w:sz w:val="14"/>
                <w:szCs w:val="14"/>
                <w:color w:val="auto"/>
              </w:rPr>
            </w:pPr>
          </w:p>
        </w:tc>
        <w:tc>
          <w:tcPr>
            <w:tcW w:w="940" w:type="dxa"/>
            <w:vAlign w:val="bottom"/>
            <w:shd w:val="clear" w:color="auto" w:fill="434F69"/>
          </w:tcPr>
          <w:p>
            <w:pPr>
              <w:jc w:val="center"/>
              <w:ind w:right="174"/>
              <w:spacing w:after="0"/>
              <w:rPr>
                <w:sz w:val="20"/>
                <w:szCs w:val="20"/>
                <w:color w:val="auto"/>
              </w:rPr>
            </w:pPr>
            <w:r>
              <w:rPr>
                <w:rFonts w:ascii="Arial" w:cs="Arial" w:eastAsia="Arial" w:hAnsi="Arial"/>
                <w:sz w:val="14"/>
                <w:szCs w:val="14"/>
                <w:b w:val="1"/>
                <w:bCs w:val="1"/>
                <w:color w:val="FFFFFF"/>
                <w:w w:val="94"/>
              </w:rPr>
              <w:t>Grant Date</w:t>
            </w:r>
          </w:p>
        </w:tc>
        <w:tc>
          <w:tcPr>
            <w:tcW w:w="9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11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Value of</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5"/>
              </w:rPr>
              <w:t>% of Grant</w:t>
            </w:r>
          </w:p>
        </w:tc>
        <w:tc>
          <w:tcPr>
            <w:tcW w:w="9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Value from</w:t>
            </w:r>
          </w:p>
        </w:tc>
        <w:tc>
          <w:tcPr>
            <w:tcW w:w="0" w:type="dxa"/>
            <w:vAlign w:val="bottom"/>
          </w:tcPr>
          <w:p>
            <w:pPr>
              <w:spacing w:after="0"/>
              <w:rPr>
                <w:sz w:val="1"/>
                <w:szCs w:val="1"/>
                <w:color w:val="auto"/>
              </w:rPr>
            </w:pPr>
          </w:p>
        </w:tc>
      </w:tr>
      <w:tr>
        <w:trPr>
          <w:trHeight w:val="158"/>
        </w:trPr>
        <w:tc>
          <w:tcPr>
            <w:tcW w:w="2000" w:type="dxa"/>
            <w:vAlign w:val="bottom"/>
            <w:tcBorders>
              <w:left w:val="single" w:sz="8" w:color="434F69"/>
            </w:tcBorders>
            <w:shd w:val="clear" w:color="auto" w:fill="434F69"/>
          </w:tcPr>
          <w:p>
            <w:pPr>
              <w:spacing w:after="0"/>
              <w:rPr>
                <w:sz w:val="13"/>
                <w:szCs w:val="13"/>
                <w:color w:val="auto"/>
              </w:rPr>
            </w:pPr>
          </w:p>
        </w:tc>
        <w:tc>
          <w:tcPr>
            <w:tcW w:w="980" w:type="dxa"/>
            <w:vAlign w:val="bottom"/>
            <w:shd w:val="clear" w:color="auto" w:fill="434F69"/>
          </w:tcPr>
          <w:p>
            <w:pPr>
              <w:jc w:val="right"/>
              <w:ind w:right="36"/>
              <w:spacing w:after="0" w:line="158" w:lineRule="exact"/>
              <w:rPr>
                <w:sz w:val="20"/>
                <w:szCs w:val="20"/>
                <w:color w:val="auto"/>
              </w:rPr>
            </w:pPr>
            <w:r>
              <w:rPr>
                <w:rFonts w:ascii="Arial" w:cs="Arial" w:eastAsia="Arial" w:hAnsi="Arial"/>
                <w:sz w:val="14"/>
                <w:szCs w:val="14"/>
                <w:b w:val="1"/>
                <w:bCs w:val="1"/>
                <w:color w:val="FFFFFF"/>
              </w:rPr>
              <w:t>Initial Units</w:t>
            </w:r>
          </w:p>
        </w:tc>
        <w:tc>
          <w:tcPr>
            <w:tcW w:w="1180" w:type="dxa"/>
            <w:vAlign w:val="bottom"/>
            <w:gridSpan w:val="2"/>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Market Value of</w:t>
            </w:r>
          </w:p>
        </w:tc>
        <w:tc>
          <w:tcPr>
            <w:tcW w:w="96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8"/>
              </w:rPr>
              <w:t>Unvested</w:t>
            </w:r>
          </w:p>
        </w:tc>
        <w:tc>
          <w:tcPr>
            <w:tcW w:w="116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1"/>
              </w:rPr>
              <w:t>O/S Units</w:t>
            </w:r>
          </w:p>
        </w:tc>
        <w:tc>
          <w:tcPr>
            <w:tcW w:w="102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5"/>
              </w:rPr>
              <w:t>Date Market</w:t>
            </w:r>
          </w:p>
        </w:tc>
        <w:tc>
          <w:tcPr>
            <w:tcW w:w="92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4"/>
              </w:rPr>
              <w:t>Grant Date</w:t>
            </w:r>
          </w:p>
        </w:tc>
        <w:tc>
          <w:tcPr>
            <w:tcW w:w="0" w:type="dxa"/>
            <w:vAlign w:val="bottom"/>
          </w:tcPr>
          <w:p>
            <w:pPr>
              <w:spacing w:after="0"/>
              <w:rPr>
                <w:sz w:val="1"/>
                <w:szCs w:val="1"/>
                <w:color w:val="auto"/>
              </w:rPr>
            </w:pPr>
          </w:p>
        </w:tc>
      </w:tr>
      <w:tr>
        <w:trPr>
          <w:trHeight w:val="229"/>
        </w:trPr>
        <w:tc>
          <w:tcPr>
            <w:tcW w:w="2000" w:type="dxa"/>
            <w:vAlign w:val="bottom"/>
            <w:tcBorders>
              <w:lef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Grant Date</w:t>
            </w:r>
          </w:p>
        </w:tc>
        <w:tc>
          <w:tcPr>
            <w:tcW w:w="980" w:type="dxa"/>
            <w:vAlign w:val="bottom"/>
            <w:shd w:val="clear" w:color="auto" w:fill="434F69"/>
          </w:tcPr>
          <w:p>
            <w:pPr>
              <w:jc w:val="right"/>
              <w:ind w:right="116"/>
              <w:spacing w:after="0"/>
              <w:rPr>
                <w:sz w:val="20"/>
                <w:szCs w:val="20"/>
                <w:color w:val="auto"/>
              </w:rPr>
            </w:pPr>
            <w:r>
              <w:rPr>
                <w:rFonts w:ascii="Arial" w:cs="Arial" w:eastAsia="Arial" w:hAnsi="Arial"/>
                <w:sz w:val="14"/>
                <w:szCs w:val="14"/>
                <w:b w:val="1"/>
                <w:bCs w:val="1"/>
                <w:color w:val="FFFFFF"/>
              </w:rPr>
              <w:t>Granted</w:t>
            </w:r>
          </w:p>
        </w:tc>
        <w:tc>
          <w:tcPr>
            <w:tcW w:w="1180" w:type="dxa"/>
            <w:vAlign w:val="bottom"/>
            <w:gridSpan w:val="2"/>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90"/>
              </w:rPr>
              <w:t>Initial Units</w:t>
            </w:r>
            <w:r>
              <w:rPr>
                <w:rFonts w:ascii="Arial" w:cs="Arial" w:eastAsia="Arial" w:hAnsi="Arial"/>
                <w:sz w:val="21"/>
                <w:szCs w:val="21"/>
                <w:b w:val="1"/>
                <w:bCs w:val="1"/>
                <w:color w:val="FFFFFF"/>
                <w:w w:val="90"/>
                <w:vertAlign w:val="superscript"/>
              </w:rPr>
              <w:t>(1)</w:t>
            </w:r>
          </w:p>
        </w:tc>
        <w:tc>
          <w:tcPr>
            <w:tcW w:w="9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Units</w:t>
            </w:r>
          </w:p>
        </w:tc>
        <w:tc>
          <w:tcPr>
            <w:tcW w:w="1160" w:type="dxa"/>
            <w:vAlign w:val="bottom"/>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5"/>
              </w:rPr>
              <w:t>as of 12/31/20</w:t>
            </w:r>
            <w:r>
              <w:rPr>
                <w:rFonts w:ascii="Arial" w:cs="Arial" w:eastAsia="Arial" w:hAnsi="Arial"/>
                <w:sz w:val="21"/>
                <w:szCs w:val="21"/>
                <w:b w:val="1"/>
                <w:bCs w:val="1"/>
                <w:color w:val="FFFFFF"/>
                <w:w w:val="85"/>
                <w:vertAlign w:val="superscript"/>
              </w:rPr>
              <w:t>(2)</w:t>
            </w:r>
          </w:p>
        </w:tc>
        <w:tc>
          <w:tcPr>
            <w:tcW w:w="10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Value</w:t>
            </w:r>
          </w:p>
        </w:tc>
        <w:tc>
          <w:tcPr>
            <w:tcW w:w="9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to 12/31/20</w:t>
            </w:r>
          </w:p>
        </w:tc>
        <w:tc>
          <w:tcPr>
            <w:tcW w:w="0" w:type="dxa"/>
            <w:vAlign w:val="bottom"/>
          </w:tcPr>
          <w:p>
            <w:pPr>
              <w:spacing w:after="0"/>
              <w:rPr>
                <w:sz w:val="1"/>
                <w:szCs w:val="1"/>
                <w:color w:val="auto"/>
              </w:rPr>
            </w:pPr>
          </w:p>
        </w:tc>
      </w:tr>
      <w:tr>
        <w:trPr>
          <w:trHeight w:val="215"/>
        </w:trPr>
        <w:tc>
          <w:tcPr>
            <w:tcW w:w="2000" w:type="dxa"/>
            <w:vAlign w:val="bottom"/>
            <w:tcBorders>
              <w:lef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8/16/18 (in connection</w:t>
            </w:r>
          </w:p>
        </w:tc>
        <w:tc>
          <w:tcPr>
            <w:tcW w:w="980" w:type="dxa"/>
            <w:vAlign w:val="bottom"/>
            <w:shd w:val="clear" w:color="auto" w:fill="D9DCE1"/>
          </w:tcPr>
          <w:p>
            <w:pPr>
              <w:spacing w:after="0"/>
              <w:rPr>
                <w:sz w:val="18"/>
                <w:szCs w:val="18"/>
                <w:color w:val="auto"/>
              </w:rPr>
            </w:pPr>
          </w:p>
        </w:tc>
        <w:tc>
          <w:tcPr>
            <w:tcW w:w="240" w:type="dxa"/>
            <w:vAlign w:val="bottom"/>
            <w:shd w:val="clear" w:color="auto" w:fill="D9DCE1"/>
          </w:tcPr>
          <w:p>
            <w:pPr>
              <w:spacing w:after="0"/>
              <w:rPr>
                <w:sz w:val="18"/>
                <w:szCs w:val="18"/>
                <w:color w:val="auto"/>
              </w:rPr>
            </w:pPr>
          </w:p>
        </w:tc>
        <w:tc>
          <w:tcPr>
            <w:tcW w:w="940" w:type="dxa"/>
            <w:vAlign w:val="bottom"/>
            <w:shd w:val="clear" w:color="auto" w:fill="D9DCE1"/>
          </w:tcPr>
          <w:p>
            <w:pPr>
              <w:spacing w:after="0"/>
              <w:rPr>
                <w:sz w:val="18"/>
                <w:szCs w:val="18"/>
                <w:color w:val="auto"/>
              </w:rPr>
            </w:pPr>
          </w:p>
        </w:tc>
        <w:tc>
          <w:tcPr>
            <w:tcW w:w="960" w:type="dxa"/>
            <w:vAlign w:val="bottom"/>
            <w:shd w:val="clear" w:color="auto" w:fill="D9DCE1"/>
          </w:tcPr>
          <w:p>
            <w:pPr>
              <w:spacing w:after="0"/>
              <w:rPr>
                <w:sz w:val="18"/>
                <w:szCs w:val="18"/>
                <w:color w:val="auto"/>
              </w:rPr>
            </w:pPr>
          </w:p>
        </w:tc>
        <w:tc>
          <w:tcPr>
            <w:tcW w:w="1160" w:type="dxa"/>
            <w:vAlign w:val="bottom"/>
            <w:shd w:val="clear" w:color="auto" w:fill="D9DCE1"/>
          </w:tcPr>
          <w:p>
            <w:pPr>
              <w:spacing w:after="0"/>
              <w:rPr>
                <w:sz w:val="18"/>
                <w:szCs w:val="18"/>
                <w:color w:val="auto"/>
              </w:rPr>
            </w:pPr>
          </w:p>
        </w:tc>
        <w:tc>
          <w:tcPr>
            <w:tcW w:w="1020" w:type="dxa"/>
            <w:vAlign w:val="bottom"/>
            <w:shd w:val="clear" w:color="auto" w:fill="D9DCE1"/>
          </w:tcPr>
          <w:p>
            <w:pPr>
              <w:spacing w:after="0"/>
              <w:rPr>
                <w:sz w:val="18"/>
                <w:szCs w:val="18"/>
                <w:color w:val="auto"/>
              </w:rPr>
            </w:pPr>
          </w:p>
        </w:tc>
        <w:tc>
          <w:tcPr>
            <w:tcW w:w="920" w:type="dxa"/>
            <w:vAlign w:val="bottom"/>
            <w:tcBorders>
              <w:right w:val="single" w:sz="8" w:color="434F69"/>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434F69"/>
            </w:tcBorders>
            <w:shd w:val="clear" w:color="auto" w:fill="D9DCE1"/>
          </w:tcPr>
          <w:p>
            <w:pPr>
              <w:ind w:left="240"/>
              <w:spacing w:after="0"/>
              <w:rPr>
                <w:sz w:val="20"/>
                <w:szCs w:val="20"/>
                <w:color w:val="auto"/>
              </w:rPr>
            </w:pPr>
            <w:r>
              <w:rPr>
                <w:rFonts w:ascii="Arial" w:cs="Arial" w:eastAsia="Arial" w:hAnsi="Arial"/>
                <w:sz w:val="18"/>
                <w:szCs w:val="18"/>
                <w:color w:val="auto"/>
              </w:rPr>
              <w:t>with his promotion to</w:t>
            </w:r>
          </w:p>
        </w:tc>
        <w:tc>
          <w:tcPr>
            <w:tcW w:w="980" w:type="dxa"/>
            <w:vAlign w:val="bottom"/>
            <w:shd w:val="clear" w:color="auto" w:fill="D9DCE1"/>
          </w:tcPr>
          <w:p>
            <w:pPr>
              <w:spacing w:after="0"/>
              <w:rPr>
                <w:sz w:val="18"/>
                <w:szCs w:val="18"/>
                <w:color w:val="auto"/>
              </w:rPr>
            </w:pPr>
          </w:p>
        </w:tc>
        <w:tc>
          <w:tcPr>
            <w:tcW w:w="240" w:type="dxa"/>
            <w:vAlign w:val="bottom"/>
            <w:shd w:val="clear" w:color="auto" w:fill="D9DCE1"/>
          </w:tcPr>
          <w:p>
            <w:pPr>
              <w:spacing w:after="0"/>
              <w:rPr>
                <w:sz w:val="18"/>
                <w:szCs w:val="18"/>
                <w:color w:val="auto"/>
              </w:rPr>
            </w:pPr>
          </w:p>
        </w:tc>
        <w:tc>
          <w:tcPr>
            <w:tcW w:w="940" w:type="dxa"/>
            <w:vAlign w:val="bottom"/>
            <w:shd w:val="clear" w:color="auto" w:fill="D9DCE1"/>
          </w:tcPr>
          <w:p>
            <w:pPr>
              <w:spacing w:after="0"/>
              <w:rPr>
                <w:sz w:val="18"/>
                <w:szCs w:val="18"/>
                <w:color w:val="auto"/>
              </w:rPr>
            </w:pPr>
          </w:p>
        </w:tc>
        <w:tc>
          <w:tcPr>
            <w:tcW w:w="960" w:type="dxa"/>
            <w:vAlign w:val="bottom"/>
            <w:shd w:val="clear" w:color="auto" w:fill="D9DCE1"/>
          </w:tcPr>
          <w:p>
            <w:pPr>
              <w:spacing w:after="0"/>
              <w:rPr>
                <w:sz w:val="18"/>
                <w:szCs w:val="18"/>
                <w:color w:val="auto"/>
              </w:rPr>
            </w:pPr>
          </w:p>
        </w:tc>
        <w:tc>
          <w:tcPr>
            <w:tcW w:w="1160" w:type="dxa"/>
            <w:vAlign w:val="bottom"/>
            <w:shd w:val="clear" w:color="auto" w:fill="D9DCE1"/>
          </w:tcPr>
          <w:p>
            <w:pPr>
              <w:spacing w:after="0"/>
              <w:rPr>
                <w:sz w:val="18"/>
                <w:szCs w:val="18"/>
                <w:color w:val="auto"/>
              </w:rPr>
            </w:pPr>
          </w:p>
        </w:tc>
        <w:tc>
          <w:tcPr>
            <w:tcW w:w="1020" w:type="dxa"/>
            <w:vAlign w:val="bottom"/>
            <w:shd w:val="clear" w:color="auto" w:fill="D9DCE1"/>
          </w:tcPr>
          <w:p>
            <w:pPr>
              <w:spacing w:after="0"/>
              <w:rPr>
                <w:sz w:val="18"/>
                <w:szCs w:val="18"/>
                <w:color w:val="auto"/>
              </w:rPr>
            </w:pPr>
          </w:p>
        </w:tc>
        <w:tc>
          <w:tcPr>
            <w:tcW w:w="920" w:type="dxa"/>
            <w:vAlign w:val="bottom"/>
            <w:tcBorders>
              <w:right w:val="single" w:sz="8" w:color="434F69"/>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00" w:type="dxa"/>
            <w:vAlign w:val="bottom"/>
            <w:tcBorders>
              <w:left w:val="single" w:sz="8" w:color="434F69"/>
              <w:bottom w:val="single" w:sz="8" w:color="D9DCE1"/>
            </w:tcBorders>
            <w:shd w:val="clear" w:color="auto" w:fill="D9DCE1"/>
          </w:tcPr>
          <w:p>
            <w:pPr>
              <w:ind w:left="240"/>
              <w:spacing w:after="0"/>
              <w:rPr>
                <w:sz w:val="20"/>
                <w:szCs w:val="20"/>
                <w:color w:val="auto"/>
              </w:rPr>
            </w:pPr>
            <w:r>
              <w:rPr>
                <w:rFonts w:ascii="Arial" w:cs="Arial" w:eastAsia="Arial" w:hAnsi="Arial"/>
                <w:sz w:val="18"/>
                <w:szCs w:val="18"/>
                <w:color w:val="auto"/>
              </w:rPr>
              <w:t>the CEO role)</w:t>
            </w:r>
          </w:p>
        </w:tc>
        <w:tc>
          <w:tcPr>
            <w:tcW w:w="980" w:type="dxa"/>
            <w:vAlign w:val="bottom"/>
            <w:tcBorders>
              <w:bottom w:val="single" w:sz="8" w:color="D9DCE1"/>
            </w:tcBorders>
            <w:shd w:val="clear" w:color="auto" w:fill="D9DCE1"/>
          </w:tcPr>
          <w:p>
            <w:pPr>
              <w:jc w:val="right"/>
              <w:ind w:right="16"/>
              <w:spacing w:after="0"/>
              <w:rPr>
                <w:sz w:val="20"/>
                <w:szCs w:val="20"/>
                <w:color w:val="auto"/>
              </w:rPr>
            </w:pPr>
            <w:r>
              <w:rPr>
                <w:rFonts w:ascii="Arial" w:cs="Arial" w:eastAsia="Arial" w:hAnsi="Arial"/>
                <w:sz w:val="18"/>
                <w:szCs w:val="18"/>
                <w:color w:val="auto"/>
              </w:rPr>
              <w:t>500,000</w:t>
            </w:r>
          </w:p>
        </w:tc>
        <w:tc>
          <w:tcPr>
            <w:tcW w:w="24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9DCE1"/>
            </w:tcBorders>
            <w:shd w:val="clear" w:color="auto" w:fill="D9DCE1"/>
          </w:tcPr>
          <w:p>
            <w:pPr>
              <w:jc w:val="right"/>
              <w:ind w:right="54"/>
              <w:spacing w:after="0"/>
              <w:rPr>
                <w:sz w:val="20"/>
                <w:szCs w:val="20"/>
                <w:color w:val="auto"/>
              </w:rPr>
            </w:pPr>
            <w:r>
              <w:rPr>
                <w:rFonts w:ascii="Arial" w:cs="Arial" w:eastAsia="Arial" w:hAnsi="Arial"/>
                <w:sz w:val="18"/>
                <w:szCs w:val="18"/>
                <w:color w:val="auto"/>
                <w:w w:val="86"/>
              </w:rPr>
              <w:t>13,425,000</w:t>
            </w:r>
          </w:p>
        </w:tc>
        <w:tc>
          <w:tcPr>
            <w:tcW w:w="960" w:type="dxa"/>
            <w:vAlign w:val="bottom"/>
            <w:tcBorders>
              <w:bottom w:val="single" w:sz="8" w:color="D9DCE1"/>
            </w:tcBorders>
            <w:shd w:val="clear" w:color="auto" w:fill="D9DCE1"/>
          </w:tcPr>
          <w:p>
            <w:pPr>
              <w:jc w:val="right"/>
              <w:ind w:right="38"/>
              <w:spacing w:after="0"/>
              <w:rPr>
                <w:sz w:val="20"/>
                <w:szCs w:val="20"/>
                <w:color w:val="auto"/>
              </w:rPr>
            </w:pPr>
            <w:r>
              <w:rPr>
                <w:rFonts w:ascii="Arial" w:cs="Arial" w:eastAsia="Arial" w:hAnsi="Arial"/>
                <w:sz w:val="18"/>
                <w:szCs w:val="18"/>
                <w:color w:val="auto"/>
              </w:rPr>
              <w:t>500,000</w:t>
            </w:r>
          </w:p>
        </w:tc>
        <w:tc>
          <w:tcPr>
            <w:tcW w:w="1160" w:type="dxa"/>
            <w:vAlign w:val="bottom"/>
            <w:tcBorders>
              <w:bottom w:val="single" w:sz="8" w:color="D9DCE1"/>
            </w:tcBorders>
            <w:shd w:val="clear" w:color="auto" w:fill="D9DCE1"/>
          </w:tcPr>
          <w:p>
            <w:pPr>
              <w:jc w:val="center"/>
              <w:spacing w:after="0"/>
              <w:rPr>
                <w:sz w:val="20"/>
                <w:szCs w:val="20"/>
                <w:color w:val="auto"/>
              </w:rPr>
            </w:pPr>
            <w:r>
              <w:rPr>
                <w:rFonts w:ascii="Arial" w:cs="Arial" w:eastAsia="Arial" w:hAnsi="Arial"/>
                <w:sz w:val="18"/>
                <w:szCs w:val="18"/>
                <w:color w:val="auto"/>
                <w:w w:val="90"/>
              </w:rPr>
              <w:t>$4,120,000</w:t>
            </w:r>
          </w:p>
        </w:tc>
        <w:tc>
          <w:tcPr>
            <w:tcW w:w="1020" w:type="dxa"/>
            <w:vAlign w:val="bottom"/>
            <w:tcBorders>
              <w:bottom w:val="single" w:sz="8" w:color="D9DCE1"/>
            </w:tcBorders>
            <w:shd w:val="clear" w:color="auto" w:fill="D9DCE1"/>
          </w:tcPr>
          <w:p>
            <w:pPr>
              <w:jc w:val="right"/>
              <w:ind w:right="60"/>
              <w:spacing w:after="0"/>
              <w:rPr>
                <w:sz w:val="20"/>
                <w:szCs w:val="20"/>
                <w:color w:val="auto"/>
              </w:rPr>
            </w:pPr>
            <w:r>
              <w:rPr>
                <w:rFonts w:ascii="Arial" w:cs="Arial" w:eastAsia="Arial" w:hAnsi="Arial"/>
                <w:sz w:val="18"/>
                <w:szCs w:val="18"/>
                <w:color w:val="auto"/>
              </w:rPr>
              <w:t>30.7%</w:t>
            </w:r>
          </w:p>
        </w:tc>
        <w:tc>
          <w:tcPr>
            <w:tcW w:w="920" w:type="dxa"/>
            <w:vAlign w:val="bottom"/>
            <w:tcBorders>
              <w:bottom w:val="single" w:sz="8" w:color="D9DCE1"/>
              <w:right w:val="single" w:sz="8" w:color="434F69"/>
            </w:tcBorders>
            <w:shd w:val="clear" w:color="auto" w:fill="D9DCE1"/>
          </w:tcPr>
          <w:p>
            <w:pPr>
              <w:jc w:val="right"/>
              <w:ind w:right="18"/>
              <w:spacing w:after="0"/>
              <w:rPr>
                <w:sz w:val="20"/>
                <w:szCs w:val="20"/>
                <w:color w:val="auto"/>
              </w:rPr>
            </w:pPr>
            <w:r>
              <w:rPr>
                <w:rFonts w:ascii="Arial" w:cs="Arial" w:eastAsia="Arial" w:hAnsi="Arial"/>
                <w:sz w:val="18"/>
                <w:szCs w:val="18"/>
                <w:color w:val="FC0014"/>
              </w:rPr>
              <w:t>-69.3%</w:t>
            </w:r>
          </w:p>
        </w:tc>
        <w:tc>
          <w:tcPr>
            <w:tcW w:w="0" w:type="dxa"/>
            <w:vAlign w:val="bottom"/>
          </w:tcPr>
          <w:p>
            <w:pPr>
              <w:spacing w:after="0"/>
              <w:rPr>
                <w:sz w:val="1"/>
                <w:szCs w:val="1"/>
                <w:color w:val="auto"/>
              </w:rPr>
            </w:pPr>
          </w:p>
        </w:tc>
      </w:tr>
      <w:tr>
        <w:trPr>
          <w:trHeight w:val="257"/>
        </w:trPr>
        <w:tc>
          <w:tcPr>
            <w:tcW w:w="2000" w:type="dxa"/>
            <w:vAlign w:val="bottom"/>
            <w:tcBorders>
              <w:top w:val="single" w:sz="8" w:color="434F69"/>
              <w:left w:val="single" w:sz="8" w:color="434F69"/>
              <w:bottom w:val="single" w:sz="8" w:color="434F69"/>
            </w:tcBorders>
          </w:tcPr>
          <w:p>
            <w:pPr>
              <w:ind w:left="60"/>
              <w:spacing w:after="0"/>
              <w:rPr>
                <w:sz w:val="20"/>
                <w:szCs w:val="20"/>
                <w:color w:val="auto"/>
              </w:rPr>
            </w:pPr>
            <w:r>
              <w:rPr>
                <w:rFonts w:ascii="Arial" w:cs="Arial" w:eastAsia="Arial" w:hAnsi="Arial"/>
                <w:sz w:val="18"/>
                <w:szCs w:val="18"/>
                <w:color w:val="auto"/>
              </w:rPr>
              <w:t>8/15/19 (annual grant)</w:t>
            </w:r>
          </w:p>
        </w:tc>
        <w:tc>
          <w:tcPr>
            <w:tcW w:w="980" w:type="dxa"/>
            <w:vAlign w:val="bottom"/>
            <w:tcBorders>
              <w:top w:val="single" w:sz="8" w:color="434F69"/>
              <w:bottom w:val="single" w:sz="8" w:color="434F69"/>
            </w:tcBorders>
          </w:tcPr>
          <w:p>
            <w:pPr>
              <w:jc w:val="right"/>
              <w:ind w:right="16"/>
              <w:spacing w:after="0"/>
              <w:rPr>
                <w:sz w:val="20"/>
                <w:szCs w:val="20"/>
                <w:color w:val="auto"/>
              </w:rPr>
            </w:pPr>
            <w:r>
              <w:rPr>
                <w:rFonts w:ascii="Arial" w:cs="Arial" w:eastAsia="Arial" w:hAnsi="Arial"/>
                <w:sz w:val="18"/>
                <w:szCs w:val="18"/>
                <w:color w:val="auto"/>
              </w:rPr>
              <w:t>125,740</w:t>
            </w:r>
          </w:p>
        </w:tc>
        <w:tc>
          <w:tcPr>
            <w:tcW w:w="240" w:type="dxa"/>
            <w:vAlign w:val="bottom"/>
            <w:tcBorders>
              <w:top w:val="single" w:sz="8" w:color="434F69"/>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434F69"/>
              <w:bottom w:val="single" w:sz="8" w:color="434F69"/>
            </w:tcBorders>
          </w:tcPr>
          <w:p>
            <w:pPr>
              <w:jc w:val="right"/>
              <w:ind w:right="54"/>
              <w:spacing w:after="0"/>
              <w:rPr>
                <w:sz w:val="20"/>
                <w:szCs w:val="20"/>
                <w:color w:val="auto"/>
              </w:rPr>
            </w:pPr>
            <w:r>
              <w:rPr>
                <w:rFonts w:ascii="Arial" w:cs="Arial" w:eastAsia="Arial" w:hAnsi="Arial"/>
                <w:sz w:val="18"/>
                <w:szCs w:val="18"/>
                <w:color w:val="auto"/>
                <w:w w:val="97"/>
              </w:rPr>
              <w:t>2,683,292</w:t>
            </w:r>
          </w:p>
        </w:tc>
        <w:tc>
          <w:tcPr>
            <w:tcW w:w="960" w:type="dxa"/>
            <w:vAlign w:val="bottom"/>
            <w:tcBorders>
              <w:top w:val="single" w:sz="8" w:color="434F69"/>
              <w:bottom w:val="single" w:sz="8" w:color="434F69"/>
            </w:tcBorders>
          </w:tcPr>
          <w:p>
            <w:pPr>
              <w:jc w:val="right"/>
              <w:ind w:right="38"/>
              <w:spacing w:after="0"/>
              <w:rPr>
                <w:sz w:val="20"/>
                <w:szCs w:val="20"/>
                <w:color w:val="auto"/>
              </w:rPr>
            </w:pPr>
            <w:r>
              <w:rPr>
                <w:rFonts w:ascii="Arial" w:cs="Arial" w:eastAsia="Arial" w:hAnsi="Arial"/>
                <w:sz w:val="18"/>
                <w:szCs w:val="18"/>
                <w:color w:val="auto"/>
              </w:rPr>
              <w:t>125,740</w:t>
            </w:r>
          </w:p>
        </w:tc>
        <w:tc>
          <w:tcPr>
            <w:tcW w:w="1160" w:type="dxa"/>
            <w:vAlign w:val="bottom"/>
            <w:tcBorders>
              <w:top w:val="single" w:sz="8" w:color="434F69"/>
              <w:bottom w:val="single" w:sz="8" w:color="434F69"/>
            </w:tcBorders>
          </w:tcPr>
          <w:p>
            <w:pPr>
              <w:jc w:val="center"/>
              <w:spacing w:after="0"/>
              <w:rPr>
                <w:sz w:val="20"/>
                <w:szCs w:val="20"/>
                <w:color w:val="auto"/>
              </w:rPr>
            </w:pPr>
            <w:r>
              <w:rPr>
                <w:rFonts w:ascii="Arial" w:cs="Arial" w:eastAsia="Arial" w:hAnsi="Arial"/>
                <w:sz w:val="18"/>
                <w:szCs w:val="18"/>
                <w:color w:val="auto"/>
                <w:w w:val="90"/>
              </w:rPr>
              <w:t>$1,036,098</w:t>
            </w:r>
          </w:p>
        </w:tc>
        <w:tc>
          <w:tcPr>
            <w:tcW w:w="1020" w:type="dxa"/>
            <w:vAlign w:val="bottom"/>
            <w:tcBorders>
              <w:top w:val="single" w:sz="8" w:color="434F69"/>
              <w:bottom w:val="single" w:sz="8" w:color="434F69"/>
            </w:tcBorders>
          </w:tcPr>
          <w:p>
            <w:pPr>
              <w:jc w:val="right"/>
              <w:ind w:right="60"/>
              <w:spacing w:after="0"/>
              <w:rPr>
                <w:sz w:val="20"/>
                <w:szCs w:val="20"/>
                <w:color w:val="auto"/>
              </w:rPr>
            </w:pPr>
            <w:r>
              <w:rPr>
                <w:rFonts w:ascii="Arial" w:cs="Arial" w:eastAsia="Arial" w:hAnsi="Arial"/>
                <w:sz w:val="18"/>
                <w:szCs w:val="18"/>
                <w:color w:val="auto"/>
              </w:rPr>
              <w:t>38.6%</w:t>
            </w:r>
          </w:p>
        </w:tc>
        <w:tc>
          <w:tcPr>
            <w:tcW w:w="920" w:type="dxa"/>
            <w:vAlign w:val="bottom"/>
            <w:tcBorders>
              <w:top w:val="single" w:sz="8" w:color="434F69"/>
              <w:bottom w:val="single" w:sz="8" w:color="434F69"/>
              <w:right w:val="single" w:sz="8" w:color="434F69"/>
            </w:tcBorders>
          </w:tcPr>
          <w:p>
            <w:pPr>
              <w:jc w:val="right"/>
              <w:ind w:right="18"/>
              <w:spacing w:after="0"/>
              <w:rPr>
                <w:sz w:val="20"/>
                <w:szCs w:val="20"/>
                <w:color w:val="auto"/>
              </w:rPr>
            </w:pPr>
            <w:r>
              <w:rPr>
                <w:rFonts w:ascii="Arial" w:cs="Arial" w:eastAsia="Arial" w:hAnsi="Arial"/>
                <w:sz w:val="18"/>
                <w:szCs w:val="18"/>
                <w:color w:val="FC0014"/>
              </w:rPr>
              <w:t>-61.4%</w:t>
            </w:r>
          </w:p>
        </w:tc>
        <w:tc>
          <w:tcPr>
            <w:tcW w:w="0" w:type="dxa"/>
            <w:vAlign w:val="bottom"/>
          </w:tcPr>
          <w:p>
            <w:pPr>
              <w:spacing w:after="0"/>
              <w:rPr>
                <w:sz w:val="1"/>
                <w:szCs w:val="1"/>
                <w:color w:val="auto"/>
              </w:rPr>
            </w:pPr>
          </w:p>
        </w:tc>
      </w:tr>
      <w:tr>
        <w:trPr>
          <w:trHeight w:val="263"/>
        </w:trPr>
        <w:tc>
          <w:tcPr>
            <w:tcW w:w="200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8/13/20 (annual grant)</w:t>
            </w:r>
          </w:p>
        </w:tc>
        <w:tc>
          <w:tcPr>
            <w:tcW w:w="980" w:type="dxa"/>
            <w:vAlign w:val="bottom"/>
            <w:tcBorders>
              <w:bottom w:val="single" w:sz="8" w:color="434F69"/>
            </w:tcBorders>
            <w:shd w:val="clear" w:color="auto" w:fill="D9DCE1"/>
          </w:tcPr>
          <w:p>
            <w:pPr>
              <w:jc w:val="right"/>
              <w:ind w:right="16"/>
              <w:spacing w:after="0"/>
              <w:rPr>
                <w:sz w:val="20"/>
                <w:szCs w:val="20"/>
                <w:color w:val="auto"/>
              </w:rPr>
            </w:pPr>
            <w:r>
              <w:rPr>
                <w:rFonts w:ascii="Arial" w:cs="Arial" w:eastAsia="Arial" w:hAnsi="Arial"/>
                <w:sz w:val="18"/>
                <w:szCs w:val="18"/>
                <w:color w:val="auto"/>
              </w:rPr>
              <w:t>375,940</w:t>
            </w:r>
          </w:p>
        </w:tc>
        <w:tc>
          <w:tcPr>
            <w:tcW w:w="2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tcBorders>
            <w:shd w:val="clear" w:color="auto" w:fill="D9DCE1"/>
          </w:tcPr>
          <w:p>
            <w:pPr>
              <w:jc w:val="right"/>
              <w:ind w:right="54"/>
              <w:spacing w:after="0"/>
              <w:rPr>
                <w:sz w:val="20"/>
                <w:szCs w:val="20"/>
                <w:color w:val="auto"/>
              </w:rPr>
            </w:pPr>
            <w:r>
              <w:rPr>
                <w:rFonts w:ascii="Arial" w:cs="Arial" w:eastAsia="Arial" w:hAnsi="Arial"/>
                <w:sz w:val="18"/>
                <w:szCs w:val="18"/>
                <w:color w:val="auto"/>
                <w:w w:val="97"/>
              </w:rPr>
              <w:t>2,996,242</w:t>
            </w:r>
          </w:p>
        </w:tc>
        <w:tc>
          <w:tcPr>
            <w:tcW w:w="960" w:type="dxa"/>
            <w:vAlign w:val="bottom"/>
            <w:tcBorders>
              <w:bottom w:val="single" w:sz="8" w:color="434F69"/>
            </w:tcBorders>
            <w:shd w:val="clear" w:color="auto" w:fill="D9DCE1"/>
          </w:tcPr>
          <w:p>
            <w:pPr>
              <w:jc w:val="right"/>
              <w:ind w:right="38"/>
              <w:spacing w:after="0"/>
              <w:rPr>
                <w:sz w:val="20"/>
                <w:szCs w:val="20"/>
                <w:color w:val="auto"/>
              </w:rPr>
            </w:pPr>
            <w:r>
              <w:rPr>
                <w:rFonts w:ascii="Arial" w:cs="Arial" w:eastAsia="Arial" w:hAnsi="Arial"/>
                <w:sz w:val="18"/>
                <w:szCs w:val="18"/>
                <w:color w:val="auto"/>
              </w:rPr>
              <w:t>375,940</w:t>
            </w:r>
          </w:p>
        </w:tc>
        <w:tc>
          <w:tcPr>
            <w:tcW w:w="1160" w:type="dxa"/>
            <w:vAlign w:val="bottom"/>
            <w:tcBorders>
              <w:bottom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0"/>
              </w:rPr>
              <w:t>$3,097,746</w:t>
            </w:r>
          </w:p>
        </w:tc>
        <w:tc>
          <w:tcPr>
            <w:tcW w:w="1020" w:type="dxa"/>
            <w:vAlign w:val="bottom"/>
            <w:tcBorders>
              <w:bottom w:val="single" w:sz="8" w:color="434F69"/>
            </w:tcBorders>
            <w:shd w:val="clear" w:color="auto" w:fill="D9DCE1"/>
          </w:tcPr>
          <w:p>
            <w:pPr>
              <w:jc w:val="right"/>
              <w:ind w:right="60"/>
              <w:spacing w:after="0"/>
              <w:rPr>
                <w:sz w:val="20"/>
                <w:szCs w:val="20"/>
                <w:color w:val="auto"/>
              </w:rPr>
            </w:pPr>
            <w:r>
              <w:rPr>
                <w:rFonts w:ascii="Arial" w:cs="Arial" w:eastAsia="Arial" w:hAnsi="Arial"/>
                <w:sz w:val="18"/>
                <w:szCs w:val="18"/>
                <w:color w:val="auto"/>
              </w:rPr>
              <w:t>103.4%</w:t>
            </w:r>
          </w:p>
        </w:tc>
        <w:tc>
          <w:tcPr>
            <w:tcW w:w="920" w:type="dxa"/>
            <w:vAlign w:val="bottom"/>
            <w:tcBorders>
              <w:bottom w:val="single" w:sz="8" w:color="434F69"/>
              <w:right w:val="single" w:sz="8" w:color="434F69"/>
            </w:tcBorders>
            <w:shd w:val="clear" w:color="auto" w:fill="D9DCE1"/>
          </w:tcPr>
          <w:p>
            <w:pPr>
              <w:jc w:val="right"/>
              <w:ind w:right="18"/>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4"/>
        </w:trPr>
        <w:tc>
          <w:tcPr>
            <w:tcW w:w="2000" w:type="dxa"/>
            <w:vAlign w:val="bottom"/>
            <w:tcBorders>
              <w:left w:val="single" w:sz="8" w:color="434F69"/>
              <w:bottom w:val="single" w:sz="8" w:color="434F69"/>
            </w:tcBorders>
          </w:tcPr>
          <w:p>
            <w:pPr>
              <w:ind w:left="240"/>
              <w:spacing w:after="0"/>
              <w:rPr>
                <w:sz w:val="20"/>
                <w:szCs w:val="20"/>
                <w:color w:val="auto"/>
              </w:rPr>
            </w:pPr>
            <w:r>
              <w:rPr>
                <w:rFonts w:ascii="Arial" w:cs="Arial" w:eastAsia="Arial" w:hAnsi="Arial"/>
                <w:sz w:val="18"/>
                <w:szCs w:val="18"/>
                <w:b w:val="1"/>
                <w:bCs w:val="1"/>
                <w:color w:val="auto"/>
              </w:rPr>
              <w:t>Unadjusted Total</w:t>
            </w:r>
          </w:p>
        </w:tc>
        <w:tc>
          <w:tcPr>
            <w:tcW w:w="980" w:type="dxa"/>
            <w:vAlign w:val="bottom"/>
            <w:tcBorders>
              <w:bottom w:val="single" w:sz="8" w:color="434F69"/>
            </w:tcBorders>
          </w:tcPr>
          <w:p>
            <w:pPr>
              <w:jc w:val="right"/>
              <w:ind w:right="16"/>
              <w:spacing w:after="0"/>
              <w:rPr>
                <w:sz w:val="20"/>
                <w:szCs w:val="20"/>
                <w:color w:val="auto"/>
              </w:rPr>
            </w:pPr>
            <w:r>
              <w:rPr>
                <w:rFonts w:ascii="Arial" w:cs="Arial" w:eastAsia="Arial" w:hAnsi="Arial"/>
                <w:sz w:val="18"/>
                <w:szCs w:val="18"/>
                <w:b w:val="1"/>
                <w:bCs w:val="1"/>
                <w:color w:val="auto"/>
              </w:rPr>
              <w:t>1,001,680</w:t>
            </w:r>
          </w:p>
        </w:tc>
        <w:tc>
          <w:tcPr>
            <w:tcW w:w="240" w:type="dxa"/>
            <w:vAlign w:val="bottom"/>
            <w:tcBorders>
              <w:bottom w:val="single" w:sz="8" w:color="434F69"/>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434F69"/>
            </w:tcBorders>
          </w:tcPr>
          <w:p>
            <w:pPr>
              <w:jc w:val="right"/>
              <w:ind w:right="54"/>
              <w:spacing w:after="0"/>
              <w:rPr>
                <w:sz w:val="20"/>
                <w:szCs w:val="20"/>
                <w:color w:val="auto"/>
              </w:rPr>
            </w:pPr>
            <w:r>
              <w:rPr>
                <w:rFonts w:ascii="Arial" w:cs="Arial" w:eastAsia="Arial" w:hAnsi="Arial"/>
                <w:sz w:val="18"/>
                <w:szCs w:val="18"/>
                <w:b w:val="1"/>
                <w:bCs w:val="1"/>
                <w:color w:val="auto"/>
                <w:w w:val="86"/>
              </w:rPr>
              <w:t>19,104,534</w:t>
            </w:r>
          </w:p>
        </w:tc>
        <w:tc>
          <w:tcPr>
            <w:tcW w:w="960" w:type="dxa"/>
            <w:vAlign w:val="bottom"/>
            <w:tcBorders>
              <w:bottom w:val="single" w:sz="8" w:color="434F69"/>
            </w:tcBorders>
          </w:tcPr>
          <w:p>
            <w:pPr>
              <w:jc w:val="right"/>
              <w:ind w:right="38"/>
              <w:spacing w:after="0"/>
              <w:rPr>
                <w:sz w:val="20"/>
                <w:szCs w:val="20"/>
                <w:color w:val="auto"/>
              </w:rPr>
            </w:pPr>
            <w:r>
              <w:rPr>
                <w:rFonts w:ascii="Arial" w:cs="Arial" w:eastAsia="Arial" w:hAnsi="Arial"/>
                <w:sz w:val="18"/>
                <w:szCs w:val="18"/>
                <w:b w:val="1"/>
                <w:bCs w:val="1"/>
                <w:color w:val="auto"/>
              </w:rPr>
              <w:t>1,001,680</w:t>
            </w:r>
          </w:p>
        </w:tc>
        <w:tc>
          <w:tcPr>
            <w:tcW w:w="1160" w:type="dxa"/>
            <w:vAlign w:val="bottom"/>
            <w:tcBorders>
              <w:bottom w:val="single" w:sz="8" w:color="434F69"/>
            </w:tcBorders>
          </w:tcPr>
          <w:p>
            <w:pPr>
              <w:jc w:val="center"/>
              <w:spacing w:after="0"/>
              <w:rPr>
                <w:sz w:val="20"/>
                <w:szCs w:val="20"/>
                <w:color w:val="auto"/>
              </w:rPr>
            </w:pPr>
            <w:r>
              <w:rPr>
                <w:rFonts w:ascii="Arial" w:cs="Arial" w:eastAsia="Arial" w:hAnsi="Arial"/>
                <w:sz w:val="18"/>
                <w:szCs w:val="18"/>
                <w:b w:val="1"/>
                <w:bCs w:val="1"/>
                <w:color w:val="auto"/>
                <w:w w:val="90"/>
              </w:rPr>
              <w:t>$8,253,844</w:t>
            </w:r>
          </w:p>
        </w:tc>
        <w:tc>
          <w:tcPr>
            <w:tcW w:w="1020" w:type="dxa"/>
            <w:vAlign w:val="bottom"/>
            <w:tcBorders>
              <w:bottom w:val="single" w:sz="8" w:color="434F69"/>
            </w:tcBorders>
          </w:tcPr>
          <w:p>
            <w:pPr>
              <w:jc w:val="right"/>
              <w:ind w:right="40"/>
              <w:spacing w:after="0"/>
              <w:rPr>
                <w:sz w:val="20"/>
                <w:szCs w:val="20"/>
                <w:color w:val="auto"/>
              </w:rPr>
            </w:pPr>
            <w:r>
              <w:rPr>
                <w:rFonts w:ascii="Arial" w:cs="Arial" w:eastAsia="Arial" w:hAnsi="Arial"/>
                <w:sz w:val="18"/>
                <w:szCs w:val="18"/>
                <w:b w:val="1"/>
                <w:bCs w:val="1"/>
                <w:color w:val="auto"/>
              </w:rPr>
              <w:t>43.2%</w:t>
            </w:r>
          </w:p>
        </w:tc>
        <w:tc>
          <w:tcPr>
            <w:tcW w:w="92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b w:val="1"/>
                <w:bCs w:val="1"/>
                <w:color w:val="FC0014"/>
              </w:rPr>
              <w:t>-56.8%</w:t>
            </w:r>
          </w:p>
        </w:tc>
        <w:tc>
          <w:tcPr>
            <w:tcW w:w="0" w:type="dxa"/>
            <w:vAlign w:val="bottom"/>
          </w:tcPr>
          <w:p>
            <w:pPr>
              <w:spacing w:after="0"/>
              <w:rPr>
                <w:sz w:val="1"/>
                <w:szCs w:val="1"/>
                <w:color w:val="auto"/>
              </w:rPr>
            </w:pPr>
          </w:p>
        </w:tc>
      </w:tr>
      <w:tr>
        <w:trPr>
          <w:trHeight w:val="263"/>
        </w:trPr>
        <w:tc>
          <w:tcPr>
            <w:tcW w:w="2000" w:type="dxa"/>
            <w:vAlign w:val="bottom"/>
            <w:tcBorders>
              <w:left w:val="single" w:sz="8" w:color="434F69"/>
              <w:bottom w:val="single" w:sz="8" w:color="434F69"/>
            </w:tcBorders>
            <w:shd w:val="clear" w:color="auto" w:fill="D9DCE1"/>
          </w:tcPr>
          <w:p>
            <w:pPr>
              <w:ind w:left="240"/>
              <w:spacing w:after="0"/>
              <w:rPr>
                <w:sz w:val="20"/>
                <w:szCs w:val="20"/>
                <w:color w:val="auto"/>
              </w:rPr>
            </w:pPr>
            <w:r>
              <w:rPr>
                <w:rFonts w:ascii="Arial" w:cs="Arial" w:eastAsia="Arial" w:hAnsi="Arial"/>
                <w:sz w:val="18"/>
                <w:szCs w:val="18"/>
                <w:b w:val="1"/>
                <w:bCs w:val="1"/>
                <w:color w:val="auto"/>
              </w:rPr>
              <w:t>Adjusted Total</w:t>
            </w:r>
          </w:p>
        </w:tc>
        <w:tc>
          <w:tcPr>
            <w:tcW w:w="980" w:type="dxa"/>
            <w:vAlign w:val="bottom"/>
            <w:tcBorders>
              <w:bottom w:val="single" w:sz="8" w:color="434F69"/>
            </w:tcBorders>
            <w:shd w:val="clear" w:color="auto" w:fill="D9DCE1"/>
          </w:tcPr>
          <w:p>
            <w:pPr>
              <w:spacing w:after="0"/>
              <w:rPr>
                <w:sz w:val="22"/>
                <w:szCs w:val="22"/>
                <w:color w:val="auto"/>
              </w:rPr>
            </w:pPr>
          </w:p>
        </w:tc>
        <w:tc>
          <w:tcPr>
            <w:tcW w:w="240" w:type="dxa"/>
            <w:vAlign w:val="bottom"/>
            <w:tcBorders>
              <w:bottom w:val="single" w:sz="8" w:color="434F69"/>
            </w:tcBorders>
            <w:shd w:val="clear" w:color="auto" w:fill="D9DCE1"/>
          </w:tcPr>
          <w:p>
            <w:pPr>
              <w:spacing w:after="0"/>
              <w:rPr>
                <w:sz w:val="22"/>
                <w:szCs w:val="22"/>
                <w:color w:val="auto"/>
              </w:rPr>
            </w:pPr>
          </w:p>
        </w:tc>
        <w:tc>
          <w:tcPr>
            <w:tcW w:w="940" w:type="dxa"/>
            <w:vAlign w:val="bottom"/>
            <w:tcBorders>
              <w:bottom w:val="single" w:sz="8" w:color="434F69"/>
            </w:tcBorders>
            <w:shd w:val="clear" w:color="auto" w:fill="D9DCE1"/>
          </w:tcPr>
          <w:p>
            <w:pPr>
              <w:spacing w:after="0"/>
              <w:rPr>
                <w:sz w:val="22"/>
                <w:szCs w:val="22"/>
                <w:color w:val="auto"/>
              </w:rPr>
            </w:pPr>
          </w:p>
        </w:tc>
        <w:tc>
          <w:tcPr>
            <w:tcW w:w="960" w:type="dxa"/>
            <w:vAlign w:val="bottom"/>
            <w:tcBorders>
              <w:bottom w:val="single" w:sz="8" w:color="434F69"/>
            </w:tcBorders>
            <w:shd w:val="clear" w:color="auto" w:fill="D9DCE1"/>
          </w:tcPr>
          <w:p>
            <w:pPr>
              <w:spacing w:after="0"/>
              <w:rPr>
                <w:sz w:val="22"/>
                <w:szCs w:val="22"/>
                <w:color w:val="auto"/>
              </w:rPr>
            </w:pPr>
          </w:p>
        </w:tc>
        <w:tc>
          <w:tcPr>
            <w:tcW w:w="1160" w:type="dxa"/>
            <w:vAlign w:val="bottom"/>
            <w:tcBorders>
              <w:bottom w:val="single" w:sz="8" w:color="434F69"/>
            </w:tcBorders>
            <w:shd w:val="clear" w:color="auto" w:fill="D9DCE1"/>
          </w:tcPr>
          <w:p>
            <w:pPr>
              <w:jc w:val="center"/>
              <w:spacing w:after="0"/>
              <w:rPr>
                <w:sz w:val="20"/>
                <w:szCs w:val="20"/>
                <w:color w:val="auto"/>
              </w:rPr>
            </w:pPr>
            <w:r>
              <w:rPr>
                <w:rFonts w:ascii="Arial" w:cs="Arial" w:eastAsia="Arial" w:hAnsi="Arial"/>
                <w:sz w:val="18"/>
                <w:szCs w:val="18"/>
                <w:b w:val="1"/>
                <w:bCs w:val="1"/>
                <w:color w:val="auto"/>
                <w:w w:val="90"/>
              </w:rPr>
              <w:t>$4,133,844</w:t>
            </w:r>
          </w:p>
        </w:tc>
        <w:tc>
          <w:tcPr>
            <w:tcW w:w="1020" w:type="dxa"/>
            <w:vAlign w:val="bottom"/>
            <w:tcBorders>
              <w:bottom w:val="single" w:sz="8" w:color="434F69"/>
            </w:tcBorders>
            <w:shd w:val="clear" w:color="auto" w:fill="D9DCE1"/>
          </w:tcPr>
          <w:p>
            <w:pPr>
              <w:jc w:val="right"/>
              <w:ind w:right="40"/>
              <w:spacing w:after="0"/>
              <w:rPr>
                <w:sz w:val="20"/>
                <w:szCs w:val="20"/>
                <w:color w:val="auto"/>
              </w:rPr>
            </w:pPr>
            <w:r>
              <w:rPr>
                <w:rFonts w:ascii="Arial" w:cs="Arial" w:eastAsia="Arial" w:hAnsi="Arial"/>
                <w:sz w:val="18"/>
                <w:szCs w:val="18"/>
                <w:b w:val="1"/>
                <w:bCs w:val="1"/>
                <w:color w:val="auto"/>
              </w:rPr>
              <w:t>21.6%</w:t>
            </w:r>
          </w:p>
        </w:tc>
        <w:tc>
          <w:tcPr>
            <w:tcW w:w="92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b w:val="1"/>
                <w:bCs w:val="1"/>
                <w:color w:val="FC0014"/>
              </w:rPr>
              <w:t>-78.4%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188595</wp:posOffset>
            </wp:positionV>
            <wp:extent cx="12344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620" w:hanging="360"/>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Values in table exclude value of distributions received or payments made with respect to DERs.</w:t>
      </w:r>
    </w:p>
    <w:p>
      <w:pPr>
        <w:spacing w:after="0" w:line="104" w:lineRule="exact"/>
        <w:rPr>
          <w:sz w:val="20"/>
          <w:szCs w:val="20"/>
          <w:color w:val="auto"/>
        </w:rPr>
      </w:pPr>
    </w:p>
    <w:p>
      <w:pPr>
        <w:ind w:left="1620" w:right="479" w:hanging="360"/>
        <w:spacing w:after="0" w:line="219" w:lineRule="auto"/>
        <w:tabs>
          <w:tab w:leader="none" w:pos="162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Grant Date Market Value of Initial Units calculated by multiplying closing price of PAA common units on applicable grant date by number of units granted with no discount for performance thresholds or service.</w:t>
      </w:r>
    </w:p>
    <w:p>
      <w:pPr>
        <w:spacing w:after="0" w:line="81" w:lineRule="exact"/>
        <w:rPr>
          <w:rFonts w:ascii="Arial" w:cs="Arial" w:eastAsia="Arial" w:hAnsi="Arial"/>
          <w:sz w:val="27"/>
          <w:szCs w:val="27"/>
          <w:color w:val="auto"/>
          <w:vertAlign w:val="superscript"/>
        </w:rPr>
      </w:pPr>
    </w:p>
    <w:p>
      <w:pPr>
        <w:ind w:left="1620" w:right="499" w:hanging="360"/>
        <w:spacing w:after="0" w:line="207" w:lineRule="auto"/>
        <w:tabs>
          <w:tab w:leader="none" w:pos="162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color w:val="auto"/>
        </w:rPr>
        <w:t>Equals realizable market value of outstanding unvested units based on the closing market price ($8.24) of PAA common units on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545465</wp:posOffset>
            </wp:positionV>
            <wp:extent cx="4894580" cy="3446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9458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44"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We use three primary elements of compensation to achieve our executive compensation program objectives — salary, annual cash incentive awards and long-term equity incentive awards. Our mix of compensation elements is designed to reinforce near-term and long-term business and strategic objectives, recognize and reward performance, motivate long-term value creation and align the interests of our executives with those of our equity holders. The following table sets forth the key elements of our 2020 executive compensation program:</w:t>
      </w:r>
    </w:p>
    <w:p>
      <w:pPr>
        <w:spacing w:after="0" w:line="153" w:lineRule="exact"/>
        <w:rPr>
          <w:sz w:val="20"/>
          <w:szCs w:val="20"/>
          <w:color w:val="auto"/>
        </w:rPr>
      </w:pPr>
    </w:p>
    <w:tbl>
      <w:tblPr>
        <w:tblLayout w:type="fixed"/>
        <w:tblInd w:w="1270" w:type="dxa"/>
        <w:tblCellMar>
          <w:top w:w="0" w:type="dxa"/>
          <w:left w:w="0" w:type="dxa"/>
          <w:bottom w:w="0" w:type="dxa"/>
          <w:right w:w="0" w:type="dxa"/>
        </w:tblCellMar>
      </w:tblPr>
      <w:tr>
        <w:trPr>
          <w:trHeight w:val="196"/>
        </w:trPr>
        <w:tc>
          <w:tcPr>
            <w:tcW w:w="1920" w:type="dxa"/>
            <w:vAlign w:val="bottom"/>
            <w:tcBorders>
              <w:top w:val="single" w:sz="8" w:color="auto"/>
              <w:left w:val="single" w:sz="8" w:color="auto"/>
              <w:bottom w:val="single" w:sz="8" w:color="auto"/>
              <w:right w:val="single" w:sz="8" w:color="434F69"/>
            </w:tcBorders>
            <w:shd w:val="clear" w:color="auto" w:fill="434F69"/>
          </w:tcPr>
          <w:p>
            <w:pPr>
              <w:ind w:left="540"/>
              <w:spacing w:after="0"/>
              <w:rPr>
                <w:sz w:val="20"/>
                <w:szCs w:val="20"/>
                <w:color w:val="auto"/>
              </w:rPr>
            </w:pPr>
            <w:r>
              <w:rPr>
                <w:rFonts w:ascii="Arial" w:cs="Arial" w:eastAsia="Arial" w:hAnsi="Arial"/>
                <w:sz w:val="14"/>
                <w:szCs w:val="14"/>
                <w:b w:val="1"/>
                <w:bCs w:val="1"/>
                <w:color w:val="FFFFFF"/>
              </w:rPr>
              <w:t>What We Pay</w:t>
            </w:r>
          </w:p>
        </w:tc>
        <w:tc>
          <w:tcPr>
            <w:tcW w:w="2580" w:type="dxa"/>
            <w:vAlign w:val="bottom"/>
            <w:tcBorders>
              <w:top w:val="single" w:sz="8" w:color="auto"/>
              <w:bottom w:val="single" w:sz="8" w:color="auto"/>
              <w:right w:val="single" w:sz="8" w:color="434F69"/>
            </w:tcBorders>
            <w:shd w:val="clear" w:color="auto" w:fill="434F69"/>
          </w:tcPr>
          <w:p>
            <w:pPr>
              <w:ind w:left="820"/>
              <w:spacing w:after="0"/>
              <w:rPr>
                <w:sz w:val="20"/>
                <w:szCs w:val="20"/>
                <w:color w:val="auto"/>
              </w:rPr>
            </w:pPr>
            <w:r>
              <w:rPr>
                <w:rFonts w:ascii="Arial" w:cs="Arial" w:eastAsia="Arial" w:hAnsi="Arial"/>
                <w:sz w:val="14"/>
                <w:szCs w:val="14"/>
                <w:b w:val="1"/>
                <w:bCs w:val="1"/>
                <w:color w:val="FFFFFF"/>
              </w:rPr>
              <w:t>Why We Pay It</w:t>
            </w:r>
          </w:p>
        </w:tc>
        <w:tc>
          <w:tcPr>
            <w:tcW w:w="220" w:type="dxa"/>
            <w:vAlign w:val="bottom"/>
            <w:tcBorders>
              <w:top w:val="single" w:sz="8" w:color="auto"/>
              <w:bottom w:val="single" w:sz="8" w:color="auto"/>
            </w:tcBorders>
            <w:shd w:val="clear" w:color="auto" w:fill="434F69"/>
          </w:tcPr>
          <w:p>
            <w:pPr>
              <w:spacing w:after="0"/>
              <w:rPr>
                <w:sz w:val="17"/>
                <w:szCs w:val="17"/>
                <w:color w:val="auto"/>
              </w:rPr>
            </w:pPr>
          </w:p>
        </w:tc>
        <w:tc>
          <w:tcPr>
            <w:tcW w:w="3500" w:type="dxa"/>
            <w:vAlign w:val="bottom"/>
            <w:tcBorders>
              <w:top w:val="single" w:sz="8" w:color="auto"/>
              <w:bottom w:val="single" w:sz="8" w:color="auto"/>
              <w:right w:val="single" w:sz="8" w:color="auto"/>
            </w:tcBorders>
            <w:shd w:val="clear" w:color="auto" w:fill="434F69"/>
          </w:tcPr>
          <w:p>
            <w:pPr>
              <w:ind w:left="1260"/>
              <w:spacing w:after="0"/>
              <w:rPr>
                <w:sz w:val="20"/>
                <w:szCs w:val="20"/>
                <w:color w:val="auto"/>
              </w:rPr>
            </w:pPr>
            <w:r>
              <w:rPr>
                <w:rFonts w:ascii="Arial" w:cs="Arial" w:eastAsia="Arial" w:hAnsi="Arial"/>
                <w:sz w:val="14"/>
                <w:szCs w:val="14"/>
                <w:b w:val="1"/>
                <w:bCs w:val="1"/>
                <w:color w:val="FFFFFF"/>
              </w:rPr>
              <w:t>Key Features</w:t>
            </w:r>
          </w:p>
        </w:tc>
      </w:tr>
      <w:tr>
        <w:trPr>
          <w:trHeight w:val="249"/>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Base Salary</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Attract and retain high-</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Foundational element of our compensation</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performing executives by</w:t>
            </w: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program; short-term and long-term</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providing a secure and</w:t>
            </w: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incentive compensation components are</w:t>
            </w: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appropriate level of base pay</w:t>
            </w: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based on a percentage of base salary</w:t>
            </w:r>
          </w:p>
        </w:tc>
      </w:tr>
      <w:tr>
        <w:trPr>
          <w:trHeight w:val="283"/>
        </w:trPr>
        <w:tc>
          <w:tcPr>
            <w:tcW w:w="1920" w:type="dxa"/>
            <w:vAlign w:val="bottom"/>
            <w:tcBorders>
              <w:left w:val="single" w:sz="8" w:color="auto"/>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Salaries are deliberately set at level lower</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than median of benchmark peers; structure</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emphasizes variable, at-risk performance-</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based compensation over fixed</w:t>
            </w: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compensation</w:t>
            </w:r>
          </w:p>
        </w:tc>
      </w:tr>
      <w:tr>
        <w:trPr>
          <w:trHeight w:val="296"/>
        </w:trPr>
        <w:tc>
          <w:tcPr>
            <w:tcW w:w="1920" w:type="dxa"/>
            <w:vAlign w:val="bottom"/>
            <w:tcBorders>
              <w:left w:val="single" w:sz="8" w:color="auto"/>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 regular annual adjustments and no</w:t>
            </w: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changes to base salaries for NEOs in 2020</w:t>
            </w:r>
          </w:p>
        </w:tc>
      </w:tr>
      <w:tr>
        <w:trPr>
          <w:trHeight w:val="27"/>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r>
      <w:tr>
        <w:trPr>
          <w:trHeight w:val="249"/>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Annual Cash Incentive</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Motivate and reward near-term</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performance based</w:t>
            </w:r>
          </w:p>
        </w:tc>
      </w:tr>
      <w:tr>
        <w:trPr>
          <w:trHeight w:val="25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Awards</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performance and retention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Encourages achievement of objective and</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transparent annual business, ESG and</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individual goals established at beginning of</w:t>
            </w: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year</w:t>
            </w:r>
          </w:p>
        </w:tc>
      </w:tr>
      <w:tr>
        <w:trPr>
          <w:trHeight w:val="297"/>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Payout based on formulaic framework</w:t>
            </w: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1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70" w:type="dxa"/>
        <w:tblCellMar>
          <w:top w:w="0" w:type="dxa"/>
          <w:left w:w="0" w:type="dxa"/>
          <w:bottom w:w="0" w:type="dxa"/>
          <w:right w:w="0" w:type="dxa"/>
        </w:tblCellMar>
      </w:tblPr>
      <w:tr>
        <w:trPr>
          <w:trHeight w:val="209"/>
        </w:trPr>
        <w:tc>
          <w:tcPr>
            <w:tcW w:w="1920" w:type="dxa"/>
            <w:vAlign w:val="bottom"/>
            <w:tcBorders>
              <w:top w:val="single" w:sz="8" w:color="auto"/>
              <w:left w:val="single" w:sz="8" w:color="auto"/>
              <w:bottom w:val="single" w:sz="8" w:color="auto"/>
              <w:right w:val="single" w:sz="8" w:color="434F69"/>
            </w:tcBorders>
            <w:shd w:val="clear" w:color="auto" w:fill="434F69"/>
          </w:tcPr>
          <w:p>
            <w:pPr>
              <w:ind w:left="540"/>
              <w:spacing w:after="0"/>
              <w:rPr>
                <w:sz w:val="20"/>
                <w:szCs w:val="20"/>
                <w:color w:val="auto"/>
              </w:rPr>
            </w:pPr>
            <w:r>
              <w:rPr>
                <w:rFonts w:ascii="Arial" w:cs="Arial" w:eastAsia="Arial" w:hAnsi="Arial"/>
                <w:sz w:val="14"/>
                <w:szCs w:val="14"/>
                <w:b w:val="1"/>
                <w:bCs w:val="1"/>
                <w:color w:val="FFFFFF"/>
              </w:rPr>
              <w:t>What We Pay</w:t>
            </w:r>
          </w:p>
        </w:tc>
        <w:tc>
          <w:tcPr>
            <w:tcW w:w="2580" w:type="dxa"/>
            <w:vAlign w:val="bottom"/>
            <w:tcBorders>
              <w:top w:val="single" w:sz="8" w:color="auto"/>
              <w:bottom w:val="single" w:sz="8" w:color="auto"/>
              <w:right w:val="single" w:sz="8" w:color="434F69"/>
            </w:tcBorders>
            <w:shd w:val="clear" w:color="auto" w:fill="434F69"/>
          </w:tcPr>
          <w:p>
            <w:pPr>
              <w:ind w:left="820"/>
              <w:spacing w:after="0"/>
              <w:rPr>
                <w:sz w:val="20"/>
                <w:szCs w:val="20"/>
                <w:color w:val="auto"/>
              </w:rPr>
            </w:pPr>
            <w:r>
              <w:rPr>
                <w:rFonts w:ascii="Arial" w:cs="Arial" w:eastAsia="Arial" w:hAnsi="Arial"/>
                <w:sz w:val="14"/>
                <w:szCs w:val="14"/>
                <w:b w:val="1"/>
                <w:bCs w:val="1"/>
                <w:color w:val="FFFFFF"/>
              </w:rPr>
              <w:t>Why We Pay It</w:t>
            </w:r>
          </w:p>
        </w:tc>
        <w:tc>
          <w:tcPr>
            <w:tcW w:w="220" w:type="dxa"/>
            <w:vAlign w:val="bottom"/>
            <w:tcBorders>
              <w:top w:val="single" w:sz="8" w:color="auto"/>
              <w:bottom w:val="single" w:sz="8" w:color="auto"/>
            </w:tcBorders>
            <w:shd w:val="clear" w:color="auto" w:fill="434F69"/>
          </w:tcPr>
          <w:p>
            <w:pPr>
              <w:spacing w:after="0"/>
              <w:rPr>
                <w:sz w:val="18"/>
                <w:szCs w:val="18"/>
                <w:color w:val="auto"/>
              </w:rPr>
            </w:pPr>
          </w:p>
        </w:tc>
        <w:tc>
          <w:tcPr>
            <w:tcW w:w="3500" w:type="dxa"/>
            <w:vAlign w:val="bottom"/>
            <w:tcBorders>
              <w:top w:val="single" w:sz="8" w:color="auto"/>
              <w:bottom w:val="single" w:sz="8" w:color="auto"/>
              <w:right w:val="single" w:sz="8" w:color="auto"/>
            </w:tcBorders>
            <w:shd w:val="clear" w:color="auto" w:fill="434F69"/>
          </w:tcPr>
          <w:p>
            <w:pPr>
              <w:ind w:left="126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5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Long-Term Equity</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Motivate and reward long-term</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Long-term equity incentives are 50%</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Incentive Awards</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performance and retention and</w:t>
            </w: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performance based and 50% time (retention)</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create additional alignment</w:t>
            </w: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based</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with investors</w:t>
            </w: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5"/>
              </w:rPr>
              <w:t>Vesting thresholds require performance over</w:t>
            </w:r>
          </w:p>
        </w:tc>
        <w:tc>
          <w:tcPr>
            <w:tcW w:w="0" w:type="dxa"/>
            <w:vAlign w:val="bottom"/>
          </w:tcPr>
          <w:p>
            <w:pPr>
              <w:spacing w:after="0"/>
              <w:rPr>
                <w:sz w:val="1"/>
                <w:szCs w:val="1"/>
                <w:color w:val="auto"/>
              </w:rPr>
            </w:pPr>
          </w:p>
        </w:tc>
      </w:tr>
      <w:tr>
        <w:trPr>
          <w:trHeight w:val="67"/>
        </w:trPr>
        <w:tc>
          <w:tcPr>
            <w:tcW w:w="1920" w:type="dxa"/>
            <w:vAlign w:val="bottom"/>
            <w:tcBorders>
              <w:left w:val="single" w:sz="8" w:color="auto"/>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20" w:type="dxa"/>
            <w:vAlign w:val="bottom"/>
            <w:vMerge w:val="continue"/>
          </w:tcPr>
          <w:p>
            <w:pPr>
              <w:spacing w:after="0"/>
              <w:rPr>
                <w:sz w:val="5"/>
                <w:szCs w:val="5"/>
                <w:color w:val="auto"/>
              </w:rPr>
            </w:pPr>
          </w:p>
        </w:tc>
        <w:tc>
          <w:tcPr>
            <w:tcW w:w="35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multi-year period and are tied to</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achievement of long-term business goals</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financial metrics</w:t>
            </w:r>
          </w:p>
        </w:tc>
        <w:tc>
          <w:tcPr>
            <w:tcW w:w="0" w:type="dxa"/>
            <w:vAlign w:val="bottom"/>
          </w:tcPr>
          <w:p>
            <w:pPr>
              <w:spacing w:after="0"/>
              <w:rPr>
                <w:sz w:val="1"/>
                <w:szCs w:val="1"/>
                <w:color w:val="auto"/>
              </w:rPr>
            </w:pPr>
          </w:p>
        </w:tc>
      </w:tr>
      <w:tr>
        <w:trPr>
          <w:trHeight w:val="296"/>
        </w:trPr>
        <w:tc>
          <w:tcPr>
            <w:tcW w:w="1920" w:type="dxa"/>
            <w:vAlign w:val="bottom"/>
            <w:tcBorders>
              <w:left w:val="single" w:sz="8" w:color="auto"/>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2020, added relative TSR as additional</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metric with absolute TSR modifier</w:t>
            </w:r>
          </w:p>
        </w:tc>
        <w:tc>
          <w:tcPr>
            <w:tcW w:w="0" w:type="dxa"/>
            <w:vAlign w:val="bottom"/>
          </w:tcPr>
          <w:p>
            <w:pPr>
              <w:spacing w:after="0"/>
              <w:rPr>
                <w:sz w:val="1"/>
                <w:szCs w:val="1"/>
                <w:color w:val="auto"/>
              </w:rPr>
            </w:pPr>
          </w:p>
        </w:tc>
      </w:tr>
      <w:tr>
        <w:trPr>
          <w:trHeight w:val="296"/>
        </w:trPr>
        <w:tc>
          <w:tcPr>
            <w:tcW w:w="1920" w:type="dxa"/>
            <w:vAlign w:val="bottom"/>
            <w:tcBorders>
              <w:left w:val="single" w:sz="8" w:color="auto"/>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2020, strengthened DCF/CUE metric to</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require performance throughout three year</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period and added leverage modifier in line</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leverage reduction objectives of</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83"/>
        </w:trPr>
        <w:tc>
          <w:tcPr>
            <w:tcW w:w="1920" w:type="dxa"/>
            <w:vAlign w:val="bottom"/>
            <w:tcBorders>
              <w:left w:val="single" w:sz="8" w:color="auto"/>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Distribution Equivalent Rights (“DERs”)</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associated with long-term equity awards</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provide additional potential motivation and</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reward</w:t>
            </w:r>
          </w:p>
        </w:tc>
        <w:tc>
          <w:tcPr>
            <w:tcW w:w="0" w:type="dxa"/>
            <w:vAlign w:val="bottom"/>
          </w:tcPr>
          <w:p>
            <w:pPr>
              <w:spacing w:after="0"/>
              <w:rPr>
                <w:sz w:val="1"/>
                <w:szCs w:val="1"/>
                <w:color w:val="auto"/>
              </w:rPr>
            </w:pPr>
          </w:p>
        </w:tc>
      </w:tr>
      <w:tr>
        <w:trPr>
          <w:trHeight w:val="40"/>
        </w:trPr>
        <w:tc>
          <w:tcPr>
            <w:tcW w:w="19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19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Employee Benefits</w:t>
            </w:r>
          </w:p>
        </w:tc>
        <w:tc>
          <w:tcPr>
            <w:tcW w:w="25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Attract and retain talent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Customary health and welfare benefits for</w:t>
            </w:r>
          </w:p>
        </w:tc>
        <w:tc>
          <w:tcPr>
            <w:tcW w:w="0" w:type="dxa"/>
            <w:vAlign w:val="bottom"/>
          </w:tcPr>
          <w:p>
            <w:pPr>
              <w:spacing w:after="0"/>
              <w:rPr>
                <w:sz w:val="1"/>
                <w:szCs w:val="1"/>
                <w:color w:val="auto"/>
              </w:rPr>
            </w:pPr>
          </w:p>
        </w:tc>
      </w:tr>
      <w:tr>
        <w:trPr>
          <w:trHeight w:val="230"/>
        </w:trPr>
        <w:tc>
          <w:tcPr>
            <w:tcW w:w="19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all U.S. employees, including 401(k) Plan</w:t>
            </w:r>
          </w:p>
        </w:tc>
        <w:tc>
          <w:tcPr>
            <w:tcW w:w="0" w:type="dxa"/>
            <w:vAlign w:val="bottom"/>
          </w:tcPr>
          <w:p>
            <w:pPr>
              <w:spacing w:after="0"/>
              <w:rPr>
                <w:sz w:val="1"/>
                <w:szCs w:val="1"/>
                <w:color w:val="auto"/>
              </w:rPr>
            </w:pPr>
          </w:p>
        </w:tc>
      </w:tr>
      <w:tr>
        <w:trPr>
          <w:trHeight w:val="284"/>
        </w:trPr>
        <w:tc>
          <w:tcPr>
            <w:tcW w:w="1920" w:type="dxa"/>
            <w:vAlign w:val="bottom"/>
            <w:tcBorders>
              <w:left w:val="single" w:sz="8" w:color="auto"/>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 defined benefit or pension plans</w:t>
            </w:r>
          </w:p>
        </w:tc>
        <w:tc>
          <w:tcPr>
            <w:tcW w:w="0" w:type="dxa"/>
            <w:vAlign w:val="bottom"/>
          </w:tcPr>
          <w:p>
            <w:pPr>
              <w:spacing w:after="0"/>
              <w:rPr>
                <w:sz w:val="1"/>
                <w:szCs w:val="1"/>
                <w:color w:val="auto"/>
              </w:rPr>
            </w:pPr>
          </w:p>
        </w:tc>
      </w:tr>
      <w:tr>
        <w:trPr>
          <w:trHeight w:val="270"/>
        </w:trPr>
        <w:tc>
          <w:tcPr>
            <w:tcW w:w="1920" w:type="dxa"/>
            <w:vAlign w:val="bottom"/>
            <w:tcBorders>
              <w:left w:val="single" w:sz="8" w:color="auto"/>
              <w:bottom w:val="single" w:sz="8" w:color="auto"/>
              <w:right w:val="single" w:sz="8" w:color="auto"/>
            </w:tcBorders>
          </w:tcPr>
          <w:p>
            <w:pPr>
              <w:spacing w:after="0"/>
              <w:rPr>
                <w:sz w:val="23"/>
                <w:szCs w:val="23"/>
                <w:color w:val="auto"/>
              </w:rPr>
            </w:pPr>
          </w:p>
        </w:tc>
        <w:tc>
          <w:tcPr>
            <w:tcW w:w="2580" w:type="dxa"/>
            <w:vAlign w:val="bottom"/>
            <w:tcBorders>
              <w:bottom w:val="single" w:sz="8" w:color="auto"/>
              <w:right w:val="single" w:sz="8" w:color="auto"/>
            </w:tcBorders>
          </w:tcPr>
          <w:p>
            <w:pPr>
              <w:spacing w:after="0"/>
              <w:rPr>
                <w:sz w:val="23"/>
                <w:szCs w:val="23"/>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significant perquisites</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By stressing the performance-based compensation elements as described above, we strive to create a performance-driven environment in which our executive officers are:</w:t>
      </w:r>
    </w:p>
    <w:p>
      <w:pPr>
        <w:spacing w:after="0" w:line="63" w:lineRule="exact"/>
        <w:rPr>
          <w:sz w:val="20"/>
          <w:szCs w:val="20"/>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incentivized to perform over both the short term and the long term;</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rewarded for their services; and</w:t>
      </w:r>
    </w:p>
    <w:p>
      <w:pPr>
        <w:spacing w:after="0" w:line="117"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encouraged to remain with us even after meeting long-term performance thresholds in order to meet the minimum service periods and realize the opportunity to earn future rewards.</w:t>
      </w:r>
    </w:p>
    <w:p>
      <w:pPr>
        <w:spacing w:after="0" w:line="89" w:lineRule="exact"/>
        <w:rPr>
          <w:sz w:val="20"/>
          <w:szCs w:val="20"/>
          <w:color w:val="auto"/>
        </w:rPr>
      </w:pPr>
    </w:p>
    <w:p>
      <w:pPr>
        <w:ind w:left="1260" w:right="1019" w:firstLine="360"/>
        <w:spacing w:after="0" w:line="274" w:lineRule="auto"/>
        <w:rPr>
          <w:sz w:val="20"/>
          <w:szCs w:val="20"/>
          <w:color w:val="auto"/>
        </w:rPr>
      </w:pPr>
      <w:r>
        <w:rPr>
          <w:rFonts w:ascii="Arial" w:cs="Arial" w:eastAsia="Arial" w:hAnsi="Arial"/>
          <w:sz w:val="17"/>
          <w:szCs w:val="17"/>
          <w:color w:val="auto"/>
        </w:rPr>
        <w:t>We believe our compensation philosophy as implemented by application of the three primary compensation elements (i) aligns the interests of the Named Executive Officers with our unitholders,</w:t>
      </w:r>
    </w:p>
    <w:p>
      <w:pPr>
        <w:ind w:left="1260" w:right="1099"/>
        <w:spacing w:after="0" w:line="260" w:lineRule="auto"/>
        <w:tabs>
          <w:tab w:leader="none" w:pos="15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positions us to achieve our business goals, and (iii) effectively encourages the exercise of sound judgment and risk-taking that is conducive to creating and sustaining long-term value.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Independent Benchmark Study of Executive Compensation</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During 2020, our compensation committee engaged Meridian Compensation Partners, LLC (“Meridian”) to, among other things, conduct an independent benchmark study of our executive officer compensation. In connection with its engagement of Meridian, the compensation committee evaluated and confirmed Meridian’s independence relative to existing PAA or PAGP relationships or potential conflicts, in line with Nasdaq requirements.</w:t>
      </w:r>
    </w:p>
    <w:p>
      <w:pPr>
        <w:spacing w:after="0" w:line="120"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companies in our executive compensation benchmarking peer group have a range of revenues, assets, market capitalization and enterprise value. Business consolidation and unique operating models create some challenges in identifying comparative companies. Accordingly, we take a broad view of comparability to include organizations that are similar to ours and that we believe we compete with for attracting and retaining executive talent. Our compensation benchmarking peer group for 2020 included 12 companies that are primarily engaged in the midstream business in the United States, as set forth in the table below. Meridian utilized publicly available information to analyze compensation practices of the companies in the peer group, including how pay is divided among long-term incentives, annual incentives, base pay and other forms of compensation. Meridian also compared the total compensation and components</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48" w:lineRule="auto"/>
        <w:rPr>
          <w:sz w:val="20"/>
          <w:szCs w:val="20"/>
          <w:color w:val="auto"/>
        </w:rPr>
      </w:pPr>
      <w:r>
        <w:rPr>
          <w:rFonts w:ascii="Arial" w:cs="Arial" w:eastAsia="Arial" w:hAnsi="Arial"/>
          <w:sz w:val="18"/>
          <w:szCs w:val="18"/>
          <w:color w:val="auto"/>
        </w:rPr>
        <w:t>thereof for our executive officers to the total compensation and components thereof for the peer group. Meridian’s benchmark study was completed in July and presented to the compensation committee in August 2020.</w:t>
      </w:r>
    </w:p>
    <w:p>
      <w:pPr>
        <w:spacing w:after="0" w:line="15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2020 Executive Compensation Benchmarking Peer Group</w:t>
      </w:r>
    </w:p>
    <w:p>
      <w:pPr>
        <w:spacing w:after="0" w:line="203" w:lineRule="exact"/>
        <w:rPr>
          <w:sz w:val="20"/>
          <w:szCs w:val="20"/>
          <w:color w:val="auto"/>
        </w:rPr>
      </w:pPr>
    </w:p>
    <w:tbl>
      <w:tblPr>
        <w:tblLayout w:type="fixed"/>
        <w:tblInd w:w="1270" w:type="dxa"/>
        <w:tblCellMar>
          <w:top w:w="0" w:type="dxa"/>
          <w:left w:w="0" w:type="dxa"/>
          <w:bottom w:w="0" w:type="dxa"/>
          <w:right w:w="0" w:type="dxa"/>
        </w:tblCellMar>
      </w:tblPr>
      <w:tr>
        <w:trPr>
          <w:trHeight w:val="176"/>
        </w:trPr>
        <w:tc>
          <w:tcPr>
            <w:tcW w:w="1040" w:type="dxa"/>
            <w:vAlign w:val="bottom"/>
            <w:tcBorders>
              <w:left w:val="single" w:sz="8" w:color="434F69"/>
            </w:tcBorders>
            <w:shd w:val="clear" w:color="auto" w:fill="434F69"/>
          </w:tcPr>
          <w:p>
            <w:pPr>
              <w:spacing w:after="0"/>
              <w:rPr>
                <w:sz w:val="15"/>
                <w:szCs w:val="15"/>
                <w:color w:val="auto"/>
              </w:rPr>
            </w:pPr>
          </w:p>
        </w:tc>
        <w:tc>
          <w:tcPr>
            <w:tcW w:w="3080" w:type="dxa"/>
            <w:vAlign w:val="bottom"/>
            <w:tcBorders>
              <w:right w:val="single" w:sz="8" w:color="434F69"/>
            </w:tcBorders>
            <w:shd w:val="clear" w:color="auto" w:fill="434F69"/>
          </w:tcPr>
          <w:p>
            <w:pPr>
              <w:spacing w:after="0"/>
              <w:rPr>
                <w:sz w:val="15"/>
                <w:szCs w:val="15"/>
                <w:color w:val="auto"/>
              </w:rPr>
            </w:pPr>
          </w:p>
        </w:tc>
        <w:tc>
          <w:tcPr>
            <w:tcW w:w="4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Enterprise Value</w:t>
            </w:r>
          </w:p>
        </w:tc>
      </w:tr>
      <w:tr>
        <w:trPr>
          <w:trHeight w:val="257"/>
        </w:trPr>
        <w:tc>
          <w:tcPr>
            <w:tcW w:w="4120" w:type="dxa"/>
            <w:vAlign w:val="bottom"/>
            <w:tcBorders>
              <w:left w:val="single" w:sz="8" w:color="434F69"/>
              <w:right w:val="single" w:sz="8" w:color="434F69"/>
            </w:tcBorders>
            <w:gridSpan w:val="2"/>
            <w:shd w:val="clear" w:color="auto" w:fill="434F69"/>
          </w:tcPr>
          <w:p>
            <w:pPr>
              <w:ind w:left="60"/>
              <w:spacing w:after="0"/>
              <w:rPr>
                <w:sz w:val="20"/>
                <w:szCs w:val="20"/>
                <w:color w:val="auto"/>
              </w:rPr>
            </w:pPr>
            <w:r>
              <w:rPr>
                <w:rFonts w:ascii="Arial" w:cs="Arial" w:eastAsia="Arial" w:hAnsi="Arial"/>
                <w:sz w:val="14"/>
                <w:szCs w:val="14"/>
                <w:b w:val="1"/>
                <w:bCs w:val="1"/>
                <w:color w:val="FFFFFF"/>
              </w:rPr>
              <w:t>Company</w:t>
            </w:r>
          </w:p>
        </w:tc>
        <w:tc>
          <w:tcPr>
            <w:tcW w:w="41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(MM)</w:t>
            </w:r>
            <w:r>
              <w:rPr>
                <w:rFonts w:ascii="Arial" w:cs="Arial" w:eastAsia="Arial" w:hAnsi="Arial"/>
                <w:sz w:val="21"/>
                <w:szCs w:val="21"/>
                <w:b w:val="1"/>
                <w:bCs w:val="1"/>
                <w:color w:val="FFFFFF"/>
                <w:w w:val="92"/>
                <w:vertAlign w:val="superscript"/>
              </w:rPr>
              <w:t>(1)</w:t>
            </w:r>
          </w:p>
        </w:tc>
      </w:tr>
      <w:tr>
        <w:trPr>
          <w:trHeight w:val="250"/>
        </w:trPr>
        <w:tc>
          <w:tcPr>
            <w:tcW w:w="412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Energy Transfer LP</w:t>
            </w:r>
          </w:p>
        </w:tc>
        <w:tc>
          <w:tcPr>
            <w:tcW w:w="410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5"/>
              </w:rPr>
              <w:t>$82,588</w:t>
            </w:r>
          </w:p>
        </w:tc>
      </w:tr>
      <w:tr>
        <w:trPr>
          <w:trHeight w:val="250"/>
        </w:trPr>
        <w:tc>
          <w:tcPr>
            <w:tcW w:w="4120" w:type="dxa"/>
            <w:vAlign w:val="bottom"/>
            <w:tcBorders>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Enterprise Products Partners L.P.</w:t>
            </w:r>
          </w:p>
        </w:tc>
        <w:tc>
          <w:tcPr>
            <w:tcW w:w="41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5"/>
              </w:rPr>
              <w:t>$69,572</w:t>
            </w:r>
          </w:p>
        </w:tc>
      </w:tr>
      <w:tr>
        <w:trPr>
          <w:trHeight w:val="250"/>
        </w:trPr>
        <w:tc>
          <w:tcPr>
            <w:tcW w:w="412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Kinder Morgan, Inc.</w:t>
            </w:r>
          </w:p>
        </w:tc>
        <w:tc>
          <w:tcPr>
            <w:tcW w:w="410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5"/>
              </w:rPr>
              <w:t>$68,734</w:t>
            </w:r>
          </w:p>
        </w:tc>
      </w:tr>
      <w:tr>
        <w:trPr>
          <w:trHeight w:val="250"/>
        </w:trPr>
        <w:tc>
          <w:tcPr>
            <w:tcW w:w="4120" w:type="dxa"/>
            <w:vAlign w:val="bottom"/>
            <w:tcBorders>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The Williams Companies, Inc.</w:t>
            </w:r>
          </w:p>
        </w:tc>
        <w:tc>
          <w:tcPr>
            <w:tcW w:w="41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5"/>
              </w:rPr>
              <w:t>$48,613</w:t>
            </w:r>
          </w:p>
        </w:tc>
      </w:tr>
      <w:tr>
        <w:trPr>
          <w:trHeight w:val="250"/>
        </w:trPr>
        <w:tc>
          <w:tcPr>
            <w:tcW w:w="412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MPLX LP</w:t>
            </w:r>
          </w:p>
        </w:tc>
        <w:tc>
          <w:tcPr>
            <w:tcW w:w="410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5"/>
              </w:rPr>
              <w:t>$42,563</w:t>
            </w:r>
          </w:p>
        </w:tc>
      </w:tr>
      <w:tr>
        <w:trPr>
          <w:trHeight w:val="250"/>
        </w:trPr>
        <w:tc>
          <w:tcPr>
            <w:tcW w:w="4120" w:type="dxa"/>
            <w:vAlign w:val="bottom"/>
            <w:tcBorders>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ONEOK, Inc.</w:t>
            </w:r>
          </w:p>
        </w:tc>
        <w:tc>
          <w:tcPr>
            <w:tcW w:w="41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5"/>
              </w:rPr>
              <w:t>$27,098</w:t>
            </w:r>
          </w:p>
        </w:tc>
      </w:tr>
      <w:tr>
        <w:trPr>
          <w:trHeight w:val="189"/>
        </w:trPr>
        <w:tc>
          <w:tcPr>
            <w:tcW w:w="4120" w:type="dxa"/>
            <w:vAlign w:val="bottom"/>
            <w:tcBorders>
              <w:left w:val="single" w:sz="8" w:color="D9DCE1"/>
              <w:right w:val="single" w:sz="8" w:color="434F69"/>
            </w:tcBorders>
            <w:gridSpan w:val="2"/>
            <w:shd w:val="clear" w:color="auto" w:fill="D9DCE1"/>
          </w:tcPr>
          <w:p>
            <w:pPr>
              <w:ind w:left="60"/>
              <w:spacing w:after="0" w:line="189" w:lineRule="exact"/>
              <w:rPr>
                <w:sz w:val="20"/>
                <w:szCs w:val="20"/>
                <w:color w:val="auto"/>
              </w:rPr>
            </w:pPr>
            <w:r>
              <w:rPr>
                <w:rFonts w:ascii="Arial" w:cs="Arial" w:eastAsia="Arial" w:hAnsi="Arial"/>
                <w:sz w:val="18"/>
                <w:szCs w:val="18"/>
                <w:b w:val="1"/>
                <w:bCs w:val="1"/>
                <w:color w:val="auto"/>
              </w:rPr>
              <w:t>For reference:</w:t>
            </w:r>
          </w:p>
        </w:tc>
        <w:tc>
          <w:tcPr>
            <w:tcW w:w="4100" w:type="dxa"/>
            <w:vAlign w:val="bottom"/>
            <w:tcBorders>
              <w:right w:val="single" w:sz="8" w:color="434F69"/>
            </w:tcBorders>
            <w:shd w:val="clear" w:color="auto" w:fill="D9DCE1"/>
          </w:tcPr>
          <w:p>
            <w:pPr>
              <w:spacing w:after="0"/>
              <w:rPr>
                <w:sz w:val="16"/>
                <w:szCs w:val="16"/>
                <w:color w:val="auto"/>
              </w:rPr>
            </w:pPr>
          </w:p>
        </w:tc>
      </w:tr>
      <w:tr>
        <w:trPr>
          <w:trHeight w:val="20"/>
        </w:trPr>
        <w:tc>
          <w:tcPr>
            <w:tcW w:w="1040" w:type="dxa"/>
            <w:vAlign w:val="bottom"/>
            <w:tcBorders>
              <w:left w:val="single" w:sz="8" w:color="D9DCE1"/>
            </w:tcBorders>
            <w:shd w:val="clear" w:color="auto" w:fill="000000"/>
          </w:tcPr>
          <w:p>
            <w:pPr>
              <w:spacing w:after="0" w:line="20" w:lineRule="exact"/>
              <w:rPr>
                <w:sz w:val="1"/>
                <w:szCs w:val="1"/>
                <w:color w:val="auto"/>
              </w:rPr>
            </w:pPr>
          </w:p>
        </w:tc>
        <w:tc>
          <w:tcPr>
            <w:tcW w:w="3080" w:type="dxa"/>
            <w:vAlign w:val="bottom"/>
            <w:tcBorders>
              <w:right w:val="single" w:sz="8" w:color="434F69"/>
            </w:tcBorders>
            <w:shd w:val="clear" w:color="auto" w:fill="D9DCE1"/>
          </w:tcPr>
          <w:p>
            <w:pPr>
              <w:spacing w:after="0" w:line="20" w:lineRule="exact"/>
              <w:rPr>
                <w:sz w:val="1"/>
                <w:szCs w:val="1"/>
                <w:color w:val="auto"/>
              </w:rPr>
            </w:pPr>
          </w:p>
        </w:tc>
        <w:tc>
          <w:tcPr>
            <w:tcW w:w="4100" w:type="dxa"/>
            <w:vAlign w:val="bottom"/>
            <w:tcBorders>
              <w:right w:val="single" w:sz="8" w:color="434F69"/>
            </w:tcBorders>
            <w:shd w:val="clear" w:color="auto" w:fill="D9DCE1"/>
          </w:tcPr>
          <w:p>
            <w:pPr>
              <w:spacing w:after="0" w:line="20" w:lineRule="exact"/>
              <w:rPr>
                <w:sz w:val="1"/>
                <w:szCs w:val="1"/>
                <w:color w:val="auto"/>
              </w:rPr>
            </w:pPr>
          </w:p>
        </w:tc>
      </w:tr>
      <w:tr>
        <w:trPr>
          <w:trHeight w:val="218"/>
        </w:trPr>
        <w:tc>
          <w:tcPr>
            <w:tcW w:w="4120" w:type="dxa"/>
            <w:vAlign w:val="bottom"/>
            <w:tcBorders>
              <w:left w:val="single" w:sz="8" w:color="D9DCE1"/>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b w:val="1"/>
                <w:bCs w:val="1"/>
                <w:color w:val="auto"/>
                <w:w w:val="97"/>
              </w:rPr>
              <w:t>Plains All American Pipeline, L.P. and Plains GP</w:t>
            </w:r>
          </w:p>
        </w:tc>
        <w:tc>
          <w:tcPr>
            <w:tcW w:w="4100" w:type="dxa"/>
            <w:vAlign w:val="bottom"/>
            <w:tcBorders>
              <w:right w:val="single" w:sz="8" w:color="434F69"/>
            </w:tcBorders>
            <w:shd w:val="clear" w:color="auto" w:fill="D9DCE1"/>
          </w:tcPr>
          <w:p>
            <w:pPr>
              <w:spacing w:after="0"/>
              <w:rPr>
                <w:sz w:val="18"/>
                <w:szCs w:val="18"/>
                <w:color w:val="auto"/>
              </w:rPr>
            </w:pPr>
          </w:p>
        </w:tc>
      </w:tr>
      <w:tr>
        <w:trPr>
          <w:trHeight w:val="266"/>
        </w:trPr>
        <w:tc>
          <w:tcPr>
            <w:tcW w:w="4120" w:type="dxa"/>
            <w:vAlign w:val="bottom"/>
            <w:tcBorders>
              <w:left w:val="single" w:sz="8" w:color="D9DCE1"/>
              <w:bottom w:val="single" w:sz="8" w:color="D9DCE1"/>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b w:val="1"/>
                <w:bCs w:val="1"/>
                <w:color w:val="auto"/>
              </w:rPr>
              <w:t>Holdings, L.P., consolidated</w:t>
            </w:r>
          </w:p>
        </w:tc>
        <w:tc>
          <w:tcPr>
            <w:tcW w:w="410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8"/>
                <w:szCs w:val="18"/>
                <w:b w:val="1"/>
                <w:bCs w:val="1"/>
                <w:color w:val="auto"/>
                <w:w w:val="86"/>
              </w:rPr>
              <w:t>$21,843</w:t>
            </w:r>
          </w:p>
        </w:tc>
      </w:tr>
      <w:tr>
        <w:trPr>
          <w:trHeight w:val="244"/>
        </w:trPr>
        <w:tc>
          <w:tcPr>
            <w:tcW w:w="4120" w:type="dxa"/>
            <w:vAlign w:val="bottom"/>
            <w:tcBorders>
              <w:top w:val="single" w:sz="8" w:color="434F69"/>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Targa Resources Corp.</w:t>
            </w:r>
          </w:p>
        </w:tc>
        <w:tc>
          <w:tcPr>
            <w:tcW w:w="4100" w:type="dxa"/>
            <w:vAlign w:val="bottom"/>
            <w:tcBorders>
              <w:top w:val="single" w:sz="8" w:color="434F69"/>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5"/>
              </w:rPr>
              <w:t>$15,643</w:t>
            </w:r>
          </w:p>
        </w:tc>
      </w:tr>
      <w:tr>
        <w:trPr>
          <w:trHeight w:val="250"/>
        </w:trPr>
        <w:tc>
          <w:tcPr>
            <w:tcW w:w="412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Equitrans Midstream Corporation</w:t>
            </w:r>
          </w:p>
        </w:tc>
        <w:tc>
          <w:tcPr>
            <w:tcW w:w="410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5"/>
              </w:rPr>
              <w:t>$15,169</w:t>
            </w:r>
          </w:p>
        </w:tc>
      </w:tr>
      <w:tr>
        <w:trPr>
          <w:trHeight w:val="250"/>
        </w:trPr>
        <w:tc>
          <w:tcPr>
            <w:tcW w:w="4120" w:type="dxa"/>
            <w:vAlign w:val="bottom"/>
            <w:tcBorders>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Magellan Midstream Partners, L.P.</w:t>
            </w:r>
          </w:p>
        </w:tc>
        <w:tc>
          <w:tcPr>
            <w:tcW w:w="41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5"/>
              </w:rPr>
              <w:t>$14,200</w:t>
            </w:r>
          </w:p>
        </w:tc>
      </w:tr>
      <w:tr>
        <w:trPr>
          <w:trHeight w:val="250"/>
        </w:trPr>
        <w:tc>
          <w:tcPr>
            <w:tcW w:w="412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Western Midstream Partners, LP</w:t>
            </w:r>
          </w:p>
        </w:tc>
        <w:tc>
          <w:tcPr>
            <w:tcW w:w="410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5"/>
              </w:rPr>
              <w:t>$12,669</w:t>
            </w:r>
          </w:p>
        </w:tc>
      </w:tr>
      <w:tr>
        <w:trPr>
          <w:trHeight w:val="250"/>
        </w:trPr>
        <w:tc>
          <w:tcPr>
            <w:tcW w:w="4120" w:type="dxa"/>
            <w:vAlign w:val="bottom"/>
            <w:tcBorders>
              <w:bottom w:val="single" w:sz="8" w:color="434F69"/>
              <w:right w:val="single" w:sz="8" w:color="434F69"/>
            </w:tcBorders>
            <w:gridSpan w:val="2"/>
          </w:tcPr>
          <w:p>
            <w:pPr>
              <w:ind w:left="60"/>
              <w:spacing w:after="0"/>
              <w:rPr>
                <w:sz w:val="20"/>
                <w:szCs w:val="20"/>
                <w:color w:val="auto"/>
              </w:rPr>
            </w:pPr>
            <w:r>
              <w:rPr>
                <w:rFonts w:ascii="Arial" w:cs="Arial" w:eastAsia="Arial" w:hAnsi="Arial"/>
                <w:sz w:val="18"/>
                <w:szCs w:val="18"/>
                <w:color w:val="auto"/>
              </w:rPr>
              <w:t>EnLink Midstream, LLC</w:t>
            </w:r>
          </w:p>
        </w:tc>
        <w:tc>
          <w:tcPr>
            <w:tcW w:w="41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rPr>
              <w:t>$ 7,796</w:t>
            </w:r>
          </w:p>
        </w:tc>
      </w:tr>
      <w:tr>
        <w:trPr>
          <w:trHeight w:val="250"/>
        </w:trPr>
        <w:tc>
          <w:tcPr>
            <w:tcW w:w="4120" w:type="dxa"/>
            <w:vAlign w:val="bottom"/>
            <w:tcBorders>
              <w:left w:val="single" w:sz="8" w:color="D9DCE1"/>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Enable Midstream Partners, LP</w:t>
            </w:r>
          </w:p>
        </w:tc>
        <w:tc>
          <w:tcPr>
            <w:tcW w:w="410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rPr>
              <w:t>$ 6,894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4" w:lineRule="exact"/>
        <w:rPr>
          <w:sz w:val="20"/>
          <w:szCs w:val="20"/>
          <w:color w:val="auto"/>
        </w:rPr>
      </w:pPr>
    </w:p>
    <w:p>
      <w:pPr>
        <w:ind w:left="1620" w:right="1219" w:hanging="360"/>
        <w:spacing w:after="0" w:line="207" w:lineRule="auto"/>
        <w:tabs>
          <w:tab w:leader="none" w:pos="1620" w:val="left"/>
        </w:tabs>
        <w:numPr>
          <w:ilvl w:val="0"/>
          <w:numId w:val="45"/>
        </w:numPr>
        <w:rPr>
          <w:rFonts w:ascii="Arial" w:cs="Arial" w:eastAsia="Arial" w:hAnsi="Arial"/>
          <w:sz w:val="27"/>
          <w:szCs w:val="27"/>
          <w:i w:val="1"/>
          <w:iCs w:val="1"/>
          <w:color w:val="auto"/>
          <w:vertAlign w:val="superscript"/>
        </w:rPr>
      </w:pPr>
      <w:r>
        <w:rPr>
          <w:rFonts w:ascii="Arial" w:cs="Arial" w:eastAsia="Arial" w:hAnsi="Arial"/>
          <w:sz w:val="18"/>
          <w:szCs w:val="18"/>
          <w:i w:val="1"/>
          <w:iCs w:val="1"/>
          <w:color w:val="auto"/>
        </w:rPr>
        <w:t>As of July 22, 2020, which was shortly before the 2020 benchmark study was presented to the compensation committee.</w:t>
      </w:r>
    </w:p>
    <w:p>
      <w:pPr>
        <w:spacing w:after="0" w:line="107"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compensation committee also considered similar information from a broader sample of companies in the energy sector, including upstream, refining and regulated utilities, although the peer group listed above served as the primary source of external comparative information.</w:t>
      </w:r>
    </w:p>
    <w:p>
      <w:pPr>
        <w:spacing w:after="0" w:line="114"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The results of Meridian’s study validate our view that our base salary levels are generally lower than the median of our peer group and our aggregate cash compensation levels (salary and bonus) and our total compensation levels (cash plus equity) are generally competitive with the midstream industry benchmarks provided by our peer group for top executive roles (but are moderate relative to the larger and broader spectrum of energy industry competitors that compete for similar talent).</w:t>
      </w:r>
    </w:p>
    <w:p>
      <w:pPr>
        <w:spacing w:after="0" w:line="10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For a portion (25%) of our long-term incentive awards granted in 2020, we added relative total shareholder return (“TSR”) as a performance metric for the three-year performance period ending June 30, 2023. The entities and indices in our TSR Comparator Group include the following:</w:t>
      </w:r>
    </w:p>
    <w:p>
      <w:pPr>
        <w:spacing w:after="0" w:line="136" w:lineRule="exact"/>
        <w:rPr>
          <w:sz w:val="20"/>
          <w:szCs w:val="20"/>
          <w:color w:val="auto"/>
        </w:rPr>
      </w:pPr>
    </w:p>
    <w:tbl>
      <w:tblPr>
        <w:tblLayout w:type="fixed"/>
        <w:tblInd w:w="1270" w:type="dxa"/>
        <w:tblCellMar>
          <w:top w:w="0" w:type="dxa"/>
          <w:left w:w="0" w:type="dxa"/>
          <w:bottom w:w="0" w:type="dxa"/>
          <w:right w:w="0" w:type="dxa"/>
        </w:tblCellMar>
      </w:tblPr>
      <w:tr>
        <w:trPr>
          <w:trHeight w:val="265"/>
        </w:trPr>
        <w:tc>
          <w:tcPr>
            <w:tcW w:w="2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  S&amp;P 500 Index (SPX)</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MPLX LP (MPLX)</w:t>
            </w:r>
          </w:p>
        </w:tc>
        <w:tc>
          <w:tcPr>
            <w:tcW w:w="27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DCP Midstream LP (DCP)</w:t>
            </w:r>
          </w:p>
        </w:tc>
      </w:tr>
      <w:tr>
        <w:trPr>
          <w:trHeight w:val="175"/>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  Alerian MLP Total Return Index</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Energy Transfer LP (ET)</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TC Pipelines LP (TCP)</w:t>
            </w:r>
          </w:p>
        </w:tc>
      </w:tr>
      <w:tr>
        <w:trPr>
          <w:trHeight w:val="167"/>
        </w:trPr>
        <w:tc>
          <w:tcPr>
            <w:tcW w:w="27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(AMZX)</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ONEOK Inc. (OKE)</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Holly Energy Partners LP (HEP)</w:t>
            </w:r>
          </w:p>
        </w:tc>
      </w:tr>
      <w:tr>
        <w:trPr>
          <w:trHeight w:val="189"/>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  Enterprise Products Partners LP (EPD)</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Magellan Midstream Partners LP</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NuStar Energy LP (NS)</w:t>
            </w:r>
          </w:p>
        </w:tc>
      </w:tr>
      <w:tr>
        <w:trPr>
          <w:trHeight w:val="197"/>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  Kinder Morgan Inc. (KMI)</w:t>
            </w:r>
          </w:p>
        </w:tc>
        <w:tc>
          <w:tcPr>
            <w:tcW w:w="140" w:type="dxa"/>
            <w:vAlign w:val="bottom"/>
          </w:tcPr>
          <w:p>
            <w:pPr>
              <w:spacing w:after="0"/>
              <w:rPr>
                <w:sz w:val="17"/>
                <w:szCs w:val="17"/>
                <w:color w:val="auto"/>
              </w:rPr>
            </w:pPr>
          </w:p>
        </w:tc>
        <w:tc>
          <w:tcPr>
            <w:tcW w:w="2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(MMP)</w:t>
            </w:r>
          </w:p>
        </w:tc>
        <w:tc>
          <w:tcPr>
            <w:tcW w:w="27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EnLink Midstream LLC (ENLC)</w:t>
            </w:r>
          </w:p>
        </w:tc>
      </w:tr>
      <w:tr>
        <w:trPr>
          <w:trHeight w:val="162"/>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  The Williams Companies Inc. (WMB)</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2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Phillips 66 Partners LP (PSXP)</w:t>
            </w:r>
          </w:p>
        </w:tc>
        <w:tc>
          <w:tcPr>
            <w:tcW w:w="2760" w:type="dxa"/>
            <w:vAlign w:val="bottom"/>
            <w:tcBorders>
              <w:right w:val="single" w:sz="8" w:color="auto"/>
            </w:tcBorders>
          </w:tcPr>
          <w:p>
            <w:pPr>
              <w:spacing w:after="0"/>
              <w:rPr>
                <w:sz w:val="14"/>
                <w:szCs w:val="14"/>
                <w:color w:val="auto"/>
              </w:rPr>
            </w:pP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Targa Resources Corp. (TRGP)</w:t>
            </w:r>
          </w:p>
        </w:tc>
        <w:tc>
          <w:tcPr>
            <w:tcW w:w="2760" w:type="dxa"/>
            <w:vAlign w:val="bottom"/>
            <w:tcBorders>
              <w:bottom w:val="single" w:sz="8" w:color="auto"/>
              <w:right w:val="single" w:sz="8" w:color="auto"/>
            </w:tcBorders>
          </w:tcPr>
          <w:p>
            <w:pPr>
              <w:spacing w:after="0"/>
              <w:rPr>
                <w:sz w:val="16"/>
                <w:szCs w:val="16"/>
                <w:color w:val="auto"/>
              </w:rPr>
            </w:pPr>
          </w:p>
        </w:tc>
      </w:tr>
    </w:tbl>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131"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Set forth below is additional information regarding our compensation practices as they relate to the elements of our compensation program:</w:t>
      </w:r>
    </w:p>
    <w:p>
      <w:pPr>
        <w:spacing w:after="0" w:line="103"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do not make regular annual adjustments to the base salaries of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but we do make salary adjustments in connection with promotions or taking on increased responsibilities.</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Since 2018, we have utilized a more formulaic approach for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annual cash incentive awards, which we also refer to as annual bonuses. Annual cash incentive awards for the Named Executive Officers are determined within a 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 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 adjustments may be positive or negative depending on the circumstances. For example, in each of 2019 and 2020, based on recommendations made by our CEO, the compensation committee and Board exercised negative discretion to reduce the overall payout relative to what the bonus formula generated (see “— 2020 Performance Overview and Specific Application of Compensation Elements in 2020” for more information regarding 2020).</w:t>
      </w:r>
    </w:p>
    <w:p>
      <w:pPr>
        <w:spacing w:after="0" w:line="19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2020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128905</wp:posOffset>
            </wp:positionV>
            <wp:extent cx="3874770" cy="21170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477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At the end of each year, the CEO assesses the Company’s performance relative to goals and objectives established at the beginning of the year. The CEO’s written analysis of our performance examines accomplishments and shortfalls relative to established goals and objectives and also assesses overall performance against opportunities and challenges, taking into account controllable and non- controllable factors encountered during the year. The CEO also assesses the individual performance and contributions of each NEO (other than himself) towards the satisfaction of the various goals and objectives established at the beginning of the year. The CEO submits his report and the supporting detail to the compensation committee and Board for review and comment. Based on the conclusions set forth in the annual performance assessment, the CEO submits the results of the formulaic bonus calculations along with any recommendations for adjustments to the compensation committee for all Named Executive Officers other than himself. In connection with his assessment of Company and individual performance, the CEO also considers various factors, including:</w:t>
      </w:r>
    </w:p>
    <w:p>
      <w:pPr>
        <w:spacing w:after="0" w:line="85" w:lineRule="exact"/>
        <w:rPr>
          <w:sz w:val="20"/>
          <w:szCs w:val="20"/>
          <w:color w:val="auto"/>
        </w:rPr>
      </w:pPr>
    </w:p>
    <w:p>
      <w:pPr>
        <w:ind w:left="1800" w:right="65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62"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relative prospects at the end of the year with respect to future growth and performance; and</w:t>
      </w:r>
    </w:p>
    <w:p>
      <w:pPr>
        <w:spacing w:after="0" w:line="130"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positioning at the end of the year with respect to our targeted leverage metrics and credit profile.</w:t>
      </w:r>
    </w:p>
    <w:p>
      <w:pPr>
        <w:spacing w:after="0" w:line="89"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The compensation committee may adjust the CEO’s recommendations upward or downward in its discretion. The compensation committee’s recommendations are then submitted to the Board for final review and approval.</w:t>
      </w:r>
    </w:p>
    <w:p>
      <w:pPr>
        <w:spacing w:after="0" w:line="116"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As noted above, the CEO does not make a recommendation with respect to his own bonus. The compensation committee assesses the CEO’s performance and contributions toward meeting the goals and objectives established at the beginning of the year, and recommends to the Board the CEO total bonus payout it believes to be commensurate with such performance and contributions.</w:t>
      </w:r>
    </w:p>
    <w:p>
      <w:pPr>
        <w:spacing w:after="0" w:line="119"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 and time-based phantom unit grants issued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Long-Term Incentive Plans to incentivize and retain our executive officers and encourage and reward timely achievement of targeted metrics designed to align the long-term interests of the Named Executive Officers with those of our unitholders.</w:t>
      </w:r>
    </w:p>
    <w:p>
      <w:pPr>
        <w:spacing w:after="0" w:line="18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2020 Annual LTIP Award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137160</wp:posOffset>
            </wp:positionV>
            <wp:extent cx="4183380" cy="13290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8338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Named Executive Officers are eligible to receive an annual grant of phantom units based on a formula tied to salary and PAA’s unit price. The size of the annual grant for a specified individual is based on a designated target percentage of their base salary that takes into account their expected contribution in respect of longer term performance objectives.</w:t>
      </w:r>
    </w:p>
    <w:p>
      <w:pPr>
        <w:spacing w:after="0" w:line="11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Annual equity grants typically require minimum service periods of three years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and continued employment for a full three year period. Phantom unit grants for the Named Executive Officers typically include DERs, and for awards granted in 2020, DERs on the performance-based portion of such awards will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w:t>
      </w:r>
    </w:p>
    <w:p>
      <w:pPr>
        <w:spacing w:after="0" w:line="12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An additional equity incentive tool that has been used in the past involved the issuance to executives of Class B units of AAP (“AAP Management Units”). While no AAP Management Unit awards were granted in 2020, three of our Named Executive Officers (Messrs. Chiang, Goebel and McGee) held such awards during 2020. See “Outstanding Equity Awards at Fiscal Year-End” and “Certain Relationships and Related Transactions — AAP Management Units” below for more information regarding the AAP Management Units.</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2020 Performance Overview and Specific Application of Compensation Elements in 2020</w:t>
      </w:r>
    </w:p>
    <w:p>
      <w:pPr>
        <w:spacing w:after="0" w:line="144"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At the beginning of 2020, we established key qualitative goals and quantitative financial, safety and environmental objectives. We also set important commercial, operational and organizational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85090</wp:posOffset>
            </wp:positionV>
            <wp:extent cx="5212080" cy="2940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2940050"/>
                    </a:xfrm>
                    <a:prstGeom prst="rect">
                      <a:avLst/>
                    </a:prstGeom>
                    <a:noFill/>
                  </pic:spPr>
                </pic:pic>
              </a:graphicData>
            </a:graphic>
          </wp:anchor>
        </w:drawing>
      </w:r>
    </w:p>
    <w:p>
      <w:pPr>
        <w:spacing w:after="0" w:line="145"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FFFFFF"/>
        </w:rPr>
        <w:t>2020 Performance Objectives and Results (all figures rounded)</w:t>
      </w:r>
    </w:p>
    <w:p>
      <w:pPr>
        <w:spacing w:after="0" w:line="6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Quantitative Goals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204"/>
        </w:trPr>
        <w:tc>
          <w:tcPr>
            <w:tcW w:w="20" w:type="dxa"/>
            <w:vAlign w:val="bottom"/>
            <w:tcBorders>
              <w:top w:val="single" w:sz="8" w:color="434F69"/>
            </w:tcBorders>
          </w:tcPr>
          <w:p>
            <w:pPr>
              <w:spacing w:after="0"/>
              <w:rPr>
                <w:sz w:val="17"/>
                <w:szCs w:val="17"/>
                <w:color w:val="auto"/>
              </w:rPr>
            </w:pPr>
          </w:p>
        </w:tc>
        <w:tc>
          <w:tcPr>
            <w:tcW w:w="2720" w:type="dxa"/>
            <w:vAlign w:val="bottom"/>
            <w:tcBorders>
              <w:top w:val="single" w:sz="8" w:color="434F69"/>
              <w:right w:val="single" w:sz="8" w:color="434F69"/>
            </w:tcBorders>
          </w:tcPr>
          <w:p>
            <w:pPr>
              <w:ind w:left="1100"/>
              <w:spacing w:after="0"/>
              <w:rPr>
                <w:sz w:val="20"/>
                <w:szCs w:val="20"/>
                <w:color w:val="auto"/>
              </w:rPr>
            </w:pPr>
            <w:r>
              <w:rPr>
                <w:rFonts w:ascii="Arial" w:cs="Arial" w:eastAsia="Arial" w:hAnsi="Arial"/>
                <w:sz w:val="14"/>
                <w:szCs w:val="14"/>
                <w:b w:val="1"/>
                <w:bCs w:val="1"/>
                <w:color w:val="auto"/>
              </w:rPr>
              <w:t>Metrics</w:t>
            </w:r>
          </w:p>
        </w:tc>
        <w:tc>
          <w:tcPr>
            <w:tcW w:w="2740" w:type="dxa"/>
            <w:vAlign w:val="bottom"/>
            <w:tcBorders>
              <w:top w:val="single" w:sz="8" w:color="434F69"/>
              <w:right w:val="single" w:sz="8" w:color="434F69"/>
            </w:tcBorders>
          </w:tcPr>
          <w:p>
            <w:pPr>
              <w:ind w:left="1040"/>
              <w:spacing w:after="0"/>
              <w:rPr>
                <w:sz w:val="20"/>
                <w:szCs w:val="20"/>
                <w:color w:val="auto"/>
              </w:rPr>
            </w:pPr>
            <w:r>
              <w:rPr>
                <w:rFonts w:ascii="Arial" w:cs="Arial" w:eastAsia="Arial" w:hAnsi="Arial"/>
                <w:sz w:val="14"/>
                <w:szCs w:val="14"/>
                <w:b w:val="1"/>
                <w:bCs w:val="1"/>
                <w:color w:val="auto"/>
              </w:rPr>
              <w:t>2020 Goals</w:t>
            </w:r>
          </w:p>
        </w:tc>
        <w:tc>
          <w:tcPr>
            <w:tcW w:w="2700" w:type="dxa"/>
            <w:vAlign w:val="bottom"/>
            <w:tcBorders>
              <w:top w:val="single" w:sz="8" w:color="434F69"/>
            </w:tcBorders>
          </w:tcPr>
          <w:p>
            <w:pPr>
              <w:ind w:left="1000"/>
              <w:spacing w:after="0"/>
              <w:rPr>
                <w:sz w:val="20"/>
                <w:szCs w:val="20"/>
                <w:color w:val="auto"/>
              </w:rPr>
            </w:pPr>
            <w:r>
              <w:rPr>
                <w:rFonts w:ascii="Arial" w:cs="Arial" w:eastAsia="Arial" w:hAnsi="Arial"/>
                <w:sz w:val="14"/>
                <w:szCs w:val="14"/>
                <w:b w:val="1"/>
                <w:bCs w:val="1"/>
                <w:color w:val="auto"/>
              </w:rPr>
              <w:t>2020 Results</w:t>
            </w:r>
          </w:p>
        </w:tc>
        <w:tc>
          <w:tcPr>
            <w:tcW w:w="0" w:type="dxa"/>
            <w:vAlign w:val="bottom"/>
          </w:tcPr>
          <w:p>
            <w:pPr>
              <w:spacing w:after="0"/>
              <w:rPr>
                <w:sz w:val="1"/>
                <w:szCs w:val="1"/>
                <w:color w:val="auto"/>
              </w:rPr>
            </w:pPr>
          </w:p>
        </w:tc>
      </w:tr>
      <w:tr>
        <w:trPr>
          <w:trHeight w:val="26"/>
        </w:trPr>
        <w:tc>
          <w:tcPr>
            <w:tcW w:w="20" w:type="dxa"/>
            <w:vAlign w:val="bottom"/>
            <w:tcBorders>
              <w:bottom w:val="single" w:sz="8" w:color="434F69"/>
            </w:tcBorders>
          </w:tcPr>
          <w:p>
            <w:pPr>
              <w:spacing w:after="0"/>
              <w:rPr>
                <w:sz w:val="2"/>
                <w:szCs w:val="2"/>
                <w:color w:val="auto"/>
              </w:rPr>
            </w:pPr>
          </w:p>
        </w:tc>
        <w:tc>
          <w:tcPr>
            <w:tcW w:w="2720" w:type="dxa"/>
            <w:vAlign w:val="bottom"/>
            <w:tcBorders>
              <w:bottom w:val="single" w:sz="8" w:color="434F69"/>
              <w:right w:val="single" w:sz="8" w:color="434F69"/>
            </w:tcBorders>
          </w:tcPr>
          <w:p>
            <w:pPr>
              <w:spacing w:after="0"/>
              <w:rPr>
                <w:sz w:val="2"/>
                <w:szCs w:val="2"/>
                <w:color w:val="auto"/>
              </w:rPr>
            </w:pPr>
          </w:p>
        </w:tc>
        <w:tc>
          <w:tcPr>
            <w:tcW w:w="2740" w:type="dxa"/>
            <w:vAlign w:val="bottom"/>
            <w:tcBorders>
              <w:bottom w:val="single" w:sz="8" w:color="434F69"/>
              <w:right w:val="single" w:sz="8" w:color="434F69"/>
            </w:tcBorders>
          </w:tcPr>
          <w:p>
            <w:pPr>
              <w:spacing w:after="0"/>
              <w:rPr>
                <w:sz w:val="2"/>
                <w:szCs w:val="2"/>
                <w:color w:val="auto"/>
              </w:rPr>
            </w:pPr>
          </w:p>
        </w:tc>
        <w:tc>
          <w:tcPr>
            <w:tcW w:w="2700" w:type="dxa"/>
            <w:vAlign w:val="bottom"/>
            <w:tcBorders>
              <w:bottom w:val="single" w:sz="8" w:color="434F69"/>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434F69"/>
            </w:tcBorders>
          </w:tcPr>
          <w:p>
            <w:pPr>
              <w:spacing w:after="0"/>
              <w:rPr>
                <w:sz w:val="22"/>
                <w:szCs w:val="22"/>
                <w:color w:val="auto"/>
              </w:rPr>
            </w:pPr>
          </w:p>
        </w:tc>
        <w:tc>
          <w:tcPr>
            <w:tcW w:w="2720" w:type="dxa"/>
            <w:vAlign w:val="bottom"/>
            <w:tcBorders>
              <w:bottom w:val="single" w:sz="8" w:color="434F69"/>
              <w:right w:val="single" w:sz="8" w:color="434F69"/>
            </w:tcBorders>
          </w:tcPr>
          <w:p>
            <w:pPr>
              <w:ind w:left="40"/>
              <w:spacing w:after="0" w:line="263"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3</w:t>
            </w:r>
          </w:p>
        </w:tc>
        <w:tc>
          <w:tcPr>
            <w:tcW w:w="2740" w:type="dxa"/>
            <w:vAlign w:val="bottom"/>
            <w:tcBorders>
              <w:bottom w:val="single" w:sz="8" w:color="434F69"/>
              <w:right w:val="single" w:sz="8" w:color="434F69"/>
            </w:tcBorders>
          </w:tcPr>
          <w:p>
            <w:pPr>
              <w:ind w:left="80"/>
              <w:spacing w:after="0"/>
              <w:rPr>
                <w:sz w:val="20"/>
                <w:szCs w:val="20"/>
                <w:color w:val="auto"/>
              </w:rPr>
            </w:pPr>
            <w:r>
              <w:rPr>
                <w:rFonts w:ascii="Arial" w:cs="Arial" w:eastAsia="Arial" w:hAnsi="Arial"/>
                <w:sz w:val="18"/>
                <w:szCs w:val="18"/>
                <w:color w:val="auto"/>
              </w:rPr>
              <w:t>$2.6 billion</w:t>
            </w:r>
          </w:p>
        </w:tc>
        <w:tc>
          <w:tcPr>
            <w:tcW w:w="27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rPr>
              <w:t>$2.56 billion</w:t>
            </w:r>
          </w:p>
        </w:tc>
        <w:tc>
          <w:tcPr>
            <w:tcW w:w="0" w:type="dxa"/>
            <w:vAlign w:val="bottom"/>
          </w:tcPr>
          <w:p>
            <w:pPr>
              <w:spacing w:after="0"/>
              <w:rPr>
                <w:sz w:val="1"/>
                <w:szCs w:val="1"/>
                <w:color w:val="auto"/>
              </w:rPr>
            </w:pPr>
          </w:p>
        </w:tc>
      </w:tr>
      <w:tr>
        <w:trPr>
          <w:trHeight w:val="244"/>
        </w:trPr>
        <w:tc>
          <w:tcPr>
            <w:tcW w:w="20" w:type="dxa"/>
            <w:vAlign w:val="bottom"/>
            <w:tcBorders>
              <w:bottom w:val="single" w:sz="8" w:color="434F69"/>
            </w:tcBorders>
          </w:tcPr>
          <w:p>
            <w:pPr>
              <w:spacing w:after="0"/>
              <w:rPr>
                <w:sz w:val="21"/>
                <w:szCs w:val="21"/>
                <w:color w:val="auto"/>
              </w:rPr>
            </w:pPr>
          </w:p>
        </w:tc>
        <w:tc>
          <w:tcPr>
            <w:tcW w:w="2720" w:type="dxa"/>
            <w:vAlign w:val="bottom"/>
            <w:tcBorders>
              <w:bottom w:val="single" w:sz="8" w:color="434F69"/>
              <w:right w:val="single" w:sz="8" w:color="434F69"/>
            </w:tcBorders>
          </w:tcPr>
          <w:p>
            <w:pPr>
              <w:ind w:left="40"/>
              <w:spacing w:after="0"/>
              <w:rPr>
                <w:sz w:val="20"/>
                <w:szCs w:val="20"/>
                <w:color w:val="auto"/>
              </w:rPr>
            </w:pPr>
            <w:r>
              <w:rPr>
                <w:rFonts w:ascii="Arial" w:cs="Arial" w:eastAsia="Arial" w:hAnsi="Arial"/>
                <w:sz w:val="18"/>
                <w:szCs w:val="18"/>
                <w:color w:val="auto"/>
              </w:rPr>
              <w:t>DCF per common unit and CUE</w:t>
            </w:r>
          </w:p>
        </w:tc>
        <w:tc>
          <w:tcPr>
            <w:tcW w:w="2740" w:type="dxa"/>
            <w:vAlign w:val="bottom"/>
            <w:tcBorders>
              <w:bottom w:val="single" w:sz="8" w:color="434F69"/>
              <w:right w:val="single" w:sz="8" w:color="434F69"/>
            </w:tcBorders>
          </w:tcPr>
          <w:p>
            <w:pPr>
              <w:ind w:left="80"/>
              <w:spacing w:after="0"/>
              <w:rPr>
                <w:sz w:val="20"/>
                <w:szCs w:val="20"/>
                <w:color w:val="auto"/>
              </w:rPr>
            </w:pPr>
            <w:r>
              <w:rPr>
                <w:rFonts w:ascii="Arial" w:cs="Arial" w:eastAsia="Arial" w:hAnsi="Arial"/>
                <w:sz w:val="18"/>
                <w:szCs w:val="18"/>
                <w:color w:val="auto"/>
              </w:rPr>
              <w:t>$2.29</w:t>
            </w:r>
          </w:p>
        </w:tc>
        <w:tc>
          <w:tcPr>
            <w:tcW w:w="27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20" w:type="dxa"/>
            <w:vAlign w:val="bottom"/>
            <w:tcBorders>
              <w:right w:val="single" w:sz="8" w:color="434F69"/>
            </w:tcBorders>
          </w:tcPr>
          <w:p>
            <w:pPr>
              <w:ind w:left="40"/>
              <w:spacing w:after="0"/>
              <w:rPr>
                <w:sz w:val="20"/>
                <w:szCs w:val="20"/>
                <w:color w:val="auto"/>
              </w:rPr>
            </w:pPr>
            <w:r>
              <w:rPr>
                <w:rFonts w:ascii="Arial" w:cs="Arial" w:eastAsia="Arial" w:hAnsi="Arial"/>
                <w:sz w:val="18"/>
                <w:szCs w:val="18"/>
                <w:color w:val="auto"/>
              </w:rPr>
              <w:t>Safety and Environmental</w:t>
            </w:r>
          </w:p>
        </w:tc>
        <w:tc>
          <w:tcPr>
            <w:tcW w:w="2740" w:type="dxa"/>
            <w:vAlign w:val="bottom"/>
            <w:tcBorders>
              <w:right w:val="single" w:sz="8" w:color="434F69"/>
            </w:tcBorders>
          </w:tcPr>
          <w:p>
            <w:pPr>
              <w:ind w:left="80"/>
              <w:spacing w:after="0"/>
              <w:rPr>
                <w:sz w:val="20"/>
                <w:szCs w:val="20"/>
                <w:color w:val="auto"/>
              </w:rPr>
            </w:pPr>
            <w:r>
              <w:rPr>
                <w:rFonts w:ascii="Arial" w:cs="Arial" w:eastAsia="Arial" w:hAnsi="Arial"/>
                <w:sz w:val="18"/>
                <w:szCs w:val="18"/>
                <w:color w:val="auto"/>
                <w:w w:val="98"/>
              </w:rPr>
              <w:t>20% year over year improvement</w:t>
            </w:r>
          </w:p>
        </w:tc>
        <w:tc>
          <w:tcPr>
            <w:tcW w:w="2700" w:type="dxa"/>
            <w:vAlign w:val="bottom"/>
          </w:tcPr>
          <w:p>
            <w:pPr>
              <w:ind w:left="100"/>
              <w:spacing w:after="0"/>
              <w:rPr>
                <w:sz w:val="20"/>
                <w:szCs w:val="20"/>
                <w:color w:val="auto"/>
              </w:rPr>
            </w:pPr>
            <w:r>
              <w:rPr>
                <w:rFonts w:ascii="Arial" w:cs="Arial" w:eastAsia="Arial" w:hAnsi="Arial"/>
                <w:sz w:val="18"/>
                <w:szCs w:val="18"/>
                <w:color w:val="auto"/>
              </w:rPr>
              <w:t>•  27% reduction in recordable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right w:val="single" w:sz="8" w:color="434F69"/>
            </w:tcBorders>
          </w:tcPr>
          <w:p>
            <w:pPr>
              <w:spacing w:after="0"/>
              <w:rPr>
                <w:sz w:val="18"/>
                <w:szCs w:val="18"/>
                <w:color w:val="auto"/>
              </w:rPr>
            </w:pPr>
          </w:p>
        </w:tc>
        <w:tc>
          <w:tcPr>
            <w:tcW w:w="2740" w:type="dxa"/>
            <w:vAlign w:val="bottom"/>
            <w:tcBorders>
              <w:right w:val="single" w:sz="8" w:color="434F69"/>
            </w:tcBorders>
          </w:tcPr>
          <w:p>
            <w:pPr>
              <w:ind w:left="80"/>
              <w:spacing w:after="0"/>
              <w:rPr>
                <w:sz w:val="20"/>
                <w:szCs w:val="20"/>
                <w:color w:val="auto"/>
              </w:rPr>
            </w:pPr>
            <w:r>
              <w:rPr>
                <w:rFonts w:ascii="Arial" w:cs="Arial" w:eastAsia="Arial" w:hAnsi="Arial"/>
                <w:sz w:val="18"/>
                <w:szCs w:val="18"/>
                <w:color w:val="auto"/>
              </w:rPr>
              <w:t>in certain safety and</w:t>
            </w:r>
          </w:p>
        </w:tc>
        <w:tc>
          <w:tcPr>
            <w:tcW w:w="2700" w:type="dxa"/>
            <w:vAlign w:val="bottom"/>
          </w:tcPr>
          <w:p>
            <w:pPr>
              <w:ind w:left="280"/>
              <w:spacing w:after="0"/>
              <w:rPr>
                <w:sz w:val="20"/>
                <w:szCs w:val="20"/>
                <w:color w:val="auto"/>
              </w:rPr>
            </w:pPr>
            <w:r>
              <w:rPr>
                <w:rFonts w:ascii="Arial" w:cs="Arial" w:eastAsia="Arial" w:hAnsi="Arial"/>
                <w:sz w:val="18"/>
                <w:szCs w:val="18"/>
                <w:color w:val="auto"/>
              </w:rPr>
              <w:t>injury 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Borders>
              <w:right w:val="single" w:sz="8" w:color="434F69"/>
            </w:tcBorders>
          </w:tcPr>
          <w:p>
            <w:pPr>
              <w:spacing w:after="0"/>
              <w:rPr>
                <w:sz w:val="20"/>
                <w:szCs w:val="20"/>
                <w:color w:val="auto"/>
              </w:rPr>
            </w:pPr>
          </w:p>
        </w:tc>
        <w:tc>
          <w:tcPr>
            <w:tcW w:w="2740" w:type="dxa"/>
            <w:vAlign w:val="bottom"/>
            <w:tcBorders>
              <w:right w:val="single" w:sz="8" w:color="434F69"/>
            </w:tcBorders>
          </w:tcPr>
          <w:p>
            <w:pPr>
              <w:ind w:left="80"/>
              <w:spacing w:after="0"/>
              <w:rPr>
                <w:sz w:val="20"/>
                <w:szCs w:val="20"/>
                <w:color w:val="auto"/>
              </w:rPr>
            </w:pPr>
            <w:r>
              <w:rPr>
                <w:rFonts w:ascii="Arial" w:cs="Arial" w:eastAsia="Arial" w:hAnsi="Arial"/>
                <w:sz w:val="18"/>
                <w:szCs w:val="18"/>
                <w:color w:val="auto"/>
              </w:rPr>
              <w:t>environmental metrics</w:t>
            </w:r>
          </w:p>
        </w:tc>
        <w:tc>
          <w:tcPr>
            <w:tcW w:w="2700" w:type="dxa"/>
            <w:vAlign w:val="bottom"/>
            <w:vMerge w:val="restart"/>
          </w:tcPr>
          <w:p>
            <w:pPr>
              <w:ind w:left="100"/>
              <w:spacing w:after="0"/>
              <w:rPr>
                <w:sz w:val="20"/>
                <w:szCs w:val="20"/>
                <w:color w:val="auto"/>
              </w:rPr>
            </w:pPr>
            <w:r>
              <w:rPr>
                <w:rFonts w:ascii="Arial" w:cs="Arial" w:eastAsia="Arial" w:hAnsi="Arial"/>
                <w:sz w:val="18"/>
                <w:szCs w:val="18"/>
                <w:color w:val="auto"/>
              </w:rPr>
              <w:t>•  26% reduction in federally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20" w:type="dxa"/>
            <w:vAlign w:val="bottom"/>
            <w:tcBorders>
              <w:right w:val="single" w:sz="8" w:color="434F69"/>
            </w:tcBorders>
          </w:tcPr>
          <w:p>
            <w:pPr>
              <w:spacing w:after="0"/>
              <w:rPr>
                <w:sz w:val="5"/>
                <w:szCs w:val="5"/>
                <w:color w:val="auto"/>
              </w:rPr>
            </w:pPr>
          </w:p>
        </w:tc>
        <w:tc>
          <w:tcPr>
            <w:tcW w:w="2740" w:type="dxa"/>
            <w:vAlign w:val="bottom"/>
            <w:tcBorders>
              <w:right w:val="single" w:sz="8" w:color="434F69"/>
            </w:tcBorders>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Borders>
              <w:right w:val="single" w:sz="8" w:color="434F69"/>
            </w:tcBorders>
          </w:tcPr>
          <w:p>
            <w:pPr>
              <w:spacing w:after="0"/>
              <w:rPr>
                <w:sz w:val="20"/>
                <w:szCs w:val="20"/>
                <w:color w:val="auto"/>
              </w:rPr>
            </w:pPr>
          </w:p>
        </w:tc>
        <w:tc>
          <w:tcPr>
            <w:tcW w:w="2740" w:type="dxa"/>
            <w:vAlign w:val="bottom"/>
            <w:tcBorders>
              <w:right w:val="single" w:sz="8" w:color="434F69"/>
            </w:tcBorders>
          </w:tcPr>
          <w:p>
            <w:pPr>
              <w:spacing w:after="0"/>
              <w:rPr>
                <w:sz w:val="20"/>
                <w:szCs w:val="20"/>
                <w:color w:val="auto"/>
              </w:rPr>
            </w:pPr>
          </w:p>
        </w:tc>
        <w:tc>
          <w:tcPr>
            <w:tcW w:w="2700" w:type="dxa"/>
            <w:vAlign w:val="bottom"/>
          </w:tcPr>
          <w:p>
            <w:pPr>
              <w:ind w:left="280"/>
              <w:spacing w:after="0"/>
              <w:rPr>
                <w:sz w:val="20"/>
                <w:szCs w:val="20"/>
                <w:color w:val="auto"/>
              </w:rPr>
            </w:pPr>
            <w:r>
              <w:rPr>
                <w:rFonts w:ascii="Arial" w:cs="Arial" w:eastAsia="Arial" w:hAnsi="Arial"/>
                <w:sz w:val="18"/>
                <w:szCs w:val="18"/>
                <w:color w:val="auto"/>
              </w:rPr>
              <w:t>reportable releases</w:t>
            </w:r>
          </w:p>
        </w:tc>
        <w:tc>
          <w:tcPr>
            <w:tcW w:w="0" w:type="dxa"/>
            <w:vAlign w:val="bottom"/>
          </w:tcPr>
          <w:p>
            <w:pPr>
              <w:spacing w:after="0"/>
              <w:rPr>
                <w:sz w:val="1"/>
                <w:szCs w:val="1"/>
                <w:color w:val="auto"/>
              </w:rPr>
            </w:pPr>
          </w:p>
        </w:tc>
      </w:tr>
      <w:tr>
        <w:trPr>
          <w:trHeight w:val="81"/>
        </w:trPr>
        <w:tc>
          <w:tcPr>
            <w:tcW w:w="20" w:type="dxa"/>
            <w:vAlign w:val="bottom"/>
            <w:tcBorders>
              <w:bottom w:val="single" w:sz="8" w:color="434F69"/>
            </w:tcBorders>
          </w:tcPr>
          <w:p>
            <w:pPr>
              <w:spacing w:after="0"/>
              <w:rPr>
                <w:sz w:val="7"/>
                <w:szCs w:val="7"/>
                <w:color w:val="auto"/>
              </w:rPr>
            </w:pPr>
          </w:p>
        </w:tc>
        <w:tc>
          <w:tcPr>
            <w:tcW w:w="2720" w:type="dxa"/>
            <w:vAlign w:val="bottom"/>
            <w:tcBorders>
              <w:bottom w:val="single" w:sz="8" w:color="434F69"/>
              <w:right w:val="single" w:sz="8" w:color="434F69"/>
            </w:tcBorders>
          </w:tcPr>
          <w:p>
            <w:pPr>
              <w:spacing w:after="0"/>
              <w:rPr>
                <w:sz w:val="7"/>
                <w:szCs w:val="7"/>
                <w:color w:val="auto"/>
              </w:rPr>
            </w:pPr>
          </w:p>
        </w:tc>
        <w:tc>
          <w:tcPr>
            <w:tcW w:w="2740" w:type="dxa"/>
            <w:vAlign w:val="bottom"/>
            <w:tcBorders>
              <w:bottom w:val="single" w:sz="8" w:color="434F69"/>
              <w:right w:val="single" w:sz="8" w:color="434F69"/>
            </w:tcBorders>
          </w:tcPr>
          <w:p>
            <w:pPr>
              <w:spacing w:after="0"/>
              <w:rPr>
                <w:sz w:val="7"/>
                <w:szCs w:val="7"/>
                <w:color w:val="auto"/>
              </w:rPr>
            </w:pPr>
          </w:p>
        </w:tc>
        <w:tc>
          <w:tcPr>
            <w:tcW w:w="2700" w:type="dxa"/>
            <w:vAlign w:val="bottom"/>
            <w:tcBorders>
              <w:bottom w:val="single" w:sz="8" w:color="434F69"/>
            </w:tcBorders>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20" w:type="dxa"/>
            <w:vAlign w:val="bottom"/>
            <w:tcBorders>
              <w:right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auto"/>
              </w:rPr>
              <w:t>Qualitative Goals</w:t>
            </w:r>
          </w:p>
        </w:tc>
        <w:tc>
          <w:tcPr>
            <w:tcW w:w="2740" w:type="dxa"/>
            <w:vAlign w:val="bottom"/>
            <w:tcBorders>
              <w:right w:val="single" w:sz="8" w:color="D9DCE1"/>
            </w:tcBorders>
            <w:shd w:val="clear" w:color="auto" w:fill="D9DCE1"/>
          </w:tcPr>
          <w:p>
            <w:pPr>
              <w:spacing w:after="0"/>
              <w:rPr>
                <w:sz w:val="17"/>
                <w:szCs w:val="17"/>
                <w:color w:val="auto"/>
              </w:rPr>
            </w:pPr>
          </w:p>
        </w:tc>
        <w:tc>
          <w:tcPr>
            <w:tcW w:w="2700" w:type="dxa"/>
            <w:vAlign w:val="bottom"/>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720" w:type="dxa"/>
            <w:vAlign w:val="bottom"/>
            <w:tcBorders>
              <w:right w:val="single" w:sz="8" w:color="D9DCE1"/>
            </w:tcBorders>
            <w:shd w:val="clear" w:color="auto" w:fill="D9DCE1"/>
          </w:tcPr>
          <w:p>
            <w:pPr>
              <w:spacing w:after="0"/>
              <w:rPr>
                <w:sz w:val="3"/>
                <w:szCs w:val="3"/>
                <w:color w:val="auto"/>
              </w:rPr>
            </w:pPr>
          </w:p>
        </w:tc>
        <w:tc>
          <w:tcPr>
            <w:tcW w:w="2740" w:type="dxa"/>
            <w:vAlign w:val="bottom"/>
            <w:tcBorders>
              <w:right w:val="single" w:sz="8" w:color="D9DCE1"/>
            </w:tcBorders>
            <w:shd w:val="clear" w:color="auto" w:fill="D9DCE1"/>
          </w:tcPr>
          <w:p>
            <w:pPr>
              <w:spacing w:after="0"/>
              <w:rPr>
                <w:sz w:val="3"/>
                <w:szCs w:val="3"/>
                <w:color w:val="auto"/>
              </w:rPr>
            </w:pPr>
          </w:p>
        </w:tc>
        <w:tc>
          <w:tcPr>
            <w:tcW w:w="2700" w:type="dxa"/>
            <w:vAlign w:val="bottom"/>
            <w:shd w:val="clear" w:color="auto" w:fill="D9DCE1"/>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1500" w:right="519" w:hanging="172"/>
        <w:spacing w:after="0" w:line="263" w:lineRule="auto"/>
        <w:tabs>
          <w:tab w:leader="none" w:pos="1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improve our financial strength and positioning, complete asset sales of $600 million, achieve a total debt to adjusted EBITDA ratio of 4.47x or lower by year end, and maintain distribution coverage of at least 130%</w:t>
      </w:r>
    </w:p>
    <w:p>
      <w:pPr>
        <w:spacing w:after="0" w:line="48" w:lineRule="exact"/>
        <w:rPr>
          <w:rFonts w:ascii="Arial" w:cs="Arial" w:eastAsia="Arial" w:hAnsi="Arial"/>
          <w:sz w:val="18"/>
          <w:szCs w:val="18"/>
          <w:color w:val="auto"/>
        </w:rPr>
      </w:pPr>
    </w:p>
    <w:p>
      <w:pPr>
        <w:ind w:left="1500" w:right="1099" w:hanging="172"/>
        <w:spacing w:after="0" w:line="277" w:lineRule="auto"/>
        <w:tabs>
          <w:tab w:leader="none" w:pos="1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 advance key projects that will support future growth and returns and utilize existing capacity of existing assets</w:t>
      </w:r>
    </w:p>
    <w:p>
      <w:pPr>
        <w:spacing w:after="0" w:line="48" w:lineRule="exact"/>
        <w:rPr>
          <w:rFonts w:ascii="Arial" w:cs="Arial" w:eastAsia="Arial" w:hAnsi="Arial"/>
          <w:sz w:val="18"/>
          <w:szCs w:val="18"/>
          <w:color w:val="auto"/>
        </w:rPr>
      </w:pPr>
    </w:p>
    <w:p>
      <w:pPr>
        <w:ind w:left="1500" w:right="539" w:hanging="172"/>
        <w:spacing w:after="0" w:line="286" w:lineRule="auto"/>
        <w:tabs>
          <w:tab w:leader="none" w:pos="1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Operations and Management: advance and complete key programs and initiatives designed to reduce costs and improve the efficiency and scalability of our business processes and information systems, and advance key initiatives related to talent development/management and succession planning</w:t>
      </w:r>
    </w:p>
    <w:p>
      <w:pPr>
        <w:spacing w:after="0" w:line="138"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With respect to the Adjusted EBITDA results included in the table above, our results were only 2% below our goal of $2.6 billion, with underperformance in our fee-based segments being offset by overperformance in our Supply and Logistics segment.</w:t>
      </w:r>
    </w:p>
    <w:p>
      <w:pPr>
        <w:spacing w:after="0" w:line="79" w:lineRule="exact"/>
        <w:rPr>
          <w:sz w:val="20"/>
          <w:szCs w:val="20"/>
          <w:color w:val="auto"/>
        </w:rPr>
      </w:pPr>
    </w:p>
    <w:p>
      <w:pPr>
        <w:jc w:val="both"/>
        <w:ind w:left="1260" w:right="539" w:firstLine="360"/>
        <w:spacing w:after="0" w:line="239" w:lineRule="auto"/>
        <w:rPr>
          <w:sz w:val="20"/>
          <w:szCs w:val="20"/>
          <w:color w:val="auto"/>
        </w:rPr>
      </w:pPr>
      <w:r>
        <w:rPr>
          <w:rFonts w:ascii="Arial" w:cs="Arial" w:eastAsia="Arial" w:hAnsi="Arial"/>
          <w:sz w:val="18"/>
          <w:szCs w:val="18"/>
          <w:color w:val="auto"/>
        </w:rPr>
        <w:t>In addition to the results set forth in the table above, we also reported Implied DCF</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of approximately $1.88 billion. We also generated approximately $1.03 billion of Implied DCF in excess of distributions and ended the year with a distribution coverage ratio of 2.57x.</w:t>
      </w:r>
    </w:p>
    <w:p>
      <w:pPr>
        <w:spacing w:after="0" w:line="123"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We exited the year with a long term debt to Adjusted EBITDA multiple of 3.7x and approximately $2.2 billion of committed liquidity.</w:t>
      </w:r>
    </w:p>
    <w:p>
      <w:pPr>
        <w:spacing w:after="0" w:line="103"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With respect to our stated goals regarding safety and environmental metrics, we exceeded our 20% reduction targets for federally reportable releases and safety-related total recordable injury rate, achieving a 26% reduction in federally reportable releases and a 27% reduction in recordable injuries. We have achieved more than a 50% reduction in each of these metrics since 2017. Notwithstanding the reduction in federally reportable releases, total released volumes increased in 2020 as compared to 2019.</w:t>
      </w:r>
    </w:p>
    <w:p>
      <w:pPr>
        <w:spacing w:after="0" w:line="109"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In developing his annual bonus compensation recommendations, our CEO primarily considered the quantitative factors and context described above, including the fact that our fee-based results were lower than planned and that we experienced higher released volumes in 2020 relative to 2019. In his annual performance review provided to the Board, our CEO also noted that while equity returns for the energy industry and midstream sector as a whole were negative, primarily as a result of reduced demand due to the impact of COVID-19, PAA underperformed its peer group, resulting in a total shareholder return of -50%, compared to an average of -26% for PAA’s benchmarking peer group. Other factors noted by our CEO as being relevant to his assessment of our 2020 performance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165100</wp:posOffset>
            </wp:positionV>
            <wp:extent cx="12344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4" w:lineRule="exact"/>
        <w:rPr>
          <w:sz w:val="20"/>
          <w:szCs w:val="20"/>
          <w:color w:val="auto"/>
        </w:rPr>
      </w:pPr>
    </w:p>
    <w:p>
      <w:pPr>
        <w:ind w:left="1620" w:right="659" w:hanging="360"/>
        <w:spacing w:after="0" w:line="238" w:lineRule="auto"/>
        <w:tabs>
          <w:tab w:leader="none" w:pos="1620" w:val="left"/>
        </w:tabs>
        <w:numPr>
          <w:ilvl w:val="0"/>
          <w:numId w:val="49"/>
        </w:numPr>
        <w:rPr>
          <w:rFonts w:ascii="Arial" w:cs="Arial" w:eastAsia="Arial" w:hAnsi="Arial"/>
          <w:sz w:val="26"/>
          <w:szCs w:val="26"/>
          <w:color w:val="auto"/>
          <w:vertAlign w:val="superscript"/>
        </w:rPr>
      </w:pPr>
      <w:r>
        <w:rPr>
          <w:rFonts w:ascii="Arial" w:cs="Arial" w:eastAsia="Arial" w:hAnsi="Arial"/>
          <w:sz w:val="17"/>
          <w:szCs w:val="17"/>
          <w:color w:val="auto"/>
        </w:rPr>
        <w:t>Adjusted EBITDA and Implied DCF are non-GAAP financial measures. Information regarding these non-GAAP financial measures, including a reconciliation to the most directly comparable GAAP measures, is included under the caption “Non-GAAP Financial Measures” beginning on page 83 of PAA’s Annual Report on Form 10-K for the year ended December 31, 2020 as filed with the SEC.</w:t>
      </w:r>
    </w:p>
    <w:p>
      <w:pPr>
        <w:sectPr>
          <w:pgSz w:w="11900" w:h="16838" w:orient="portrait"/>
          <w:cols w:equalWidth="0" w:num="1">
            <w:col w:w="9879"/>
          </w:cols>
          <w:pgMar w:left="580" w:top="132"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capital expenditures by $750 million, or 33%, relative to our initial plan;</w:t>
      </w:r>
    </w:p>
    <w:p>
      <w:pPr>
        <w:spacing w:after="0" w:line="117"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Although we reduced our common unit distribution by 50%, we also initiated a unit repurchase program and repurchased approximately 6.6 million common units for approximately $53 million during the fourth quarter;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operating costs and administrative expenses by approximately $250 million;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Completed approximately $450 million of asset sales; and</w:t>
      </w:r>
    </w:p>
    <w:p>
      <w:pPr>
        <w:spacing w:after="0" w:line="117" w:lineRule="exact"/>
        <w:rPr>
          <w:rFonts w:ascii="Arial" w:cs="Arial" w:eastAsia="Arial" w:hAnsi="Arial"/>
          <w:sz w:val="18"/>
          <w:szCs w:val="18"/>
          <w:color w:val="auto"/>
        </w:rPr>
      </w:pPr>
    </w:p>
    <w:p>
      <w:pPr>
        <w:jc w:val="both"/>
        <w:ind w:left="1800" w:right="459" w:hanging="180"/>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positive positioning at the end of 2020 for 2021 and beyond in terms of our potential to generate free cash flow, our commercial positioning, our organizational streamlining and cost reduction steps, and our safety and environmental performance.</w:t>
      </w:r>
    </w:p>
    <w:p>
      <w:pPr>
        <w:spacing w:after="0" w:line="103"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We also continued to plan for the future within our organizational structure and made a number of changes to improve effectiveness and efficiency, including the completion of key transitions within our executive team, advancement of plans to improve internal systems and processes, and continuation of improvements in the areas of safety, integrity, environmental compliance and sustainability.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Compensation Elements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2020, the elements of compensation were applied as described below.</w:t>
      </w:r>
    </w:p>
    <w:p>
      <w:pPr>
        <w:spacing w:after="0" w:line="15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No salary adjustments for Named Executive Officers were recommended or made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base salaries for our NEOs were not increased for 2021.</w:t>
      </w:r>
    </w:p>
    <w:p>
      <w:pPr>
        <w:spacing w:after="0" w:line="8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For 2020, annual bonus targets for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as a percentage of base salary, were as follows:</w:t>
      </w:r>
    </w:p>
    <w:p>
      <w:pPr>
        <w:spacing w:after="0" w:line="158" w:lineRule="exact"/>
        <w:rPr>
          <w:sz w:val="20"/>
          <w:szCs w:val="20"/>
          <w:color w:val="auto"/>
        </w:rPr>
      </w:pPr>
    </w:p>
    <w:tbl>
      <w:tblPr>
        <w:tblLayout w:type="fixed"/>
        <w:tblInd w:w="1630" w:type="dxa"/>
        <w:tblCellMar>
          <w:top w:w="0" w:type="dxa"/>
          <w:left w:w="0" w:type="dxa"/>
          <w:bottom w:w="0" w:type="dxa"/>
          <w:right w:w="0" w:type="dxa"/>
        </w:tblCellMar>
      </w:tblPr>
      <w:tr>
        <w:trPr>
          <w:trHeight w:val="193"/>
        </w:trPr>
        <w:tc>
          <w:tcPr>
            <w:tcW w:w="5360" w:type="dxa"/>
            <w:vAlign w:val="bottom"/>
            <w:tcBorders>
              <w:left w:val="single" w:sz="8" w:color="434F69"/>
              <w:right w:val="single" w:sz="8" w:color="434F69"/>
            </w:tcBorders>
            <w:shd w:val="clear" w:color="auto" w:fill="434F69"/>
          </w:tcPr>
          <w:p>
            <w:pPr>
              <w:spacing w:after="0"/>
              <w:rPr>
                <w:sz w:val="16"/>
                <w:szCs w:val="16"/>
                <w:color w:val="auto"/>
              </w:rPr>
            </w:pPr>
          </w:p>
        </w:tc>
        <w:tc>
          <w:tcPr>
            <w:tcW w:w="2120" w:type="dxa"/>
            <w:vAlign w:val="bottom"/>
            <w:tcBorders>
              <w:right w:val="single" w:sz="8" w:color="434F69"/>
            </w:tcBorders>
            <w:shd w:val="clear" w:color="auto" w:fill="434F69"/>
          </w:tcPr>
          <w:p>
            <w:pPr>
              <w:jc w:val="right"/>
              <w:ind w:right="355"/>
              <w:spacing w:after="0"/>
              <w:rPr>
                <w:sz w:val="20"/>
                <w:szCs w:val="20"/>
                <w:color w:val="auto"/>
              </w:rPr>
            </w:pPr>
            <w:r>
              <w:rPr>
                <w:rFonts w:ascii="Arial" w:cs="Arial" w:eastAsia="Arial" w:hAnsi="Arial"/>
                <w:sz w:val="14"/>
                <w:szCs w:val="14"/>
                <w:b w:val="1"/>
                <w:bCs w:val="1"/>
                <w:color w:val="FFFFFF"/>
              </w:rPr>
              <w:t>Annual Bonus Target</w:t>
            </w:r>
          </w:p>
        </w:tc>
      </w:tr>
      <w:tr>
        <w:trPr>
          <w:trHeight w:val="205"/>
        </w:trPr>
        <w:tc>
          <w:tcPr>
            <w:tcW w:w="536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120" w:type="dxa"/>
            <w:vAlign w:val="bottom"/>
            <w:tcBorders>
              <w:bottom w:val="single" w:sz="8" w:color="434F69"/>
              <w:right w:val="single" w:sz="8" w:color="434F69"/>
            </w:tcBorders>
            <w:shd w:val="clear" w:color="auto" w:fill="434F69"/>
          </w:tcPr>
          <w:p>
            <w:pPr>
              <w:jc w:val="right"/>
              <w:ind w:right="35"/>
              <w:spacing w:after="0"/>
              <w:rPr>
                <w:sz w:val="20"/>
                <w:szCs w:val="20"/>
                <w:color w:val="auto"/>
              </w:rPr>
            </w:pPr>
            <w:r>
              <w:rPr>
                <w:rFonts w:ascii="Arial" w:cs="Arial" w:eastAsia="Arial" w:hAnsi="Arial"/>
                <w:sz w:val="14"/>
                <w:szCs w:val="14"/>
                <w:b w:val="1"/>
                <w:bCs w:val="1"/>
                <w:color w:val="FFFFFF"/>
                <w:w w:val="91"/>
              </w:rPr>
              <w:t>(as a Percentage of Base Salary)</w:t>
            </w:r>
          </w:p>
        </w:tc>
      </w:tr>
      <w:tr>
        <w:trPr>
          <w:trHeight w:val="250"/>
        </w:trPr>
        <w:tc>
          <w:tcPr>
            <w:tcW w:w="53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2120" w:type="dxa"/>
            <w:vAlign w:val="bottom"/>
            <w:tcBorders>
              <w:bottom w:val="single" w:sz="8" w:color="434F69"/>
              <w:right w:val="single" w:sz="8" w:color="434F69"/>
            </w:tcBorders>
            <w:shd w:val="clear" w:color="auto" w:fill="D9DCE1"/>
          </w:tcPr>
          <w:p>
            <w:pPr>
              <w:jc w:val="right"/>
              <w:ind w:right="675"/>
              <w:spacing w:after="0"/>
              <w:rPr>
                <w:sz w:val="20"/>
                <w:szCs w:val="20"/>
                <w:color w:val="auto"/>
              </w:rPr>
            </w:pPr>
            <w:r>
              <w:rPr>
                <w:rFonts w:ascii="Arial" w:cs="Arial" w:eastAsia="Arial" w:hAnsi="Arial"/>
                <w:sz w:val="18"/>
                <w:szCs w:val="18"/>
                <w:color w:val="auto"/>
              </w:rPr>
              <w:t>250%</w:t>
            </w:r>
          </w:p>
        </w:tc>
      </w:tr>
      <w:tr>
        <w:trPr>
          <w:trHeight w:val="250"/>
        </w:trPr>
        <w:tc>
          <w:tcPr>
            <w:tcW w:w="5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2120" w:type="dxa"/>
            <w:vAlign w:val="bottom"/>
            <w:tcBorders>
              <w:bottom w:val="single" w:sz="8" w:color="434F69"/>
              <w:right w:val="single" w:sz="8" w:color="434F69"/>
            </w:tcBorders>
          </w:tcPr>
          <w:p>
            <w:pPr>
              <w:jc w:val="right"/>
              <w:ind w:right="675"/>
              <w:spacing w:after="0"/>
              <w:rPr>
                <w:sz w:val="20"/>
                <w:szCs w:val="20"/>
                <w:color w:val="auto"/>
              </w:rPr>
            </w:pPr>
            <w:r>
              <w:rPr>
                <w:rFonts w:ascii="Arial" w:cs="Arial" w:eastAsia="Arial" w:hAnsi="Arial"/>
                <w:sz w:val="18"/>
                <w:szCs w:val="18"/>
                <w:color w:val="auto"/>
              </w:rPr>
              <w:t>250%</w:t>
            </w:r>
          </w:p>
        </w:tc>
      </w:tr>
      <w:tr>
        <w:trPr>
          <w:trHeight w:val="250"/>
        </w:trPr>
        <w:tc>
          <w:tcPr>
            <w:tcW w:w="53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2120" w:type="dxa"/>
            <w:vAlign w:val="bottom"/>
            <w:tcBorders>
              <w:bottom w:val="single" w:sz="8" w:color="434F69"/>
              <w:right w:val="single" w:sz="8" w:color="434F69"/>
            </w:tcBorders>
            <w:shd w:val="clear" w:color="auto" w:fill="D9DCE1"/>
          </w:tcPr>
          <w:p>
            <w:pPr>
              <w:jc w:val="right"/>
              <w:ind w:right="675"/>
              <w:spacing w:after="0"/>
              <w:rPr>
                <w:sz w:val="20"/>
                <w:szCs w:val="20"/>
                <w:color w:val="auto"/>
              </w:rPr>
            </w:pPr>
            <w:r>
              <w:rPr>
                <w:rFonts w:ascii="Arial" w:cs="Arial" w:eastAsia="Arial" w:hAnsi="Arial"/>
                <w:sz w:val="18"/>
                <w:szCs w:val="18"/>
                <w:color w:val="auto"/>
              </w:rPr>
              <w:t>200%</w:t>
            </w:r>
          </w:p>
        </w:tc>
      </w:tr>
      <w:tr>
        <w:trPr>
          <w:trHeight w:val="250"/>
        </w:trPr>
        <w:tc>
          <w:tcPr>
            <w:tcW w:w="5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2120" w:type="dxa"/>
            <w:vAlign w:val="bottom"/>
            <w:tcBorders>
              <w:bottom w:val="single" w:sz="8" w:color="434F69"/>
              <w:right w:val="single" w:sz="8" w:color="434F69"/>
            </w:tcBorders>
          </w:tcPr>
          <w:p>
            <w:pPr>
              <w:jc w:val="right"/>
              <w:ind w:right="675"/>
              <w:spacing w:after="0"/>
              <w:rPr>
                <w:sz w:val="20"/>
                <w:szCs w:val="20"/>
                <w:color w:val="auto"/>
              </w:rPr>
            </w:pPr>
            <w:r>
              <w:rPr>
                <w:rFonts w:ascii="Arial" w:cs="Arial" w:eastAsia="Arial" w:hAnsi="Arial"/>
                <w:sz w:val="18"/>
                <w:szCs w:val="18"/>
                <w:color w:val="auto"/>
              </w:rPr>
              <w:t>200%</w:t>
            </w:r>
          </w:p>
        </w:tc>
      </w:tr>
      <w:tr>
        <w:trPr>
          <w:trHeight w:val="250"/>
        </w:trPr>
        <w:tc>
          <w:tcPr>
            <w:tcW w:w="536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2120" w:type="dxa"/>
            <w:vAlign w:val="bottom"/>
            <w:tcBorders>
              <w:bottom w:val="single" w:sz="8" w:color="434F69"/>
              <w:right w:val="single" w:sz="8" w:color="434F69"/>
            </w:tcBorders>
            <w:shd w:val="clear" w:color="auto" w:fill="D9DCE1"/>
          </w:tcPr>
          <w:p>
            <w:pPr>
              <w:jc w:val="right"/>
              <w:ind w:right="675"/>
              <w:spacing w:after="0"/>
              <w:rPr>
                <w:sz w:val="20"/>
                <w:szCs w:val="20"/>
                <w:color w:val="auto"/>
              </w:rPr>
            </w:pPr>
            <w:r>
              <w:rPr>
                <w:rFonts w:ascii="Arial" w:cs="Arial" w:eastAsia="Arial" w:hAnsi="Arial"/>
                <w:sz w:val="18"/>
                <w:szCs w:val="18"/>
                <w:color w:val="auto"/>
              </w:rPr>
              <w:t>200%</w:t>
            </w:r>
          </w:p>
        </w:tc>
      </w:tr>
      <w:tr>
        <w:trPr>
          <w:trHeight w:val="250"/>
        </w:trPr>
        <w:tc>
          <w:tcPr>
            <w:tcW w:w="5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2120" w:type="dxa"/>
            <w:vAlign w:val="bottom"/>
            <w:tcBorders>
              <w:bottom w:val="single" w:sz="8" w:color="434F69"/>
              <w:right w:val="single" w:sz="8" w:color="434F69"/>
            </w:tcBorders>
          </w:tcPr>
          <w:p>
            <w:pPr>
              <w:jc w:val="right"/>
              <w:ind w:right="675"/>
              <w:spacing w:after="0"/>
              <w:rPr>
                <w:sz w:val="20"/>
                <w:szCs w:val="20"/>
                <w:color w:val="auto"/>
              </w:rPr>
            </w:pPr>
            <w:r>
              <w:rPr>
                <w:rFonts w:ascii="Arial" w:cs="Arial" w:eastAsia="Arial" w:hAnsi="Arial"/>
                <w:sz w:val="18"/>
                <w:szCs w:val="18"/>
                <w:color w:val="auto"/>
              </w:rPr>
              <w:t>200%</w:t>
            </w:r>
          </w:p>
        </w:tc>
      </w:tr>
    </w:tbl>
    <w:p>
      <w:pPr>
        <w:spacing w:after="0" w:line="12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goals (and weightings) for 2020 cash incentive awards established at the beginning of the year were company performance (67% overall weighting allocated among Adjusted EBITDA (40%), DCF per common unit and CUE (40%) and safety/environmental (20%)) and individual performance (33% weighting). The minimum and maximum payout levels of 0% and 200%, respectively, for Adjusted EBITDA and DCF per common unit and CUE were set at 92.5% and 110%, respectively, of the applicable target with linear interpolation between those points, while the minimum and maximum payout levels of 0% and 200%, respectively, for safety and environmental metrics were set at 10% improvement and 30% improvement, respectively, with linear interpolation between those points. Individual performance metric payouts were determined by the compensation committee based on its assessment of individual contributions towards our 2020 goals and objectives.</w:t>
      </w:r>
    </w:p>
    <w:p>
      <w:pPr>
        <w:spacing w:after="0" w:line="127"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The tables below reflect the weighting, payout range and actual results for each company performance metric. Individual performance scores and payout calculations are set forth below under “— Individual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Company Performance Payout Thresholds &amp; Ranges: (interpolate between points)</w:t>
      </w:r>
    </w:p>
    <w:p>
      <w:pPr>
        <w:spacing w:after="0" w:line="203" w:lineRule="exact"/>
        <w:rPr>
          <w:sz w:val="20"/>
          <w:szCs w:val="20"/>
          <w:color w:val="auto"/>
        </w:rPr>
      </w:pPr>
    </w:p>
    <w:tbl>
      <w:tblPr>
        <w:tblLayout w:type="fixed"/>
        <w:tblInd w:w="1270" w:type="dxa"/>
        <w:tblCellMar>
          <w:top w:w="0" w:type="dxa"/>
          <w:left w:w="0" w:type="dxa"/>
          <w:bottom w:w="0" w:type="dxa"/>
          <w:right w:w="0" w:type="dxa"/>
        </w:tblCellMar>
      </w:tblPr>
      <w:tr>
        <w:trPr>
          <w:trHeight w:val="223"/>
        </w:trPr>
        <w:tc>
          <w:tcPr>
            <w:tcW w:w="3020" w:type="dxa"/>
            <w:vAlign w:val="bottom"/>
            <w:tcBorders>
              <w:left w:val="single" w:sz="8" w:color="434F69"/>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(67% weighting)</w:t>
            </w:r>
          </w:p>
        </w:tc>
        <w:tc>
          <w:tcPr>
            <w:tcW w:w="980" w:type="dxa"/>
            <w:vAlign w:val="bottom"/>
            <w:tcBorders>
              <w:bottom w:val="single" w:sz="8" w:color="434F69"/>
            </w:tcBorders>
            <w:shd w:val="clear" w:color="auto" w:fill="434F69"/>
          </w:tcPr>
          <w:p>
            <w:pPr>
              <w:spacing w:after="0"/>
              <w:rPr>
                <w:sz w:val="19"/>
                <w:szCs w:val="19"/>
                <w:color w:val="auto"/>
              </w:rPr>
            </w:pPr>
          </w:p>
        </w:tc>
        <w:tc>
          <w:tcPr>
            <w:tcW w:w="840" w:type="dxa"/>
            <w:vAlign w:val="bottom"/>
            <w:tcBorders>
              <w:bottom w:val="single" w:sz="8" w:color="434F69"/>
            </w:tcBorders>
            <w:shd w:val="clear" w:color="auto" w:fill="434F69"/>
          </w:tcPr>
          <w:p>
            <w:pPr>
              <w:jc w:val="right"/>
              <w:spacing w:after="0"/>
              <w:rPr>
                <w:sz w:val="20"/>
                <w:szCs w:val="20"/>
                <w:color w:val="auto"/>
              </w:rPr>
            </w:pPr>
            <w:r>
              <w:rPr>
                <w:rFonts w:ascii="Arial" w:cs="Arial" w:eastAsia="Arial" w:hAnsi="Arial"/>
                <w:sz w:val="14"/>
                <w:szCs w:val="14"/>
                <w:b w:val="1"/>
                <w:bCs w:val="1"/>
                <w:color w:val="FFFFFF"/>
              </w:rPr>
              <w:t>Threshold</w:t>
            </w:r>
          </w:p>
        </w:tc>
        <w:tc>
          <w:tcPr>
            <w:tcW w:w="680" w:type="dxa"/>
            <w:vAlign w:val="bottom"/>
            <w:tcBorders>
              <w:bottom w:val="single" w:sz="8" w:color="434F69"/>
            </w:tcBorders>
            <w:shd w:val="clear" w:color="auto" w:fill="434F69"/>
          </w:tcPr>
          <w:p>
            <w:pPr>
              <w:jc w:val="right"/>
              <w:spacing w:after="0"/>
              <w:rPr>
                <w:sz w:val="20"/>
                <w:szCs w:val="20"/>
                <w:color w:val="auto"/>
              </w:rPr>
            </w:pPr>
            <w:r>
              <w:rPr>
                <w:rFonts w:ascii="Arial" w:cs="Arial" w:eastAsia="Arial" w:hAnsi="Arial"/>
                <w:sz w:val="14"/>
                <w:szCs w:val="14"/>
                <w:b w:val="1"/>
                <w:bCs w:val="1"/>
                <w:color w:val="FFFFFF"/>
              </w:rPr>
              <w:t>Target</w:t>
            </w:r>
          </w:p>
        </w:tc>
        <w:tc>
          <w:tcPr>
            <w:tcW w:w="520" w:type="dxa"/>
            <w:vAlign w:val="bottom"/>
            <w:tcBorders>
              <w:bottom w:val="single" w:sz="8" w:color="434F69"/>
            </w:tcBorders>
            <w:shd w:val="clear" w:color="auto" w:fill="434F69"/>
          </w:tcPr>
          <w:p>
            <w:pPr>
              <w:spacing w:after="0"/>
              <w:rPr>
                <w:sz w:val="19"/>
                <w:szCs w:val="19"/>
                <w:color w:val="auto"/>
              </w:rPr>
            </w:pPr>
          </w:p>
        </w:tc>
        <w:tc>
          <w:tcPr>
            <w:tcW w:w="580" w:type="dxa"/>
            <w:vAlign w:val="bottom"/>
            <w:tcBorders>
              <w:bottom w:val="single" w:sz="8" w:color="434F69"/>
              <w:right w:val="single" w:sz="8" w:color="auto"/>
            </w:tcBorders>
            <w:shd w:val="clear" w:color="auto" w:fill="434F69"/>
          </w:tcPr>
          <w:p>
            <w:pPr>
              <w:jc w:val="right"/>
              <w:ind w:right="214"/>
              <w:spacing w:after="0"/>
              <w:rPr>
                <w:sz w:val="20"/>
                <w:szCs w:val="20"/>
                <w:color w:val="auto"/>
              </w:rPr>
            </w:pPr>
            <w:r>
              <w:rPr>
                <w:rFonts w:ascii="Arial" w:cs="Arial" w:eastAsia="Arial" w:hAnsi="Arial"/>
                <w:sz w:val="14"/>
                <w:szCs w:val="14"/>
                <w:b w:val="1"/>
                <w:bCs w:val="1"/>
                <w:color w:val="FFFFFF"/>
                <w:w w:val="95"/>
              </w:rPr>
              <w:t>Max</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0" w:type="dxa"/>
            <w:vAlign w:val="bottom"/>
            <w:tcBorders>
              <w:left w:val="single" w:sz="8" w:color="434F69"/>
              <w:bottom w:val="single" w:sz="8" w:color="434F69"/>
            </w:tcBorders>
            <w:gridSpan w:val="2"/>
            <w:shd w:val="clear" w:color="auto" w:fill="D9DCE1"/>
          </w:tcPr>
          <w:p>
            <w:pPr>
              <w:jc w:val="right"/>
              <w:ind w:right="13"/>
              <w:spacing w:after="0"/>
              <w:rPr>
                <w:sz w:val="20"/>
                <w:szCs w:val="20"/>
                <w:color w:val="auto"/>
              </w:rPr>
            </w:pPr>
            <w:r>
              <w:rPr>
                <w:rFonts w:ascii="Arial" w:cs="Arial" w:eastAsia="Arial" w:hAnsi="Arial"/>
                <w:sz w:val="18"/>
                <w:szCs w:val="18"/>
                <w:color w:val="auto"/>
              </w:rPr>
              <w:t>EBITDA/DCF (% Target)</w:t>
            </w:r>
          </w:p>
        </w:tc>
        <w:tc>
          <w:tcPr>
            <w:tcW w:w="8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92.50%</w:t>
            </w:r>
          </w:p>
        </w:tc>
        <w:tc>
          <w:tcPr>
            <w:tcW w:w="1200" w:type="dxa"/>
            <w:vAlign w:val="bottom"/>
            <w:tcBorders>
              <w:bottom w:val="single" w:sz="8" w:color="434F69"/>
            </w:tcBorders>
            <w:gridSpan w:val="2"/>
            <w:shd w:val="clear" w:color="auto" w:fill="D9DCE1"/>
          </w:tcPr>
          <w:p>
            <w:pPr>
              <w:jc w:val="right"/>
              <w:ind w:right="355"/>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434F69"/>
              <w:right w:val="single" w:sz="8" w:color="auto"/>
            </w:tcBorders>
            <w:shd w:val="clear" w:color="auto" w:fill="D9DCE1"/>
          </w:tcPr>
          <w:p>
            <w:pPr>
              <w:jc w:val="right"/>
              <w:ind w:right="74"/>
              <w:spacing w:after="0"/>
              <w:rPr>
                <w:sz w:val="20"/>
                <w:szCs w:val="20"/>
                <w:color w:val="auto"/>
              </w:rPr>
            </w:pPr>
            <w:r>
              <w:rPr>
                <w:rFonts w:ascii="Arial" w:cs="Arial" w:eastAsia="Arial" w:hAnsi="Arial"/>
                <w:sz w:val="18"/>
                <w:szCs w:val="18"/>
                <w:color w:val="auto"/>
                <w:w w:val="86"/>
              </w:rPr>
              <w:t>110%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tcBorders>
              <w:left w:val="single" w:sz="8" w:color="434F69"/>
              <w:bottom w:val="single" w:sz="8" w:color="434F69"/>
            </w:tcBorders>
            <w:gridSpan w:val="2"/>
          </w:tcPr>
          <w:p>
            <w:pPr>
              <w:jc w:val="right"/>
              <w:ind w:right="13"/>
              <w:spacing w:after="0"/>
              <w:rPr>
                <w:sz w:val="20"/>
                <w:szCs w:val="20"/>
                <w:color w:val="auto"/>
              </w:rPr>
            </w:pPr>
            <w:r>
              <w:rPr>
                <w:rFonts w:ascii="Arial" w:cs="Arial" w:eastAsia="Arial" w:hAnsi="Arial"/>
                <w:sz w:val="18"/>
                <w:szCs w:val="18"/>
                <w:color w:val="auto"/>
              </w:rPr>
              <w:t>Safety/Env Reduction vs. ‘19 (% Target)</w:t>
            </w:r>
          </w:p>
        </w:tc>
        <w:tc>
          <w:tcPr>
            <w:tcW w:w="8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434F69"/>
            </w:tcBorders>
            <w:gridSpan w:val="2"/>
          </w:tcPr>
          <w:p>
            <w:pPr>
              <w:jc w:val="right"/>
              <w:ind w:right="355"/>
              <w:spacing w:after="0"/>
              <w:rPr>
                <w:sz w:val="20"/>
                <w:szCs w:val="20"/>
                <w:color w:val="auto"/>
              </w:rPr>
            </w:pPr>
            <w:r>
              <w:rPr>
                <w:rFonts w:ascii="Arial" w:cs="Arial" w:eastAsia="Arial" w:hAnsi="Arial"/>
                <w:sz w:val="18"/>
                <w:szCs w:val="18"/>
                <w:color w:val="auto"/>
              </w:rPr>
              <w:t>-20%</w:t>
            </w:r>
          </w:p>
        </w:tc>
        <w:tc>
          <w:tcPr>
            <w:tcW w:w="580" w:type="dxa"/>
            <w:vAlign w:val="bottom"/>
            <w:tcBorders>
              <w:bottom w:val="single" w:sz="8" w:color="434F69"/>
              <w:right w:val="single" w:sz="8" w:color="auto"/>
            </w:tcBorders>
          </w:tcPr>
          <w:p>
            <w:pPr>
              <w:jc w:val="right"/>
              <w:ind w:right="74"/>
              <w:spacing w:after="0"/>
              <w:rPr>
                <w:sz w:val="20"/>
                <w:szCs w:val="20"/>
                <w:color w:val="auto"/>
              </w:rPr>
            </w:pPr>
            <w:r>
              <w:rPr>
                <w:rFonts w:ascii="Arial" w:cs="Arial" w:eastAsia="Arial" w:hAnsi="Arial"/>
                <w:sz w:val="18"/>
                <w:szCs w:val="18"/>
                <w:color w:val="auto"/>
                <w:w w:val="95"/>
              </w:rPr>
              <w:t>-30%</w:t>
            </w:r>
          </w:p>
        </w:tc>
        <w:tc>
          <w:tcPr>
            <w:tcW w:w="100" w:type="dxa"/>
            <w:vAlign w:val="bottom"/>
          </w:tcPr>
          <w:p>
            <w:pPr>
              <w:spacing w:after="0"/>
              <w:rPr>
                <w:sz w:val="22"/>
                <w:szCs w:val="22"/>
                <w:color w:val="auto"/>
              </w:rPr>
            </w:pPr>
          </w:p>
        </w:tc>
        <w:tc>
          <w:tcPr>
            <w:tcW w:w="1500" w:type="dxa"/>
            <w:vAlign w:val="bottom"/>
            <w:gridSpan w:val="3"/>
            <w:vMerge w:val="restart"/>
          </w:tcPr>
          <w:p>
            <w:pPr>
              <w:jc w:val="right"/>
              <w:ind w:right="50"/>
              <w:spacing w:after="0"/>
              <w:rPr>
                <w:sz w:val="20"/>
                <w:szCs w:val="20"/>
                <w:color w:val="auto"/>
              </w:rPr>
            </w:pPr>
            <w:r>
              <w:rPr>
                <w:rFonts w:ascii="Arial" w:cs="Arial" w:eastAsia="Arial" w:hAnsi="Arial"/>
                <w:sz w:val="14"/>
                <w:szCs w:val="14"/>
                <w:b w:val="1"/>
                <w:bCs w:val="1"/>
                <w:color w:val="auto"/>
                <w:w w:val="87"/>
              </w:rPr>
              <w:t>2020 Formulaic Payout</w:t>
            </w:r>
          </w:p>
        </w:tc>
        <w:tc>
          <w:tcPr>
            <w:tcW w:w="0" w:type="dxa"/>
            <w:vAlign w:val="bottom"/>
          </w:tcPr>
          <w:p>
            <w:pPr>
              <w:spacing w:after="0"/>
              <w:rPr>
                <w:sz w:val="1"/>
                <w:szCs w:val="1"/>
                <w:color w:val="auto"/>
              </w:rPr>
            </w:pPr>
          </w:p>
        </w:tc>
      </w:tr>
      <w:tr>
        <w:trPr>
          <w:trHeight w:val="108"/>
        </w:trPr>
        <w:tc>
          <w:tcPr>
            <w:tcW w:w="3020" w:type="dxa"/>
            <w:vAlign w:val="bottom"/>
            <w:tcBorders>
              <w:left w:val="single" w:sz="8" w:color="434F69"/>
            </w:tcBorders>
            <w:shd w:val="clear" w:color="auto" w:fill="D9DCE1"/>
          </w:tcPr>
          <w:p>
            <w:pPr>
              <w:spacing w:after="0"/>
              <w:rPr>
                <w:sz w:val="9"/>
                <w:szCs w:val="9"/>
                <w:color w:val="auto"/>
              </w:rPr>
            </w:pPr>
          </w:p>
        </w:tc>
        <w:tc>
          <w:tcPr>
            <w:tcW w:w="980" w:type="dxa"/>
            <w:vAlign w:val="bottom"/>
            <w:vMerge w:val="restart"/>
            <w:shd w:val="clear" w:color="auto" w:fill="D9DCE1"/>
          </w:tcPr>
          <w:p>
            <w:pPr>
              <w:jc w:val="right"/>
              <w:ind w:right="13"/>
              <w:spacing w:after="0"/>
              <w:rPr>
                <w:sz w:val="20"/>
                <w:szCs w:val="20"/>
                <w:color w:val="auto"/>
              </w:rPr>
            </w:pPr>
            <w:r>
              <w:rPr>
                <w:rFonts w:ascii="Arial" w:cs="Arial" w:eastAsia="Arial" w:hAnsi="Arial"/>
                <w:sz w:val="18"/>
                <w:szCs w:val="18"/>
                <w:color w:val="auto"/>
              </w:rPr>
              <w:t>Payout</w:t>
            </w:r>
          </w:p>
        </w:tc>
        <w:tc>
          <w:tcPr>
            <w:tcW w:w="84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vMerge w:val="restart"/>
            <w:shd w:val="clear" w:color="auto" w:fill="D9DCE1"/>
          </w:tcPr>
          <w:p>
            <w:pPr>
              <w:jc w:val="right"/>
              <w:ind w:right="355"/>
              <w:spacing w:after="0"/>
              <w:rPr>
                <w:sz w:val="20"/>
                <w:szCs w:val="20"/>
                <w:color w:val="auto"/>
              </w:rPr>
            </w:pPr>
            <w:r>
              <w:rPr>
                <w:rFonts w:ascii="Arial" w:cs="Arial" w:eastAsia="Arial" w:hAnsi="Arial"/>
                <w:sz w:val="18"/>
                <w:szCs w:val="18"/>
                <w:color w:val="auto"/>
              </w:rPr>
              <w:t>100%</w:t>
            </w:r>
          </w:p>
        </w:tc>
        <w:tc>
          <w:tcPr>
            <w:tcW w:w="580" w:type="dxa"/>
            <w:vAlign w:val="bottom"/>
            <w:tcBorders>
              <w:right w:val="single" w:sz="8" w:color="auto"/>
            </w:tcBorders>
            <w:vMerge w:val="restart"/>
            <w:shd w:val="clear" w:color="auto" w:fill="D9DCE1"/>
          </w:tcPr>
          <w:p>
            <w:pPr>
              <w:jc w:val="right"/>
              <w:ind w:right="74"/>
              <w:spacing w:after="0"/>
              <w:rPr>
                <w:sz w:val="20"/>
                <w:szCs w:val="20"/>
                <w:color w:val="auto"/>
              </w:rPr>
            </w:pPr>
            <w:r>
              <w:rPr>
                <w:rFonts w:ascii="Arial" w:cs="Arial" w:eastAsia="Arial" w:hAnsi="Arial"/>
                <w:sz w:val="18"/>
                <w:szCs w:val="18"/>
                <w:color w:val="auto"/>
                <w:w w:val="86"/>
              </w:rPr>
              <w:t>200%</w:t>
            </w: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20" w:type="dxa"/>
            <w:vAlign w:val="bottom"/>
            <w:tcBorders>
              <w:left w:val="single" w:sz="8" w:color="434F69"/>
              <w:bottom w:val="single" w:sz="8" w:color="434F69"/>
            </w:tcBorders>
            <w:shd w:val="clear" w:color="auto" w:fill="D9DCE1"/>
          </w:tcPr>
          <w:p>
            <w:pPr>
              <w:spacing w:after="0"/>
              <w:rPr>
                <w:sz w:val="14"/>
                <w:szCs w:val="14"/>
                <w:color w:val="auto"/>
              </w:rPr>
            </w:pPr>
          </w:p>
        </w:tc>
        <w:tc>
          <w:tcPr>
            <w:tcW w:w="980" w:type="dxa"/>
            <w:vAlign w:val="bottom"/>
            <w:tcBorders>
              <w:bottom w:val="single" w:sz="8" w:color="434F69"/>
            </w:tcBorders>
            <w:vMerge w:val="continue"/>
            <w:shd w:val="clear" w:color="auto" w:fill="D9DCE1"/>
          </w:tcPr>
          <w:p>
            <w:pPr>
              <w:spacing w:after="0"/>
              <w:rPr>
                <w:sz w:val="14"/>
                <w:szCs w:val="14"/>
                <w:color w:val="auto"/>
              </w:rPr>
            </w:pPr>
          </w:p>
        </w:tc>
        <w:tc>
          <w:tcPr>
            <w:tcW w:w="840" w:type="dxa"/>
            <w:vAlign w:val="bottom"/>
            <w:tcBorders>
              <w:bottom w:val="single" w:sz="8" w:color="434F69"/>
            </w:tcBorders>
            <w:vMerge w:val="continue"/>
            <w:shd w:val="clear" w:color="auto" w:fill="D9DCE1"/>
          </w:tcPr>
          <w:p>
            <w:pPr>
              <w:spacing w:after="0"/>
              <w:rPr>
                <w:sz w:val="14"/>
                <w:szCs w:val="14"/>
                <w:color w:val="auto"/>
              </w:rPr>
            </w:pPr>
          </w:p>
        </w:tc>
        <w:tc>
          <w:tcPr>
            <w:tcW w:w="1200" w:type="dxa"/>
            <w:vAlign w:val="bottom"/>
            <w:tcBorders>
              <w:bottom w:val="single" w:sz="8" w:color="434F69"/>
            </w:tcBorders>
            <w:gridSpan w:val="2"/>
            <w:vMerge w:val="continue"/>
            <w:shd w:val="clear" w:color="auto" w:fill="D9DCE1"/>
          </w:tcPr>
          <w:p>
            <w:pPr>
              <w:spacing w:after="0"/>
              <w:rPr>
                <w:sz w:val="14"/>
                <w:szCs w:val="14"/>
                <w:color w:val="auto"/>
              </w:rPr>
            </w:pPr>
          </w:p>
        </w:tc>
        <w:tc>
          <w:tcPr>
            <w:tcW w:w="580" w:type="dxa"/>
            <w:vAlign w:val="bottom"/>
            <w:tcBorders>
              <w:bottom w:val="single" w:sz="8" w:color="434F69"/>
              <w:right w:val="single" w:sz="8" w:color="auto"/>
            </w:tcBorders>
            <w:vMerge w:val="continue"/>
            <w:shd w:val="clear" w:color="auto" w:fill="D9DCE1"/>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Calculation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434F69"/>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Company Performance Metrics</w:t>
            </w:r>
          </w:p>
        </w:tc>
        <w:tc>
          <w:tcPr>
            <w:tcW w:w="980" w:type="dxa"/>
            <w:vAlign w:val="bottom"/>
            <w:tcBorders>
              <w:bottom w:val="single" w:sz="8" w:color="434F69"/>
            </w:tcBorders>
            <w:shd w:val="clear" w:color="auto" w:fill="434F69"/>
          </w:tcPr>
          <w:p>
            <w:pPr>
              <w:jc w:val="right"/>
              <w:ind w:right="13"/>
              <w:spacing w:after="0"/>
              <w:rPr>
                <w:sz w:val="20"/>
                <w:szCs w:val="20"/>
                <w:color w:val="auto"/>
              </w:rPr>
            </w:pPr>
            <w:r>
              <w:rPr>
                <w:rFonts w:ascii="Arial" w:cs="Arial" w:eastAsia="Arial" w:hAnsi="Arial"/>
                <w:sz w:val="14"/>
                <w:szCs w:val="14"/>
                <w:b w:val="1"/>
                <w:bCs w:val="1"/>
                <w:color w:val="FFFFFF"/>
              </w:rPr>
              <w:t>Weight</w:t>
            </w:r>
          </w:p>
        </w:tc>
        <w:tc>
          <w:tcPr>
            <w:tcW w:w="840" w:type="dxa"/>
            <w:vAlign w:val="bottom"/>
            <w:tcBorders>
              <w:bottom w:val="single" w:sz="8" w:color="434F69"/>
            </w:tcBorders>
            <w:shd w:val="clear" w:color="auto" w:fill="434F69"/>
          </w:tcPr>
          <w:p>
            <w:pPr>
              <w:jc w:val="right"/>
              <w:ind w:right="74"/>
              <w:spacing w:after="0"/>
              <w:rPr>
                <w:sz w:val="20"/>
                <w:szCs w:val="20"/>
                <w:color w:val="auto"/>
              </w:rPr>
            </w:pPr>
            <w:r>
              <w:rPr>
                <w:rFonts w:ascii="Arial" w:cs="Arial" w:eastAsia="Arial" w:hAnsi="Arial"/>
                <w:sz w:val="14"/>
                <w:szCs w:val="14"/>
                <w:b w:val="1"/>
                <w:bCs w:val="1"/>
                <w:color w:val="FFFFFF"/>
                <w:w w:val="97"/>
              </w:rPr>
              <w:t>Threshold</w:t>
            </w:r>
          </w:p>
        </w:tc>
        <w:tc>
          <w:tcPr>
            <w:tcW w:w="680" w:type="dxa"/>
            <w:vAlign w:val="bottom"/>
            <w:tcBorders>
              <w:bottom w:val="single" w:sz="8" w:color="434F69"/>
            </w:tcBorders>
            <w:shd w:val="clear" w:color="auto" w:fill="434F69"/>
          </w:tcPr>
          <w:p>
            <w:pPr>
              <w:jc w:val="right"/>
              <w:ind w:right="134"/>
              <w:spacing w:after="0"/>
              <w:rPr>
                <w:sz w:val="20"/>
                <w:szCs w:val="20"/>
                <w:color w:val="auto"/>
              </w:rPr>
            </w:pPr>
            <w:r>
              <w:rPr>
                <w:rFonts w:ascii="Arial" w:cs="Arial" w:eastAsia="Arial" w:hAnsi="Arial"/>
                <w:sz w:val="14"/>
                <w:szCs w:val="14"/>
                <w:b w:val="1"/>
                <w:bCs w:val="1"/>
                <w:color w:val="FFFFFF"/>
              </w:rPr>
              <w:t>Target</w:t>
            </w:r>
          </w:p>
        </w:tc>
        <w:tc>
          <w:tcPr>
            <w:tcW w:w="520" w:type="dxa"/>
            <w:vAlign w:val="bottom"/>
            <w:tcBorders>
              <w:bottom w:val="single" w:sz="8" w:color="434F69"/>
            </w:tcBorders>
            <w:shd w:val="clear" w:color="auto" w:fill="434F69"/>
          </w:tcPr>
          <w:p>
            <w:pPr>
              <w:jc w:val="right"/>
              <w:ind w:right="35"/>
              <w:spacing w:after="0"/>
              <w:rPr>
                <w:sz w:val="20"/>
                <w:szCs w:val="20"/>
                <w:color w:val="auto"/>
              </w:rPr>
            </w:pPr>
            <w:r>
              <w:rPr>
                <w:rFonts w:ascii="Arial" w:cs="Arial" w:eastAsia="Arial" w:hAnsi="Arial"/>
                <w:sz w:val="14"/>
                <w:szCs w:val="14"/>
                <w:b w:val="1"/>
                <w:bCs w:val="1"/>
                <w:color w:val="FFFFFF"/>
              </w:rPr>
              <w:t>Max</w:t>
            </w:r>
          </w:p>
        </w:tc>
        <w:tc>
          <w:tcPr>
            <w:tcW w:w="680" w:type="dxa"/>
            <w:vAlign w:val="bottom"/>
            <w:tcBorders>
              <w:bottom w:val="single" w:sz="8" w:color="434F69"/>
            </w:tcBorders>
            <w:gridSpan w:val="2"/>
            <w:shd w:val="clear" w:color="auto" w:fill="434F69"/>
          </w:tcPr>
          <w:p>
            <w:pPr>
              <w:jc w:val="right"/>
              <w:ind w:right="80"/>
              <w:spacing w:after="0"/>
              <w:rPr>
                <w:sz w:val="20"/>
                <w:szCs w:val="20"/>
                <w:color w:val="auto"/>
              </w:rPr>
            </w:pPr>
            <w:r>
              <w:rPr>
                <w:rFonts w:ascii="Arial" w:cs="Arial" w:eastAsia="Arial" w:hAnsi="Arial"/>
                <w:sz w:val="14"/>
                <w:szCs w:val="14"/>
                <w:b w:val="1"/>
                <w:bCs w:val="1"/>
                <w:color w:val="FFFFFF"/>
              </w:rPr>
              <w:t>Result</w:t>
            </w:r>
          </w:p>
        </w:tc>
        <w:tc>
          <w:tcPr>
            <w:tcW w:w="160" w:type="dxa"/>
            <w:vAlign w:val="bottom"/>
            <w:tcBorders>
              <w:bottom w:val="single" w:sz="8" w:color="434F69"/>
            </w:tcBorders>
            <w:shd w:val="clear" w:color="auto" w:fill="434F69"/>
          </w:tcPr>
          <w:p>
            <w:pPr>
              <w:spacing w:after="0"/>
              <w:rPr>
                <w:sz w:val="20"/>
                <w:szCs w:val="20"/>
                <w:color w:val="auto"/>
              </w:rPr>
            </w:pPr>
          </w:p>
        </w:tc>
        <w:tc>
          <w:tcPr>
            <w:tcW w:w="1340" w:type="dxa"/>
            <w:vAlign w:val="bottom"/>
            <w:tcBorders>
              <w:bottom w:val="single" w:sz="8" w:color="434F69"/>
              <w:right w:val="single" w:sz="8" w:color="434F69"/>
            </w:tcBorders>
            <w:gridSpan w:val="2"/>
            <w:shd w:val="clear" w:color="auto" w:fill="434F69"/>
          </w:tcPr>
          <w:p>
            <w:pPr>
              <w:jc w:val="right"/>
              <w:spacing w:after="0"/>
              <w:rPr>
                <w:sz w:val="20"/>
                <w:szCs w:val="20"/>
                <w:color w:val="auto"/>
              </w:rPr>
            </w:pPr>
            <w:r>
              <w:rPr>
                <w:rFonts w:ascii="Arial" w:cs="Arial" w:eastAsia="Arial" w:hAnsi="Arial"/>
                <w:sz w:val="14"/>
                <w:szCs w:val="14"/>
                <w:b w:val="1"/>
                <w:bCs w:val="1"/>
                <w:color w:val="FFFFFF"/>
              </w:rPr>
              <w:t>Payout %  Wgtd %</w:t>
            </w:r>
          </w:p>
        </w:tc>
        <w:tc>
          <w:tcPr>
            <w:tcW w:w="0" w:type="dxa"/>
            <w:vAlign w:val="bottom"/>
          </w:tcPr>
          <w:p>
            <w:pPr>
              <w:spacing w:after="0"/>
              <w:rPr>
                <w:sz w:val="1"/>
                <w:szCs w:val="1"/>
                <w:color w:val="auto"/>
              </w:rPr>
            </w:pPr>
          </w:p>
        </w:tc>
      </w:tr>
      <w:tr>
        <w:trPr>
          <w:trHeight w:val="257"/>
        </w:trPr>
        <w:tc>
          <w:tcPr>
            <w:tcW w:w="302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Adjusted EBITDA</w:t>
            </w:r>
          </w:p>
        </w:tc>
        <w:tc>
          <w:tcPr>
            <w:tcW w:w="9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40%</w:t>
            </w:r>
          </w:p>
        </w:tc>
        <w:tc>
          <w:tcPr>
            <w:tcW w:w="840" w:type="dxa"/>
            <w:vAlign w:val="bottom"/>
            <w:tcBorders>
              <w:bottom w:val="single" w:sz="8" w:color="434F69"/>
            </w:tcBorders>
            <w:shd w:val="clear" w:color="auto" w:fill="D9DCE1"/>
          </w:tcPr>
          <w:p>
            <w:pPr>
              <w:jc w:val="right"/>
              <w:ind w:right="114"/>
              <w:spacing w:after="0"/>
              <w:rPr>
                <w:sz w:val="20"/>
                <w:szCs w:val="20"/>
                <w:color w:val="auto"/>
              </w:rPr>
            </w:pPr>
            <w:r>
              <w:rPr>
                <w:rFonts w:ascii="Arial" w:cs="Arial" w:eastAsia="Arial" w:hAnsi="Arial"/>
                <w:sz w:val="18"/>
                <w:szCs w:val="18"/>
                <w:color w:val="auto"/>
              </w:rPr>
              <w:t>$2,405</w:t>
            </w:r>
          </w:p>
        </w:tc>
        <w:tc>
          <w:tcPr>
            <w:tcW w:w="680" w:type="dxa"/>
            <w:vAlign w:val="bottom"/>
            <w:tcBorders>
              <w:bottom w:val="single" w:sz="8" w:color="434F69"/>
            </w:tcBorders>
            <w:shd w:val="clear" w:color="auto" w:fill="D9DCE1"/>
          </w:tcPr>
          <w:p>
            <w:pPr>
              <w:jc w:val="right"/>
              <w:ind w:right="74"/>
              <w:spacing w:after="0"/>
              <w:rPr>
                <w:sz w:val="20"/>
                <w:szCs w:val="20"/>
                <w:color w:val="auto"/>
              </w:rPr>
            </w:pPr>
            <w:r>
              <w:rPr>
                <w:rFonts w:ascii="Arial" w:cs="Arial" w:eastAsia="Arial" w:hAnsi="Arial"/>
                <w:sz w:val="18"/>
                <w:szCs w:val="18"/>
                <w:color w:val="auto"/>
                <w:w w:val="90"/>
              </w:rPr>
              <w:t>$2,600</w:t>
            </w:r>
          </w:p>
        </w:tc>
        <w:tc>
          <w:tcPr>
            <w:tcW w:w="5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90"/>
              </w:rPr>
              <w:t>$2,860</w:t>
            </w:r>
          </w:p>
        </w:tc>
        <w:tc>
          <w:tcPr>
            <w:tcW w:w="840" w:type="dxa"/>
            <w:vAlign w:val="bottom"/>
            <w:tcBorders>
              <w:bottom w:val="single" w:sz="8" w:color="434F69"/>
            </w:tcBorders>
            <w:gridSpan w:val="3"/>
            <w:shd w:val="clear" w:color="auto" w:fill="D9DCE1"/>
          </w:tcPr>
          <w:p>
            <w:pPr>
              <w:jc w:val="right"/>
              <w:spacing w:after="0" w:line="256" w:lineRule="exact"/>
              <w:rPr>
                <w:sz w:val="20"/>
                <w:szCs w:val="20"/>
                <w:color w:val="auto"/>
              </w:rPr>
            </w:pPr>
            <w:r>
              <w:rPr>
                <w:rFonts w:ascii="Arial" w:cs="Arial" w:eastAsia="Arial" w:hAnsi="Arial"/>
                <w:sz w:val="18"/>
                <w:szCs w:val="18"/>
                <w:color w:val="auto"/>
              </w:rPr>
              <w:t>$2,522</w:t>
            </w:r>
            <w:r>
              <w:rPr>
                <w:rFonts w:ascii="Arial" w:cs="Arial" w:eastAsia="Arial" w:hAnsi="Arial"/>
                <w:sz w:val="26"/>
                <w:szCs w:val="26"/>
                <w:color w:val="auto"/>
                <w:vertAlign w:val="superscript"/>
              </w:rPr>
              <w:t>(1)</w:t>
            </w:r>
          </w:p>
        </w:tc>
        <w:tc>
          <w:tcPr>
            <w:tcW w:w="900" w:type="dxa"/>
            <w:vAlign w:val="bottom"/>
            <w:tcBorders>
              <w:bottom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60%</w:t>
            </w:r>
          </w:p>
        </w:tc>
        <w:tc>
          <w:tcPr>
            <w:tcW w:w="440" w:type="dxa"/>
            <w:vAlign w:val="bottom"/>
            <w:tcBorders>
              <w:bottom w:val="single" w:sz="8" w:color="434F69"/>
              <w:right w:val="single" w:sz="8" w:color="434F69"/>
            </w:tcBorders>
            <w:shd w:val="clear" w:color="auto" w:fill="D9DCE1"/>
          </w:tcPr>
          <w:p>
            <w:pPr>
              <w:jc w:val="right"/>
              <w:ind w:right="1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36"/>
        </w:trPr>
        <w:tc>
          <w:tcPr>
            <w:tcW w:w="3020" w:type="dxa"/>
            <w:vAlign w:val="bottom"/>
            <w:tcBorders>
              <w:left w:val="single" w:sz="8" w:color="434F69"/>
            </w:tcBorders>
          </w:tcPr>
          <w:p>
            <w:pPr>
              <w:ind w:left="60"/>
              <w:spacing w:after="0"/>
              <w:rPr>
                <w:sz w:val="20"/>
                <w:szCs w:val="20"/>
                <w:color w:val="auto"/>
              </w:rPr>
            </w:pPr>
            <w:r>
              <w:rPr>
                <w:rFonts w:ascii="Arial" w:cs="Arial" w:eastAsia="Arial" w:hAnsi="Arial"/>
                <w:sz w:val="18"/>
                <w:szCs w:val="18"/>
                <w:color w:val="auto"/>
              </w:rPr>
              <w:t>DCF/Common Unit and CUE</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$ 2.12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$ 2.29* $ 2.52</w:t>
            </w: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$ 2.29*</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104%**</w:t>
            </w:r>
          </w:p>
        </w:tc>
        <w:tc>
          <w:tcPr>
            <w:tcW w:w="440" w:type="dxa"/>
            <w:vAlign w:val="bottom"/>
            <w:tcBorders>
              <w:right w:val="single" w:sz="8" w:color="434F69"/>
            </w:tcBorders>
          </w:tcPr>
          <w:p>
            <w:pPr>
              <w:jc w:val="right"/>
              <w:ind w:right="10"/>
              <w:spacing w:after="0"/>
              <w:rPr>
                <w:sz w:val="20"/>
                <w:szCs w:val="20"/>
                <w:color w:val="auto"/>
              </w:rPr>
            </w:pPr>
            <w:r>
              <w:rPr>
                <w:rFonts w:ascii="Arial" w:cs="Arial" w:eastAsia="Arial" w:hAnsi="Arial"/>
                <w:sz w:val="18"/>
                <w:szCs w:val="18"/>
                <w:color w:val="auto"/>
                <w:w w:val="88"/>
              </w:rPr>
              <w:t>42%</w:t>
            </w:r>
          </w:p>
        </w:tc>
        <w:tc>
          <w:tcPr>
            <w:tcW w:w="0" w:type="dxa"/>
            <w:vAlign w:val="bottom"/>
          </w:tcPr>
          <w:p>
            <w:pPr>
              <w:spacing w:after="0"/>
              <w:rPr>
                <w:sz w:val="1"/>
                <w:szCs w:val="1"/>
                <w:color w:val="auto"/>
              </w:rPr>
            </w:pPr>
          </w:p>
        </w:tc>
      </w:tr>
      <w:tr>
        <w:trPr>
          <w:trHeight w:val="27"/>
        </w:trPr>
        <w:tc>
          <w:tcPr>
            <w:tcW w:w="3020" w:type="dxa"/>
            <w:vAlign w:val="bottom"/>
            <w:tcBorders>
              <w:left w:val="single" w:sz="8" w:color="434F69"/>
              <w:bottom w:val="single" w:sz="8" w:color="434F69"/>
            </w:tcBorders>
          </w:tcPr>
          <w:p>
            <w:pPr>
              <w:spacing w:after="0"/>
              <w:rPr>
                <w:sz w:val="2"/>
                <w:szCs w:val="2"/>
                <w:color w:val="auto"/>
              </w:rPr>
            </w:pPr>
          </w:p>
        </w:tc>
        <w:tc>
          <w:tcPr>
            <w:tcW w:w="980" w:type="dxa"/>
            <w:vAlign w:val="bottom"/>
            <w:tcBorders>
              <w:bottom w:val="single" w:sz="8" w:color="434F69"/>
            </w:tcBorders>
          </w:tcPr>
          <w:p>
            <w:pPr>
              <w:spacing w:after="0"/>
              <w:rPr>
                <w:sz w:val="2"/>
                <w:szCs w:val="2"/>
                <w:color w:val="auto"/>
              </w:rPr>
            </w:pPr>
          </w:p>
        </w:tc>
        <w:tc>
          <w:tcPr>
            <w:tcW w:w="840" w:type="dxa"/>
            <w:vAlign w:val="bottom"/>
            <w:tcBorders>
              <w:bottom w:val="single" w:sz="8" w:color="434F69"/>
            </w:tcBorders>
          </w:tcPr>
          <w:p>
            <w:pPr>
              <w:spacing w:after="0"/>
              <w:rPr>
                <w:sz w:val="2"/>
                <w:szCs w:val="2"/>
                <w:color w:val="auto"/>
              </w:rPr>
            </w:pPr>
          </w:p>
        </w:tc>
        <w:tc>
          <w:tcPr>
            <w:tcW w:w="680" w:type="dxa"/>
            <w:vAlign w:val="bottom"/>
            <w:tcBorders>
              <w:bottom w:val="single" w:sz="8" w:color="434F69"/>
            </w:tcBorders>
          </w:tcPr>
          <w:p>
            <w:pPr>
              <w:spacing w:after="0"/>
              <w:rPr>
                <w:sz w:val="2"/>
                <w:szCs w:val="2"/>
                <w:color w:val="auto"/>
              </w:rPr>
            </w:pPr>
          </w:p>
        </w:tc>
        <w:tc>
          <w:tcPr>
            <w:tcW w:w="520" w:type="dxa"/>
            <w:vAlign w:val="bottom"/>
            <w:tcBorders>
              <w:bottom w:val="single" w:sz="8" w:color="434F69"/>
            </w:tcBorders>
          </w:tcPr>
          <w:p>
            <w:pPr>
              <w:spacing w:after="0"/>
              <w:rPr>
                <w:sz w:val="2"/>
                <w:szCs w:val="2"/>
                <w:color w:val="auto"/>
              </w:rPr>
            </w:pPr>
          </w:p>
        </w:tc>
        <w:tc>
          <w:tcPr>
            <w:tcW w:w="680" w:type="dxa"/>
            <w:vAlign w:val="bottom"/>
            <w:tcBorders>
              <w:bottom w:val="single" w:sz="8" w:color="434F69"/>
            </w:tcBorders>
            <w:gridSpan w:val="2"/>
          </w:tcPr>
          <w:p>
            <w:pPr>
              <w:spacing w:after="0"/>
              <w:rPr>
                <w:sz w:val="2"/>
                <w:szCs w:val="2"/>
                <w:color w:val="auto"/>
              </w:rPr>
            </w:pPr>
          </w:p>
        </w:tc>
        <w:tc>
          <w:tcPr>
            <w:tcW w:w="160" w:type="dxa"/>
            <w:vAlign w:val="bottom"/>
            <w:tcBorders>
              <w:bottom w:val="single" w:sz="8" w:color="434F69"/>
            </w:tcBorders>
          </w:tcPr>
          <w:p>
            <w:pPr>
              <w:spacing w:after="0"/>
              <w:rPr>
                <w:sz w:val="2"/>
                <w:szCs w:val="2"/>
                <w:color w:val="auto"/>
              </w:rPr>
            </w:pPr>
          </w:p>
        </w:tc>
        <w:tc>
          <w:tcPr>
            <w:tcW w:w="900" w:type="dxa"/>
            <w:vAlign w:val="bottom"/>
            <w:tcBorders>
              <w:bottom w:val="single" w:sz="8" w:color="434F69"/>
            </w:tcBorders>
          </w:tcPr>
          <w:p>
            <w:pPr>
              <w:spacing w:after="0"/>
              <w:rPr>
                <w:sz w:val="2"/>
                <w:szCs w:val="2"/>
                <w:color w:val="auto"/>
              </w:rPr>
            </w:pPr>
          </w:p>
        </w:tc>
        <w:tc>
          <w:tcPr>
            <w:tcW w:w="440" w:type="dxa"/>
            <w:vAlign w:val="bottom"/>
            <w:tcBorders>
              <w:bottom w:val="single" w:sz="8" w:color="434F69"/>
              <w:right w:val="single" w:sz="8" w:color="434F69"/>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2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Safety (TRIR)</w:t>
            </w:r>
          </w:p>
        </w:tc>
        <w:tc>
          <w:tcPr>
            <w:tcW w:w="9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434F69"/>
            </w:tcBorders>
            <w:shd w:val="clear" w:color="auto" w:fill="D9DCE1"/>
          </w:tcPr>
          <w:p>
            <w:pPr>
              <w:jc w:val="right"/>
              <w:ind w:right="114"/>
              <w:spacing w:after="0"/>
              <w:rPr>
                <w:sz w:val="20"/>
                <w:szCs w:val="20"/>
                <w:color w:val="auto"/>
              </w:rPr>
            </w:pPr>
            <w:r>
              <w:rPr>
                <w:rFonts w:ascii="Arial" w:cs="Arial" w:eastAsia="Arial" w:hAnsi="Arial"/>
                <w:sz w:val="18"/>
                <w:szCs w:val="18"/>
                <w:color w:val="auto"/>
              </w:rPr>
              <w:t>0.47</w:t>
            </w:r>
          </w:p>
        </w:tc>
        <w:tc>
          <w:tcPr>
            <w:tcW w:w="680" w:type="dxa"/>
            <w:vAlign w:val="bottom"/>
            <w:tcBorders>
              <w:bottom w:val="single" w:sz="8" w:color="434F69"/>
            </w:tcBorders>
            <w:shd w:val="clear" w:color="auto" w:fill="D9DCE1"/>
          </w:tcPr>
          <w:p>
            <w:pPr>
              <w:jc w:val="right"/>
              <w:ind w:right="74"/>
              <w:spacing w:after="0"/>
              <w:rPr>
                <w:sz w:val="20"/>
                <w:szCs w:val="20"/>
                <w:color w:val="auto"/>
              </w:rPr>
            </w:pPr>
            <w:r>
              <w:rPr>
                <w:rFonts w:ascii="Arial" w:cs="Arial" w:eastAsia="Arial" w:hAnsi="Arial"/>
                <w:sz w:val="18"/>
                <w:szCs w:val="18"/>
                <w:color w:val="auto"/>
              </w:rPr>
              <w:t>0.42</w:t>
            </w:r>
          </w:p>
        </w:tc>
        <w:tc>
          <w:tcPr>
            <w:tcW w:w="5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0.36</w:t>
            </w:r>
          </w:p>
        </w:tc>
        <w:tc>
          <w:tcPr>
            <w:tcW w:w="680" w:type="dxa"/>
            <w:vAlign w:val="bottom"/>
            <w:tcBorders>
              <w:bottom w:val="single" w:sz="8" w:color="434F69"/>
            </w:tcBorders>
            <w:gridSpan w:val="2"/>
            <w:shd w:val="clear" w:color="auto" w:fill="D9DCE1"/>
          </w:tcPr>
          <w:p>
            <w:pPr>
              <w:jc w:val="right"/>
              <w:ind w:right="20"/>
              <w:spacing w:after="0"/>
              <w:rPr>
                <w:sz w:val="20"/>
                <w:szCs w:val="20"/>
                <w:color w:val="auto"/>
              </w:rPr>
            </w:pPr>
            <w:r>
              <w:rPr>
                <w:rFonts w:ascii="Arial" w:cs="Arial" w:eastAsia="Arial" w:hAnsi="Arial"/>
                <w:sz w:val="18"/>
                <w:szCs w:val="18"/>
                <w:color w:val="auto"/>
              </w:rPr>
              <w:t>0.38</w:t>
            </w:r>
          </w:p>
        </w:tc>
        <w:tc>
          <w:tcPr>
            <w:tcW w:w="160" w:type="dxa"/>
            <w:vAlign w:val="bottom"/>
            <w:tcBorders>
              <w:bottom w:val="single" w:sz="8" w:color="434F69"/>
            </w:tcBorders>
            <w:shd w:val="clear" w:color="auto" w:fill="D9DCE1"/>
          </w:tcPr>
          <w:p>
            <w:pPr>
              <w:spacing w:after="0"/>
              <w:rPr>
                <w:sz w:val="22"/>
                <w:szCs w:val="22"/>
                <w:color w:val="auto"/>
              </w:rPr>
            </w:pPr>
          </w:p>
        </w:tc>
        <w:tc>
          <w:tcPr>
            <w:tcW w:w="900" w:type="dxa"/>
            <w:vAlign w:val="bottom"/>
            <w:tcBorders>
              <w:bottom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169%</w:t>
            </w:r>
          </w:p>
        </w:tc>
        <w:tc>
          <w:tcPr>
            <w:tcW w:w="440" w:type="dxa"/>
            <w:vAlign w:val="bottom"/>
            <w:tcBorders>
              <w:bottom w:val="single" w:sz="8" w:color="434F69"/>
              <w:right w:val="single" w:sz="8" w:color="434F69"/>
            </w:tcBorders>
            <w:shd w:val="clear" w:color="auto" w:fill="D9DCE1"/>
          </w:tcPr>
          <w:p>
            <w:pPr>
              <w:jc w:val="right"/>
              <w:ind w:right="10"/>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70"/>
        </w:trPr>
        <w:tc>
          <w:tcPr>
            <w:tcW w:w="3020" w:type="dxa"/>
            <w:vAlign w:val="bottom"/>
            <w:tcBorders>
              <w:left w:val="single" w:sz="8" w:color="434F69"/>
            </w:tcBorders>
          </w:tcPr>
          <w:p>
            <w:pPr>
              <w:ind w:left="60"/>
              <w:spacing w:after="0"/>
              <w:rPr>
                <w:sz w:val="20"/>
                <w:szCs w:val="20"/>
                <w:color w:val="auto"/>
              </w:rPr>
            </w:pPr>
            <w:r>
              <w:rPr>
                <w:rFonts w:ascii="Arial" w:cs="Arial" w:eastAsia="Arial" w:hAnsi="Arial"/>
                <w:sz w:val="18"/>
                <w:szCs w:val="18"/>
                <w:color w:val="auto"/>
              </w:rPr>
              <w:t>Environmental (DOT releases)</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21</w:t>
            </w: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18</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3"/>
                <w:szCs w:val="23"/>
                <w:color w:val="auto"/>
              </w:rPr>
            </w:pPr>
          </w:p>
        </w:tc>
        <w:tc>
          <w:tcPr>
            <w:tcW w:w="900" w:type="dxa"/>
            <w:vAlign w:val="bottom"/>
          </w:tcPr>
          <w:p>
            <w:pPr>
              <w:jc w:val="right"/>
              <w:ind w:right="76"/>
              <w:spacing w:after="0" w:line="270" w:lineRule="exact"/>
              <w:rPr>
                <w:sz w:val="20"/>
                <w:szCs w:val="20"/>
                <w:color w:val="auto"/>
              </w:rPr>
            </w:pPr>
            <w:r>
              <w:rPr>
                <w:rFonts w:ascii="Arial" w:cs="Arial" w:eastAsia="Arial" w:hAnsi="Arial"/>
                <w:sz w:val="18"/>
                <w:szCs w:val="18"/>
                <w:color w:val="auto"/>
              </w:rPr>
              <w:t>100%</w:t>
            </w:r>
            <w:r>
              <w:rPr>
                <w:rFonts w:ascii="Arial" w:cs="Arial" w:eastAsia="Arial" w:hAnsi="Arial"/>
                <w:sz w:val="26"/>
                <w:szCs w:val="26"/>
                <w:color w:val="auto"/>
                <w:vertAlign w:val="superscript"/>
              </w:rPr>
              <w:t>(1)</w:t>
            </w:r>
          </w:p>
        </w:tc>
        <w:tc>
          <w:tcPr>
            <w:tcW w:w="440" w:type="dxa"/>
            <w:vAlign w:val="bottom"/>
            <w:tcBorders>
              <w:right w:val="single" w:sz="8" w:color="434F69"/>
            </w:tcBorders>
          </w:tcPr>
          <w:p>
            <w:pPr>
              <w:jc w:val="right"/>
              <w:ind w:right="1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63"/>
        </w:trPr>
        <w:tc>
          <w:tcPr>
            <w:tcW w:w="3020" w:type="dxa"/>
            <w:vAlign w:val="bottom"/>
            <w:tcBorders>
              <w:left w:val="single" w:sz="8" w:color="434F69"/>
              <w:bottom w:val="single" w:sz="8" w:color="434F69"/>
            </w:tcBorders>
            <w:shd w:val="clear" w:color="auto" w:fill="D9DCE1"/>
          </w:tcPr>
          <w:p>
            <w:pPr>
              <w:ind w:left="240"/>
              <w:spacing w:after="0"/>
              <w:rPr>
                <w:sz w:val="20"/>
                <w:szCs w:val="20"/>
                <w:color w:val="auto"/>
              </w:rPr>
            </w:pPr>
            <w:r>
              <w:rPr>
                <w:rFonts w:ascii="Arial" w:cs="Arial" w:eastAsia="Arial" w:hAnsi="Arial"/>
                <w:sz w:val="18"/>
                <w:szCs w:val="18"/>
                <w:color w:val="auto"/>
              </w:rPr>
              <w:t>Company Performance Subtotal</w:t>
            </w:r>
          </w:p>
        </w:tc>
        <w:tc>
          <w:tcPr>
            <w:tcW w:w="980" w:type="dxa"/>
            <w:vAlign w:val="bottom"/>
            <w:tcBorders>
              <w:bottom w:val="single" w:sz="8" w:color="434F69"/>
            </w:tcBorders>
            <w:shd w:val="clear" w:color="auto" w:fill="D9DCE1"/>
          </w:tcPr>
          <w:p>
            <w:pPr>
              <w:spacing w:after="0"/>
              <w:rPr>
                <w:sz w:val="22"/>
                <w:szCs w:val="22"/>
                <w:color w:val="auto"/>
              </w:rPr>
            </w:pPr>
          </w:p>
        </w:tc>
        <w:tc>
          <w:tcPr>
            <w:tcW w:w="840" w:type="dxa"/>
            <w:vAlign w:val="bottom"/>
            <w:tcBorders>
              <w:bottom w:val="single" w:sz="8" w:color="434F69"/>
            </w:tcBorders>
            <w:shd w:val="clear" w:color="auto" w:fill="D9DCE1"/>
          </w:tcPr>
          <w:p>
            <w:pPr>
              <w:spacing w:after="0"/>
              <w:rPr>
                <w:sz w:val="22"/>
                <w:szCs w:val="22"/>
                <w:color w:val="auto"/>
              </w:rPr>
            </w:pPr>
          </w:p>
        </w:tc>
        <w:tc>
          <w:tcPr>
            <w:tcW w:w="680" w:type="dxa"/>
            <w:vAlign w:val="bottom"/>
            <w:tcBorders>
              <w:bottom w:val="single" w:sz="8" w:color="434F69"/>
            </w:tcBorders>
            <w:shd w:val="clear" w:color="auto" w:fill="D9DCE1"/>
          </w:tcPr>
          <w:p>
            <w:pPr>
              <w:spacing w:after="0"/>
              <w:rPr>
                <w:sz w:val="22"/>
                <w:szCs w:val="22"/>
                <w:color w:val="auto"/>
              </w:rPr>
            </w:pPr>
          </w:p>
        </w:tc>
        <w:tc>
          <w:tcPr>
            <w:tcW w:w="520" w:type="dxa"/>
            <w:vAlign w:val="bottom"/>
            <w:tcBorders>
              <w:bottom w:val="single" w:sz="8" w:color="434F69"/>
            </w:tcBorders>
            <w:shd w:val="clear" w:color="auto" w:fill="D9DCE1"/>
          </w:tcPr>
          <w:p>
            <w:pPr>
              <w:spacing w:after="0"/>
              <w:rPr>
                <w:sz w:val="22"/>
                <w:szCs w:val="22"/>
                <w:color w:val="auto"/>
              </w:rPr>
            </w:pPr>
          </w:p>
        </w:tc>
        <w:tc>
          <w:tcPr>
            <w:tcW w:w="580" w:type="dxa"/>
            <w:vAlign w:val="bottom"/>
            <w:tcBorders>
              <w:bottom w:val="single" w:sz="8" w:color="434F69"/>
              <w:right w:val="single" w:sz="8" w:color="D9DCE1"/>
            </w:tcBorders>
            <w:shd w:val="clear" w:color="auto" w:fill="D9DCE1"/>
          </w:tcPr>
          <w:p>
            <w:pPr>
              <w:spacing w:after="0"/>
              <w:rPr>
                <w:sz w:val="22"/>
                <w:szCs w:val="22"/>
                <w:color w:val="auto"/>
              </w:rPr>
            </w:pPr>
          </w:p>
        </w:tc>
        <w:tc>
          <w:tcPr>
            <w:tcW w:w="100" w:type="dxa"/>
            <w:vAlign w:val="bottom"/>
            <w:tcBorders>
              <w:bottom w:val="single" w:sz="8" w:color="434F69"/>
            </w:tcBorders>
            <w:shd w:val="clear" w:color="auto" w:fill="D9DCE1"/>
          </w:tcPr>
          <w:p>
            <w:pPr>
              <w:spacing w:after="0"/>
              <w:rPr>
                <w:sz w:val="22"/>
                <w:szCs w:val="22"/>
                <w:color w:val="auto"/>
              </w:rPr>
            </w:pPr>
          </w:p>
        </w:tc>
        <w:tc>
          <w:tcPr>
            <w:tcW w:w="160" w:type="dxa"/>
            <w:vAlign w:val="bottom"/>
            <w:tcBorders>
              <w:bottom w:val="single" w:sz="8" w:color="434F69"/>
            </w:tcBorders>
            <w:shd w:val="clear" w:color="auto" w:fill="D9DCE1"/>
          </w:tcPr>
          <w:p>
            <w:pPr>
              <w:spacing w:after="0"/>
              <w:rPr>
                <w:sz w:val="22"/>
                <w:szCs w:val="22"/>
                <w:color w:val="auto"/>
              </w:rPr>
            </w:pPr>
          </w:p>
        </w:tc>
        <w:tc>
          <w:tcPr>
            <w:tcW w:w="900" w:type="dxa"/>
            <w:vAlign w:val="bottom"/>
            <w:tcBorders>
              <w:bottom w:val="single" w:sz="8" w:color="434F69"/>
            </w:tcBorders>
            <w:shd w:val="clear" w:color="auto" w:fill="D9DCE1"/>
          </w:tcPr>
          <w:p>
            <w:pPr>
              <w:spacing w:after="0"/>
              <w:rPr>
                <w:sz w:val="22"/>
                <w:szCs w:val="22"/>
                <w:color w:val="auto"/>
              </w:rPr>
            </w:pPr>
          </w:p>
        </w:tc>
        <w:tc>
          <w:tcPr>
            <w:tcW w:w="440" w:type="dxa"/>
            <w:vAlign w:val="bottom"/>
            <w:tcBorders>
              <w:bottom w:val="single" w:sz="8" w:color="434F69"/>
              <w:right w:val="single" w:sz="8" w:color="434F69"/>
            </w:tcBorders>
            <w:shd w:val="clear" w:color="auto" w:fill="D9DCE1"/>
          </w:tcPr>
          <w:p>
            <w:pPr>
              <w:jc w:val="right"/>
              <w:ind w:right="10"/>
              <w:spacing w:after="0"/>
              <w:rPr>
                <w:sz w:val="20"/>
                <w:szCs w:val="20"/>
                <w:color w:val="auto"/>
              </w:rPr>
            </w:pPr>
            <w:r>
              <w:rPr>
                <w:rFonts w:ascii="Arial" w:cs="Arial" w:eastAsia="Arial" w:hAnsi="Arial"/>
                <w:sz w:val="18"/>
                <w:szCs w:val="18"/>
                <w:color w:val="auto"/>
                <w:w w:val="88"/>
              </w:rPr>
              <w:t>93%</w:t>
            </w:r>
          </w:p>
        </w:tc>
        <w:tc>
          <w:tcPr>
            <w:tcW w:w="0" w:type="dxa"/>
            <w:vAlign w:val="bottom"/>
          </w:tcPr>
          <w:p>
            <w:pPr>
              <w:spacing w:after="0"/>
              <w:rPr>
                <w:sz w:val="1"/>
                <w:szCs w:val="1"/>
                <w:color w:val="auto"/>
              </w:rPr>
            </w:pPr>
          </w:p>
        </w:tc>
      </w:tr>
      <w:tr>
        <w:trPr>
          <w:trHeight w:val="297"/>
        </w:trPr>
        <w:tc>
          <w:tcPr>
            <w:tcW w:w="3020" w:type="dxa"/>
            <w:vAlign w:val="bottom"/>
          </w:tcPr>
          <w:p>
            <w:pPr>
              <w:spacing w:after="0"/>
              <w:rPr>
                <w:sz w:val="20"/>
                <w:szCs w:val="20"/>
                <w:color w:val="auto"/>
              </w:rPr>
            </w:pPr>
            <w:r>
              <w:rPr>
                <w:rFonts w:ascii="Arial" w:cs="Arial" w:eastAsia="Arial" w:hAnsi="Arial"/>
                <w:sz w:val="18"/>
                <w:szCs w:val="18"/>
                <w:color w:val="auto"/>
              </w:rPr>
              <w:t>*   Rounded.</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-1079500</wp:posOffset>
            </wp:positionV>
            <wp:extent cx="260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-1233805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0" w:lineRule="exact"/>
        <w:rPr>
          <w:sz w:val="20"/>
          <w:szCs w:val="20"/>
          <w:color w:val="auto"/>
        </w:rPr>
      </w:pPr>
    </w:p>
    <w:p>
      <w:pPr>
        <w:ind w:left="1620" w:right="699" w:hanging="360"/>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Final payout percentage as approved by the compensation committee based on unrounded target and result amounts.</w:t>
      </w:r>
    </w:p>
    <w:p>
      <w:pPr>
        <w:spacing w:after="0" w:line="49" w:lineRule="exact"/>
        <w:rPr>
          <w:sz w:val="20"/>
          <w:szCs w:val="20"/>
          <w:color w:val="auto"/>
        </w:rPr>
      </w:pPr>
    </w:p>
    <w:p>
      <w:pPr>
        <w:ind w:left="1620" w:right="499" w:hanging="360"/>
        <w:spacing w:after="0" w:line="233"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For 2020, PAA reported Adjusted EBITDA of $2.56 billion; however, for purposes of calculating annual bonus payouts, Adjusted EBITDA was reduced to $2.52 billion due to the underperformance of our fee-based Transportation segment. In addition, the payout related to Environmental performance was capped at 100% due to the fact that release volumes increased during 2020 despite achieving the targeted year-over-year reduction in the number of releases. These adjustments resulted in a Company payout of 93%.</w:t>
      </w:r>
    </w:p>
    <w:p>
      <w:pPr>
        <w:spacing w:after="0" w:line="26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Individual Performance</w:t>
      </w:r>
    </w:p>
    <w:p>
      <w:pPr>
        <w:spacing w:after="0" w:line="21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As noted above, individual performance accounts for 33% of the annual bonus opportunity for our Named Executive Officers. Each officer’s individual contributions toward satisfaction of company goals and objectives is evaluated and payouts may range from 0-200% of target. During 2020, the executive leadership team successfully led the organization through a very challenging and unprecedented year and worked closely to achieve the vast majority of the goals set at the beginning of the year. Despite achieving strong operating and financial performance in a very challenging environment that would normally warrant individual scoring somewhere near the midpoint of 100% to 200%, in recognition that PAA’s unit price underperformed relative to its peers for the year, management requested that individual scoring for the NEOs be reduced to fall within a range of 100% to 115%. The compensation committee incorporated this request into its recommendation to the Board, which was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318"/>
        </w:trPr>
        <w:tc>
          <w:tcPr>
            <w:tcW w:w="17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top w:val="single" w:sz="8" w:color="auto"/>
              <w:bottom w:val="single" w:sz="8" w:color="auto"/>
            </w:tcBorders>
          </w:tcPr>
          <w:p>
            <w:pPr>
              <w:spacing w:after="0"/>
              <w:rPr>
                <w:sz w:val="24"/>
                <w:szCs w:val="24"/>
                <w:color w:val="auto"/>
              </w:rPr>
            </w:pPr>
          </w:p>
        </w:tc>
        <w:tc>
          <w:tcPr>
            <w:tcW w:w="516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Individual Performance Highlights</w:t>
            </w:r>
          </w:p>
        </w:tc>
        <w:tc>
          <w:tcPr>
            <w:tcW w:w="11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Score</w:t>
            </w:r>
          </w:p>
        </w:tc>
      </w:tr>
      <w:tr>
        <w:trPr>
          <w:trHeight w:val="229"/>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Willie Chiang</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Overall leadership and tone setting</w:t>
            </w:r>
          </w:p>
        </w:tc>
        <w:tc>
          <w:tcPr>
            <w:tcW w:w="11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100%</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Financial and EHS performance</w:t>
            </w: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Financial and strategic positioning for 2021+</w:t>
            </w:r>
          </w:p>
        </w:tc>
        <w:tc>
          <w:tcPr>
            <w:tcW w:w="1100" w:type="dxa"/>
            <w:vAlign w:val="bottom"/>
            <w:tcBorders>
              <w:right w:val="single" w:sz="8" w:color="auto"/>
            </w:tcBorders>
          </w:tcPr>
          <w:p>
            <w:pPr>
              <w:spacing w:after="0"/>
              <w:rPr>
                <w:sz w:val="18"/>
                <w:szCs w:val="18"/>
                <w:color w:val="auto"/>
              </w:rPr>
            </w:pP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Ongoing Board initiatives (assessment and refreshment)</w:t>
            </w:r>
          </w:p>
        </w:tc>
        <w:tc>
          <w:tcPr>
            <w:tcW w:w="1100" w:type="dxa"/>
            <w:vAlign w:val="bottom"/>
            <w:tcBorders>
              <w:bottom w:val="single" w:sz="8" w:color="auto"/>
              <w:right w:val="single" w:sz="8" w:color="auto"/>
            </w:tcBorders>
          </w:tcPr>
          <w:p>
            <w:pPr>
              <w:spacing w:after="0"/>
              <w:rPr>
                <w:sz w:val="20"/>
                <w:szCs w:val="20"/>
                <w:color w:val="auto"/>
              </w:rPr>
            </w:pPr>
          </w:p>
        </w:tc>
      </w:tr>
      <w:tr>
        <w:trPr>
          <w:trHeight w:val="222"/>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Harry Pefanis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Significant role in joint ventures and divestitures</w:t>
            </w:r>
          </w:p>
        </w:tc>
        <w:tc>
          <w:tcPr>
            <w:tcW w:w="11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100%</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Mentor/develop key individuals</w:t>
            </w:r>
          </w:p>
        </w:tc>
        <w:tc>
          <w:tcPr>
            <w:tcW w:w="1100" w:type="dxa"/>
            <w:vAlign w:val="bottom"/>
            <w:tcBorders>
              <w:right w:val="single" w:sz="8" w:color="auto"/>
            </w:tcBorders>
          </w:tcPr>
          <w:p>
            <w:pPr>
              <w:spacing w:after="0"/>
              <w:rPr>
                <w:sz w:val="18"/>
                <w:szCs w:val="18"/>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Oversee/guide S&amp;L execution/performance</w:t>
            </w:r>
          </w:p>
        </w:tc>
        <w:tc>
          <w:tcPr>
            <w:tcW w:w="1100" w:type="dxa"/>
            <w:vAlign w:val="bottom"/>
            <w:tcBorders>
              <w:right w:val="single" w:sz="8" w:color="auto"/>
            </w:tcBorders>
          </w:tcPr>
          <w:p>
            <w:pPr>
              <w:spacing w:after="0"/>
              <w:rPr>
                <w:sz w:val="19"/>
                <w:szCs w:val="19"/>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Develop/maintain/enhance major commercial relationships and</w:t>
            </w:r>
          </w:p>
        </w:tc>
        <w:tc>
          <w:tcPr>
            <w:tcW w:w="1100" w:type="dxa"/>
            <w:vAlign w:val="bottom"/>
            <w:tcBorders>
              <w:right w:val="single" w:sz="8" w:color="auto"/>
            </w:tcBorders>
          </w:tcPr>
          <w:p>
            <w:pPr>
              <w:spacing w:after="0"/>
              <w:rPr>
                <w:sz w:val="18"/>
                <w:szCs w:val="18"/>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contracts</w:t>
            </w:r>
          </w:p>
        </w:tc>
        <w:tc>
          <w:tcPr>
            <w:tcW w:w="1100" w:type="dxa"/>
            <w:vAlign w:val="bottom"/>
            <w:tcBorders>
              <w:right w:val="single" w:sz="8" w:color="auto"/>
            </w:tcBorders>
          </w:tcPr>
          <w:p>
            <w:pPr>
              <w:spacing w:after="0"/>
              <w:rPr>
                <w:sz w:val="20"/>
                <w:szCs w:val="20"/>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22"/>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 Swanson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Drive shift to free cash flow</w:t>
            </w:r>
          </w:p>
        </w:tc>
        <w:tc>
          <w:tcPr>
            <w:tcW w:w="11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105%</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Enhance financial position/flexibility</w:t>
            </w:r>
          </w:p>
        </w:tc>
        <w:tc>
          <w:tcPr>
            <w:tcW w:w="1100" w:type="dxa"/>
            <w:vAlign w:val="bottom"/>
            <w:tcBorders>
              <w:right w:val="single" w:sz="8" w:color="auto"/>
            </w:tcBorders>
          </w:tcPr>
          <w:p>
            <w:pPr>
              <w:spacing w:after="0"/>
              <w:rPr>
                <w:sz w:val="18"/>
                <w:szCs w:val="18"/>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Balance sheet optimization</w:t>
            </w:r>
          </w:p>
        </w:tc>
        <w:tc>
          <w:tcPr>
            <w:tcW w:w="1100" w:type="dxa"/>
            <w:vAlign w:val="bottom"/>
            <w:tcBorders>
              <w:right w:val="single" w:sz="8" w:color="auto"/>
            </w:tcBorders>
          </w:tcPr>
          <w:p>
            <w:pPr>
              <w:spacing w:after="0"/>
              <w:rPr>
                <w:sz w:val="18"/>
                <w:szCs w:val="18"/>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2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Equity repurchase plan</w:t>
            </w:r>
          </w:p>
        </w:tc>
        <w:tc>
          <w:tcPr>
            <w:tcW w:w="1100" w:type="dxa"/>
            <w:vAlign w:val="bottom"/>
            <w:tcBorders>
              <w:right w:val="single" w:sz="8" w:color="auto"/>
            </w:tcBorders>
          </w:tcPr>
          <w:p>
            <w:pPr>
              <w:spacing w:after="0"/>
              <w:rPr>
                <w:sz w:val="17"/>
                <w:szCs w:val="17"/>
                <w:color w:val="auto"/>
              </w:rPr>
            </w:pP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Manage rating agencies/maintain ratings</w:t>
            </w:r>
          </w:p>
        </w:tc>
        <w:tc>
          <w:tcPr>
            <w:tcW w:w="1100" w:type="dxa"/>
            <w:vAlign w:val="bottom"/>
            <w:tcBorders>
              <w:bottom w:val="single" w:sz="8" w:color="auto"/>
              <w:right w:val="single" w:sz="8" w:color="auto"/>
            </w:tcBorders>
          </w:tcPr>
          <w:p>
            <w:pPr>
              <w:spacing w:after="0"/>
              <w:rPr>
                <w:sz w:val="20"/>
                <w:szCs w:val="20"/>
                <w:color w:val="auto"/>
              </w:rPr>
            </w:pPr>
          </w:p>
        </w:tc>
      </w:tr>
      <w:tr>
        <w:trPr>
          <w:trHeight w:val="256"/>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Richard McGee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Legal support for multiple significant complex business</w:t>
            </w:r>
          </w:p>
        </w:tc>
        <w:tc>
          <w:tcPr>
            <w:tcW w:w="11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105%</w:t>
            </w: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development transactions</w:t>
            </w:r>
          </w:p>
        </w:tc>
        <w:tc>
          <w:tcPr>
            <w:tcW w:w="1100" w:type="dxa"/>
            <w:vAlign w:val="bottom"/>
            <w:tcBorders>
              <w:right w:val="single" w:sz="8" w:color="auto"/>
            </w:tcBorders>
          </w:tcPr>
          <w:p>
            <w:pPr>
              <w:spacing w:after="0"/>
              <w:rPr>
                <w:sz w:val="19"/>
                <w:szCs w:val="19"/>
                <w:color w:val="auto"/>
              </w:rPr>
            </w:pPr>
          </w:p>
        </w:tc>
      </w:tr>
      <w:tr>
        <w:trPr>
          <w:trHeight w:val="230"/>
        </w:trPr>
        <w:tc>
          <w:tcPr>
            <w:tcW w:w="1740" w:type="dxa"/>
            <w:vAlign w:val="bottom"/>
            <w:tcBorders>
              <w:left w:val="single" w:sz="8" w:color="auto"/>
              <w:right w:val="single" w:sz="8" w:color="auto"/>
            </w:tcBorders>
          </w:tcPr>
          <w:p>
            <w:pPr>
              <w:spacing w:after="0"/>
              <w:rPr>
                <w:sz w:val="19"/>
                <w:szCs w:val="19"/>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Manage/mitigate Line 901 exposure</w:t>
            </w:r>
          </w:p>
        </w:tc>
        <w:tc>
          <w:tcPr>
            <w:tcW w:w="1100" w:type="dxa"/>
            <w:vAlign w:val="bottom"/>
            <w:tcBorders>
              <w:right w:val="single" w:sz="8" w:color="auto"/>
            </w:tcBorders>
          </w:tcPr>
          <w:p>
            <w:pPr>
              <w:spacing w:after="0"/>
              <w:rPr>
                <w:sz w:val="19"/>
                <w:szCs w:val="19"/>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Facilitate investor engagement effort and governance/</w:t>
            </w:r>
          </w:p>
        </w:tc>
        <w:tc>
          <w:tcPr>
            <w:tcW w:w="1100" w:type="dxa"/>
            <w:vAlign w:val="bottom"/>
            <w:tcBorders>
              <w:right w:val="single" w:sz="8" w:color="auto"/>
            </w:tcBorders>
          </w:tcPr>
          <w:p>
            <w:pPr>
              <w:spacing w:after="0"/>
              <w:rPr>
                <w:sz w:val="18"/>
                <w:szCs w:val="18"/>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compensation initiatives</w:t>
            </w:r>
          </w:p>
        </w:tc>
        <w:tc>
          <w:tcPr>
            <w:tcW w:w="1100" w:type="dxa"/>
            <w:vAlign w:val="bottom"/>
            <w:tcBorders>
              <w:right w:val="single" w:sz="8" w:color="auto"/>
            </w:tcBorders>
          </w:tcPr>
          <w:p>
            <w:pPr>
              <w:spacing w:after="0"/>
              <w:rPr>
                <w:sz w:val="20"/>
                <w:szCs w:val="20"/>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22"/>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Chris Chandler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Excellent operational reliability in 2020</w:t>
            </w:r>
          </w:p>
        </w:tc>
        <w:tc>
          <w:tcPr>
            <w:tcW w:w="11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115%</w:t>
            </w: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EHS performance</w:t>
            </w:r>
          </w:p>
        </w:tc>
        <w:tc>
          <w:tcPr>
            <w:tcW w:w="1100" w:type="dxa"/>
            <w:vAlign w:val="bottom"/>
            <w:tcBorders>
              <w:right w:val="single" w:sz="8" w:color="auto"/>
            </w:tcBorders>
          </w:tcPr>
          <w:p>
            <w:pPr>
              <w:spacing w:after="0"/>
              <w:rPr>
                <w:sz w:val="19"/>
                <w:szCs w:val="19"/>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Leadership role in convergence effort, capex/cost reductions and</w:t>
            </w:r>
          </w:p>
        </w:tc>
        <w:tc>
          <w:tcPr>
            <w:tcW w:w="1100" w:type="dxa"/>
            <w:vAlign w:val="bottom"/>
            <w:tcBorders>
              <w:right w:val="single" w:sz="8" w:color="auto"/>
            </w:tcBorders>
          </w:tcPr>
          <w:p>
            <w:pPr>
              <w:spacing w:after="0"/>
              <w:rPr>
                <w:sz w:val="18"/>
                <w:szCs w:val="18"/>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business review process</w:t>
            </w:r>
          </w:p>
        </w:tc>
        <w:tc>
          <w:tcPr>
            <w:tcW w:w="1100" w:type="dxa"/>
            <w:vAlign w:val="bottom"/>
            <w:tcBorders>
              <w:right w:val="single" w:sz="8" w:color="auto"/>
            </w:tcBorders>
          </w:tcPr>
          <w:p>
            <w:pPr>
              <w:spacing w:after="0"/>
              <w:rPr>
                <w:sz w:val="20"/>
                <w:szCs w:val="20"/>
                <w:color w:val="auto"/>
              </w:rPr>
            </w:pPr>
          </w:p>
        </w:tc>
      </w:tr>
      <w:tr>
        <w:trPr>
          <w:trHeight w:val="242"/>
        </w:trPr>
        <w:tc>
          <w:tcPr>
            <w:tcW w:w="1740" w:type="dxa"/>
            <w:vAlign w:val="bottom"/>
            <w:tcBorders>
              <w:left w:val="single" w:sz="8" w:color="auto"/>
              <w:right w:val="single" w:sz="8" w:color="auto"/>
            </w:tcBorders>
          </w:tcPr>
          <w:p>
            <w:pPr>
              <w:spacing w:after="0"/>
              <w:rPr>
                <w:sz w:val="21"/>
                <w:szCs w:val="21"/>
                <w:color w:val="auto"/>
              </w:rPr>
            </w:pPr>
          </w:p>
        </w:tc>
        <w:tc>
          <w:tcPr>
            <w:tcW w:w="53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Facilitated achieving (positioning to achieve) key project</w:t>
            </w:r>
          </w:p>
        </w:tc>
        <w:tc>
          <w:tcPr>
            <w:tcW w:w="1100" w:type="dxa"/>
            <w:vAlign w:val="bottom"/>
            <w:tcBorders>
              <w:right w:val="single" w:sz="8" w:color="auto"/>
            </w:tcBorders>
          </w:tcPr>
          <w:p>
            <w:pPr>
              <w:spacing w:after="0"/>
              <w:rPr>
                <w:sz w:val="21"/>
                <w:szCs w:val="2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milestones</w:t>
            </w:r>
          </w:p>
        </w:tc>
        <w:tc>
          <w:tcPr>
            <w:tcW w:w="1100" w:type="dxa"/>
            <w:vAlign w:val="bottom"/>
            <w:tcBorders>
              <w:right w:val="single" w:sz="8" w:color="auto"/>
            </w:tcBorders>
          </w:tcPr>
          <w:p>
            <w:pPr>
              <w:spacing w:after="0"/>
              <w:rPr>
                <w:sz w:val="20"/>
                <w:szCs w:val="20"/>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r>
        <w:trPr>
          <w:trHeight w:val="249"/>
        </w:trPr>
        <w:tc>
          <w:tcPr>
            <w:tcW w:w="1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Jeremy Goebel</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Led multiple major, complex and strategic projects/business</w:t>
            </w:r>
          </w:p>
        </w:tc>
        <w:tc>
          <w:tcPr>
            <w:tcW w:w="11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115%</w:t>
            </w: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development transactions, including $450 million in asset sales</w:t>
            </w:r>
          </w:p>
        </w:tc>
        <w:tc>
          <w:tcPr>
            <w:tcW w:w="1100" w:type="dxa"/>
            <w:vAlign w:val="bottom"/>
            <w:tcBorders>
              <w:right w:val="single" w:sz="8" w:color="auto"/>
            </w:tcBorders>
          </w:tcPr>
          <w:p>
            <w:pPr>
              <w:spacing w:after="0"/>
              <w:rPr>
                <w:sz w:val="19"/>
                <w:szCs w:val="19"/>
                <w:color w:val="auto"/>
              </w:rPr>
            </w:pPr>
          </w:p>
        </w:tc>
      </w:tr>
      <w:tr>
        <w:trPr>
          <w:trHeight w:val="230"/>
        </w:trPr>
        <w:tc>
          <w:tcPr>
            <w:tcW w:w="1740" w:type="dxa"/>
            <w:vAlign w:val="bottom"/>
            <w:tcBorders>
              <w:left w:val="single" w:sz="8" w:color="auto"/>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Enhanced supply position</w:t>
            </w:r>
          </w:p>
        </w:tc>
        <w:tc>
          <w:tcPr>
            <w:tcW w:w="1100" w:type="dxa"/>
            <w:vAlign w:val="bottom"/>
            <w:tcBorders>
              <w:right w:val="single" w:sz="8" w:color="auto"/>
            </w:tcBorders>
          </w:tcPr>
          <w:p>
            <w:pPr>
              <w:spacing w:after="0"/>
              <w:rPr>
                <w:sz w:val="19"/>
                <w:szCs w:val="19"/>
                <w:color w:val="auto"/>
              </w:rPr>
            </w:pP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Develop/maintain/enhance major commercial relationships and</w:t>
            </w:r>
          </w:p>
        </w:tc>
        <w:tc>
          <w:tcPr>
            <w:tcW w:w="1100" w:type="dxa"/>
            <w:vAlign w:val="bottom"/>
            <w:tcBorders>
              <w:right w:val="single" w:sz="8" w:color="auto"/>
            </w:tcBorders>
          </w:tcPr>
          <w:p>
            <w:pPr>
              <w:spacing w:after="0"/>
              <w:rPr>
                <w:sz w:val="18"/>
                <w:szCs w:val="18"/>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contracts</w:t>
            </w:r>
          </w:p>
        </w:tc>
        <w:tc>
          <w:tcPr>
            <w:tcW w:w="1100" w:type="dxa"/>
            <w:vAlign w:val="bottom"/>
            <w:tcBorders>
              <w:right w:val="single" w:sz="8" w:color="auto"/>
            </w:tcBorders>
          </w:tcPr>
          <w:p>
            <w:pPr>
              <w:spacing w:after="0"/>
              <w:rPr>
                <w:sz w:val="20"/>
                <w:szCs w:val="20"/>
                <w:color w:val="auto"/>
              </w:rPr>
            </w:pPr>
          </w:p>
        </w:tc>
      </w:tr>
      <w:tr>
        <w:trPr>
          <w:trHeight w:val="242"/>
        </w:trPr>
        <w:tc>
          <w:tcPr>
            <w:tcW w:w="1740" w:type="dxa"/>
            <w:vAlign w:val="bottom"/>
            <w:tcBorders>
              <w:left w:val="single" w:sz="8" w:color="auto"/>
              <w:right w:val="single" w:sz="8" w:color="auto"/>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Key role in capex optimization, business review process and</w:t>
            </w:r>
          </w:p>
        </w:tc>
        <w:tc>
          <w:tcPr>
            <w:tcW w:w="1100" w:type="dxa"/>
            <w:vAlign w:val="bottom"/>
            <w:tcBorders>
              <w:right w:val="single" w:sz="8" w:color="auto"/>
            </w:tcBorders>
          </w:tcPr>
          <w:p>
            <w:pPr>
              <w:spacing w:after="0"/>
              <w:rPr>
                <w:sz w:val="21"/>
                <w:szCs w:val="2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driving efficiencies in commercial group</w:t>
            </w:r>
          </w:p>
        </w:tc>
        <w:tc>
          <w:tcPr>
            <w:tcW w:w="1100" w:type="dxa"/>
            <w:vAlign w:val="bottom"/>
            <w:tcBorders>
              <w:right w:val="single" w:sz="8" w:color="auto"/>
            </w:tcBorders>
          </w:tcPr>
          <w:p>
            <w:pPr>
              <w:spacing w:after="0"/>
              <w:rPr>
                <w:sz w:val="20"/>
                <w:szCs w:val="20"/>
                <w:color w:val="auto"/>
              </w:rPr>
            </w:pPr>
          </w:p>
        </w:tc>
      </w:tr>
      <w:tr>
        <w:trPr>
          <w:trHeight w:val="27"/>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bl>
    <w:p>
      <w:pPr>
        <w:spacing w:after="0" w:line="121" w:lineRule="exact"/>
        <w:rPr>
          <w:sz w:val="20"/>
          <w:szCs w:val="20"/>
          <w:color w:val="auto"/>
        </w:rPr>
      </w:pPr>
    </w:p>
    <w:p>
      <w:pPr>
        <w:ind w:left="1260" w:right="660" w:firstLine="360"/>
        <w:spacing w:after="0" w:line="277" w:lineRule="auto"/>
        <w:rPr>
          <w:sz w:val="20"/>
          <w:szCs w:val="20"/>
          <w:color w:val="auto"/>
        </w:rPr>
      </w:pPr>
      <w:r>
        <w:rPr>
          <w:rFonts w:ascii="Arial" w:cs="Arial" w:eastAsia="Arial" w:hAnsi="Arial"/>
          <w:sz w:val="18"/>
          <w:szCs w:val="18"/>
          <w:color w:val="auto"/>
        </w:rPr>
        <w:t>After applying individual performance scores ranging from 100% to 115%, the total formulaic bonus payout calculation for our NEOs ranged from 95% to 100%, as set forth in the table below.</w:t>
      </w:r>
    </w:p>
    <w:p>
      <w:pPr>
        <w:spacing w:after="0" w:line="185" w:lineRule="exact"/>
        <w:rPr>
          <w:sz w:val="20"/>
          <w:szCs w:val="20"/>
          <w:color w:val="auto"/>
        </w:rPr>
      </w:pPr>
    </w:p>
    <w:tbl>
      <w:tblPr>
        <w:tblLayout w:type="fixed"/>
        <w:tblInd w:w="830" w:type="dxa"/>
        <w:tblCellMar>
          <w:top w:w="0" w:type="dxa"/>
          <w:left w:w="0" w:type="dxa"/>
          <w:bottom w:w="0" w:type="dxa"/>
          <w:right w:w="0" w:type="dxa"/>
        </w:tblCellMar>
      </w:tblPr>
      <w:tr>
        <w:trPr>
          <w:trHeight w:val="216"/>
        </w:trPr>
        <w:tc>
          <w:tcPr>
            <w:tcW w:w="1820" w:type="dxa"/>
            <w:vAlign w:val="bottom"/>
            <w:tcBorders>
              <w:left w:val="single" w:sz="8" w:color="434F69"/>
            </w:tcBorders>
            <w:shd w:val="clear" w:color="auto" w:fill="434F69"/>
          </w:tcPr>
          <w:p>
            <w:pPr>
              <w:spacing w:after="0"/>
              <w:rPr>
                <w:sz w:val="18"/>
                <w:szCs w:val="18"/>
                <w:color w:val="auto"/>
              </w:rPr>
            </w:pPr>
          </w:p>
        </w:tc>
        <w:tc>
          <w:tcPr>
            <w:tcW w:w="380" w:type="dxa"/>
            <w:vAlign w:val="bottom"/>
            <w:shd w:val="clear" w:color="auto" w:fill="434F69"/>
          </w:tcPr>
          <w:p>
            <w:pPr>
              <w:spacing w:after="0"/>
              <w:rPr>
                <w:sz w:val="18"/>
                <w:szCs w:val="18"/>
                <w:color w:val="auto"/>
              </w:rPr>
            </w:pPr>
          </w:p>
        </w:tc>
        <w:tc>
          <w:tcPr>
            <w:tcW w:w="820" w:type="dxa"/>
            <w:vAlign w:val="bottom"/>
            <w:shd w:val="clear" w:color="auto" w:fill="434F69"/>
          </w:tcPr>
          <w:p>
            <w:pPr>
              <w:spacing w:after="0"/>
              <w:rPr>
                <w:sz w:val="18"/>
                <w:szCs w:val="18"/>
                <w:color w:val="auto"/>
              </w:rPr>
            </w:pPr>
          </w:p>
        </w:tc>
        <w:tc>
          <w:tcPr>
            <w:tcW w:w="100" w:type="dxa"/>
            <w:vAlign w:val="bottom"/>
            <w:shd w:val="clear" w:color="auto" w:fill="434F69"/>
          </w:tcPr>
          <w:p>
            <w:pPr>
              <w:spacing w:after="0"/>
              <w:rPr>
                <w:sz w:val="18"/>
                <w:szCs w:val="18"/>
                <w:color w:val="auto"/>
              </w:rPr>
            </w:pPr>
          </w:p>
        </w:tc>
        <w:tc>
          <w:tcPr>
            <w:tcW w:w="1660" w:type="dxa"/>
            <w:vAlign w:val="bottom"/>
            <w:gridSpan w:val="4"/>
            <w:shd w:val="clear" w:color="auto" w:fill="434F69"/>
          </w:tcPr>
          <w:p>
            <w:pPr>
              <w:jc w:val="right"/>
              <w:ind w:right="360"/>
              <w:spacing w:after="0"/>
              <w:rPr>
                <w:sz w:val="20"/>
                <w:szCs w:val="20"/>
                <w:color w:val="auto"/>
              </w:rPr>
            </w:pPr>
            <w:r>
              <w:rPr>
                <w:rFonts w:ascii="Arial" w:cs="Arial" w:eastAsia="Arial" w:hAnsi="Arial"/>
                <w:sz w:val="14"/>
                <w:szCs w:val="14"/>
                <w:b w:val="1"/>
                <w:bCs w:val="1"/>
                <w:color w:val="FFFFFF"/>
              </w:rPr>
              <w:t>Company Results</w:t>
            </w:r>
          </w:p>
        </w:tc>
        <w:tc>
          <w:tcPr>
            <w:tcW w:w="380" w:type="dxa"/>
            <w:vAlign w:val="bottom"/>
            <w:shd w:val="clear" w:color="auto" w:fill="434F69"/>
          </w:tcPr>
          <w:p>
            <w:pPr>
              <w:spacing w:after="0"/>
              <w:rPr>
                <w:sz w:val="18"/>
                <w:szCs w:val="18"/>
                <w:color w:val="auto"/>
              </w:rPr>
            </w:pPr>
          </w:p>
        </w:tc>
        <w:tc>
          <w:tcPr>
            <w:tcW w:w="1740" w:type="dxa"/>
            <w:vAlign w:val="bottom"/>
            <w:gridSpan w:val="4"/>
            <w:shd w:val="clear" w:color="auto" w:fill="434F69"/>
          </w:tcPr>
          <w:p>
            <w:pPr>
              <w:jc w:val="right"/>
              <w:ind w:right="400"/>
              <w:spacing w:after="0"/>
              <w:rPr>
                <w:sz w:val="20"/>
                <w:szCs w:val="20"/>
                <w:color w:val="auto"/>
              </w:rPr>
            </w:pPr>
            <w:r>
              <w:rPr>
                <w:rFonts w:ascii="Arial" w:cs="Arial" w:eastAsia="Arial" w:hAnsi="Arial"/>
                <w:sz w:val="14"/>
                <w:szCs w:val="14"/>
                <w:b w:val="1"/>
                <w:bCs w:val="1"/>
                <w:color w:val="FFFFFF"/>
              </w:rPr>
              <w:t>Individual Results</w:t>
            </w:r>
          </w:p>
        </w:tc>
        <w:tc>
          <w:tcPr>
            <w:tcW w:w="320" w:type="dxa"/>
            <w:vAlign w:val="bottom"/>
            <w:shd w:val="clear" w:color="auto" w:fill="434F69"/>
          </w:tcPr>
          <w:p>
            <w:pPr>
              <w:spacing w:after="0"/>
              <w:rPr>
                <w:sz w:val="18"/>
                <w:szCs w:val="18"/>
                <w:color w:val="auto"/>
              </w:rPr>
            </w:pPr>
          </w:p>
        </w:tc>
        <w:tc>
          <w:tcPr>
            <w:tcW w:w="100" w:type="dxa"/>
            <w:vAlign w:val="bottom"/>
            <w:shd w:val="clear" w:color="auto" w:fill="434F69"/>
          </w:tcPr>
          <w:p>
            <w:pPr>
              <w:spacing w:after="0"/>
              <w:rPr>
                <w:sz w:val="18"/>
                <w:szCs w:val="18"/>
                <w:color w:val="auto"/>
              </w:rPr>
            </w:pPr>
          </w:p>
        </w:tc>
        <w:tc>
          <w:tcPr>
            <w:tcW w:w="740" w:type="dxa"/>
            <w:vAlign w:val="bottom"/>
            <w:shd w:val="clear" w:color="auto" w:fill="434F69"/>
          </w:tcPr>
          <w:p>
            <w:pPr>
              <w:jc w:val="center"/>
              <w:ind w:right="68"/>
              <w:spacing w:after="0"/>
              <w:rPr>
                <w:sz w:val="20"/>
                <w:szCs w:val="20"/>
                <w:color w:val="auto"/>
              </w:rPr>
            </w:pPr>
            <w:r>
              <w:rPr>
                <w:rFonts w:ascii="Arial" w:cs="Arial" w:eastAsia="Arial" w:hAnsi="Arial"/>
                <w:sz w:val="14"/>
                <w:szCs w:val="14"/>
                <w:b w:val="1"/>
                <w:bCs w:val="1"/>
                <w:color w:val="FFFFFF"/>
                <w:w w:val="87"/>
              </w:rPr>
              <w:t>Percent of</w:t>
            </w:r>
          </w:p>
        </w:tc>
        <w:tc>
          <w:tcPr>
            <w:tcW w:w="1020" w:type="dxa"/>
            <w:vAlign w:val="bottom"/>
            <w:tcBorders>
              <w:right w:val="single" w:sz="8" w:color="434F69"/>
            </w:tcBorders>
            <w:gridSpan w:val="2"/>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2020 Actual</w:t>
            </w:r>
          </w:p>
        </w:tc>
        <w:tc>
          <w:tcPr>
            <w:tcW w:w="0" w:type="dxa"/>
            <w:vAlign w:val="bottom"/>
          </w:tcPr>
          <w:p>
            <w:pPr>
              <w:spacing w:after="0"/>
              <w:rPr>
                <w:sz w:val="1"/>
                <w:szCs w:val="1"/>
                <w:color w:val="auto"/>
              </w:rPr>
            </w:pPr>
          </w:p>
        </w:tc>
      </w:tr>
      <w:tr>
        <w:trPr>
          <w:trHeight w:val="68"/>
        </w:trPr>
        <w:tc>
          <w:tcPr>
            <w:tcW w:w="1820" w:type="dxa"/>
            <w:vAlign w:val="bottom"/>
            <w:tcBorders>
              <w:left w:val="single" w:sz="8" w:color="434F69"/>
              <w:bottom w:val="single" w:sz="8" w:color="434F69"/>
            </w:tcBorders>
            <w:shd w:val="clear" w:color="auto" w:fill="434F69"/>
          </w:tcPr>
          <w:p>
            <w:pPr>
              <w:spacing w:after="0"/>
              <w:rPr>
                <w:sz w:val="5"/>
                <w:szCs w:val="5"/>
                <w:color w:val="auto"/>
              </w:rPr>
            </w:pPr>
          </w:p>
        </w:tc>
        <w:tc>
          <w:tcPr>
            <w:tcW w:w="1200" w:type="dxa"/>
            <w:vAlign w:val="bottom"/>
            <w:tcBorders>
              <w:bottom w:val="single" w:sz="8" w:color="434F69"/>
            </w:tcBorders>
            <w:gridSpan w:val="2"/>
            <w:vMerge w:val="restart"/>
            <w:shd w:val="clear" w:color="auto" w:fill="434F69"/>
          </w:tcPr>
          <w:p>
            <w:pPr>
              <w:jc w:val="center"/>
              <w:ind w:left="53"/>
              <w:spacing w:after="0" w:line="139" w:lineRule="exact"/>
              <w:rPr>
                <w:sz w:val="20"/>
                <w:szCs w:val="20"/>
                <w:color w:val="auto"/>
              </w:rPr>
            </w:pPr>
            <w:r>
              <w:rPr>
                <w:rFonts w:ascii="Arial" w:cs="Arial" w:eastAsia="Arial" w:hAnsi="Arial"/>
                <w:sz w:val="14"/>
                <w:szCs w:val="14"/>
                <w:b w:val="1"/>
                <w:bCs w:val="1"/>
                <w:color w:val="FFFFFF"/>
                <w:w w:val="89"/>
              </w:rPr>
              <w:t>2020 Target</w:t>
            </w:r>
          </w:p>
        </w:tc>
        <w:tc>
          <w:tcPr>
            <w:tcW w:w="100" w:type="dxa"/>
            <w:vAlign w:val="bottom"/>
            <w:tcBorders>
              <w:bottom w:val="single" w:sz="8" w:color="434F69"/>
            </w:tcBorders>
            <w:shd w:val="clear" w:color="auto" w:fill="434F69"/>
          </w:tcPr>
          <w:p>
            <w:pPr>
              <w:spacing w:after="0"/>
              <w:rPr>
                <w:sz w:val="5"/>
                <w:szCs w:val="5"/>
                <w:color w:val="auto"/>
              </w:rPr>
            </w:pPr>
          </w:p>
        </w:tc>
        <w:tc>
          <w:tcPr>
            <w:tcW w:w="700" w:type="dxa"/>
            <w:vAlign w:val="bottom"/>
            <w:tcBorders>
              <w:bottom w:val="single" w:sz="8" w:color="auto"/>
            </w:tcBorders>
            <w:shd w:val="clear" w:color="auto" w:fill="434F69"/>
          </w:tcPr>
          <w:p>
            <w:pPr>
              <w:spacing w:after="0"/>
              <w:rPr>
                <w:sz w:val="5"/>
                <w:szCs w:val="5"/>
                <w:color w:val="auto"/>
              </w:rPr>
            </w:pPr>
          </w:p>
        </w:tc>
        <w:tc>
          <w:tcPr>
            <w:tcW w:w="300" w:type="dxa"/>
            <w:vAlign w:val="bottom"/>
            <w:tcBorders>
              <w:bottom w:val="single" w:sz="8" w:color="auto"/>
            </w:tcBorders>
            <w:shd w:val="clear" w:color="auto" w:fill="434F69"/>
          </w:tcPr>
          <w:p>
            <w:pPr>
              <w:spacing w:after="0"/>
              <w:rPr>
                <w:sz w:val="5"/>
                <w:szCs w:val="5"/>
                <w:color w:val="auto"/>
              </w:rPr>
            </w:pPr>
          </w:p>
        </w:tc>
        <w:tc>
          <w:tcPr>
            <w:tcW w:w="540" w:type="dxa"/>
            <w:vAlign w:val="bottom"/>
            <w:tcBorders>
              <w:bottom w:val="single" w:sz="8" w:color="auto"/>
            </w:tcBorders>
            <w:shd w:val="clear" w:color="auto" w:fill="434F69"/>
          </w:tcPr>
          <w:p>
            <w:pPr>
              <w:spacing w:after="0"/>
              <w:rPr>
                <w:sz w:val="5"/>
                <w:szCs w:val="5"/>
                <w:color w:val="auto"/>
              </w:rPr>
            </w:pPr>
          </w:p>
        </w:tc>
        <w:tc>
          <w:tcPr>
            <w:tcW w:w="120" w:type="dxa"/>
            <w:vAlign w:val="bottom"/>
            <w:tcBorders>
              <w:bottom w:val="single" w:sz="8" w:color="434F69"/>
            </w:tcBorders>
            <w:shd w:val="clear" w:color="auto" w:fill="434F69"/>
          </w:tcPr>
          <w:p>
            <w:pPr>
              <w:spacing w:after="0"/>
              <w:rPr>
                <w:sz w:val="5"/>
                <w:szCs w:val="5"/>
                <w:color w:val="auto"/>
              </w:rPr>
            </w:pPr>
          </w:p>
        </w:tc>
        <w:tc>
          <w:tcPr>
            <w:tcW w:w="380" w:type="dxa"/>
            <w:vAlign w:val="bottom"/>
            <w:tcBorders>
              <w:bottom w:val="single" w:sz="8" w:color="434F69"/>
            </w:tcBorders>
            <w:shd w:val="clear" w:color="auto" w:fill="434F69"/>
          </w:tcPr>
          <w:p>
            <w:pPr>
              <w:spacing w:after="0"/>
              <w:rPr>
                <w:sz w:val="5"/>
                <w:szCs w:val="5"/>
                <w:color w:val="auto"/>
              </w:rPr>
            </w:pPr>
          </w:p>
        </w:tc>
        <w:tc>
          <w:tcPr>
            <w:tcW w:w="740" w:type="dxa"/>
            <w:vAlign w:val="bottom"/>
            <w:tcBorders>
              <w:bottom w:val="single" w:sz="8" w:color="auto"/>
            </w:tcBorders>
            <w:shd w:val="clear" w:color="auto" w:fill="434F69"/>
          </w:tcPr>
          <w:p>
            <w:pPr>
              <w:spacing w:after="0"/>
              <w:rPr>
                <w:sz w:val="5"/>
                <w:szCs w:val="5"/>
                <w:color w:val="auto"/>
              </w:rPr>
            </w:pPr>
          </w:p>
        </w:tc>
        <w:tc>
          <w:tcPr>
            <w:tcW w:w="320" w:type="dxa"/>
            <w:vAlign w:val="bottom"/>
            <w:tcBorders>
              <w:bottom w:val="single" w:sz="8" w:color="auto"/>
            </w:tcBorders>
            <w:shd w:val="clear" w:color="auto" w:fill="434F69"/>
          </w:tcPr>
          <w:p>
            <w:pPr>
              <w:spacing w:after="0"/>
              <w:rPr>
                <w:sz w:val="5"/>
                <w:szCs w:val="5"/>
                <w:color w:val="auto"/>
              </w:rPr>
            </w:pPr>
          </w:p>
        </w:tc>
        <w:tc>
          <w:tcPr>
            <w:tcW w:w="560" w:type="dxa"/>
            <w:vAlign w:val="bottom"/>
            <w:tcBorders>
              <w:bottom w:val="single" w:sz="8" w:color="auto"/>
            </w:tcBorders>
            <w:shd w:val="clear" w:color="auto" w:fill="434F69"/>
          </w:tcPr>
          <w:p>
            <w:pPr>
              <w:spacing w:after="0"/>
              <w:rPr>
                <w:sz w:val="5"/>
                <w:szCs w:val="5"/>
                <w:color w:val="auto"/>
              </w:rPr>
            </w:pPr>
          </w:p>
        </w:tc>
        <w:tc>
          <w:tcPr>
            <w:tcW w:w="120" w:type="dxa"/>
            <w:vAlign w:val="bottom"/>
            <w:tcBorders>
              <w:bottom w:val="single" w:sz="8" w:color="434F69"/>
            </w:tcBorders>
            <w:shd w:val="clear" w:color="auto" w:fill="434F69"/>
          </w:tcPr>
          <w:p>
            <w:pPr>
              <w:spacing w:after="0"/>
              <w:rPr>
                <w:sz w:val="5"/>
                <w:szCs w:val="5"/>
                <w:color w:val="auto"/>
              </w:rPr>
            </w:pPr>
          </w:p>
        </w:tc>
        <w:tc>
          <w:tcPr>
            <w:tcW w:w="320" w:type="dxa"/>
            <w:vAlign w:val="bottom"/>
            <w:tcBorders>
              <w:bottom w:val="single" w:sz="8" w:color="434F69"/>
            </w:tcBorders>
            <w:shd w:val="clear" w:color="auto" w:fill="434F69"/>
          </w:tcPr>
          <w:p>
            <w:pPr>
              <w:spacing w:after="0"/>
              <w:rPr>
                <w:sz w:val="5"/>
                <w:szCs w:val="5"/>
                <w:color w:val="auto"/>
              </w:rPr>
            </w:pPr>
          </w:p>
        </w:tc>
        <w:tc>
          <w:tcPr>
            <w:tcW w:w="100" w:type="dxa"/>
            <w:vAlign w:val="bottom"/>
            <w:tcBorders>
              <w:bottom w:val="single" w:sz="8" w:color="434F69"/>
            </w:tcBorders>
            <w:shd w:val="clear" w:color="auto" w:fill="434F69"/>
          </w:tcPr>
          <w:p>
            <w:pPr>
              <w:spacing w:after="0"/>
              <w:rPr>
                <w:sz w:val="5"/>
                <w:szCs w:val="5"/>
                <w:color w:val="auto"/>
              </w:rPr>
            </w:pPr>
          </w:p>
        </w:tc>
        <w:tc>
          <w:tcPr>
            <w:tcW w:w="740" w:type="dxa"/>
            <w:vAlign w:val="bottom"/>
            <w:tcBorders>
              <w:bottom w:val="single" w:sz="8" w:color="434F69"/>
            </w:tcBorders>
            <w:vMerge w:val="restart"/>
            <w:shd w:val="clear" w:color="auto" w:fill="434F69"/>
          </w:tcPr>
          <w:p>
            <w:pPr>
              <w:jc w:val="center"/>
              <w:ind w:right="48"/>
              <w:spacing w:after="0" w:line="139" w:lineRule="exact"/>
              <w:rPr>
                <w:sz w:val="20"/>
                <w:szCs w:val="20"/>
                <w:color w:val="auto"/>
              </w:rPr>
            </w:pPr>
            <w:r>
              <w:rPr>
                <w:rFonts w:ascii="Arial" w:cs="Arial" w:eastAsia="Arial" w:hAnsi="Arial"/>
                <w:sz w:val="14"/>
                <w:szCs w:val="14"/>
                <w:b w:val="1"/>
                <w:bCs w:val="1"/>
                <w:color w:val="FFFFFF"/>
                <w:w w:val="88"/>
              </w:rPr>
              <w:t>Target</w:t>
            </w:r>
          </w:p>
        </w:tc>
        <w:tc>
          <w:tcPr>
            <w:tcW w:w="1020" w:type="dxa"/>
            <w:vAlign w:val="bottom"/>
            <w:tcBorders>
              <w:bottom w:val="single" w:sz="8" w:color="434F69"/>
              <w:right w:val="single" w:sz="8" w:color="434F69"/>
            </w:tcBorders>
            <w:gridSpan w:val="2"/>
            <w:vMerge w:val="continue"/>
            <w:shd w:val="clear" w:color="auto" w:fill="434F69"/>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820" w:type="dxa"/>
            <w:vAlign w:val="bottom"/>
            <w:tcBorders>
              <w:left w:val="single" w:sz="8" w:color="434F69"/>
            </w:tcBorders>
            <w:shd w:val="clear" w:color="auto" w:fill="434F69"/>
          </w:tcPr>
          <w:p>
            <w:pPr>
              <w:spacing w:after="0"/>
              <w:rPr>
                <w:sz w:val="4"/>
                <w:szCs w:val="4"/>
                <w:color w:val="auto"/>
              </w:rPr>
            </w:pPr>
          </w:p>
        </w:tc>
        <w:tc>
          <w:tcPr>
            <w:tcW w:w="1200" w:type="dxa"/>
            <w:vAlign w:val="bottom"/>
            <w:gridSpan w:val="2"/>
            <w:vMerge w:val="continue"/>
            <w:shd w:val="clear" w:color="auto" w:fill="434F69"/>
          </w:tcPr>
          <w:p>
            <w:pPr>
              <w:spacing w:after="0"/>
              <w:rPr>
                <w:sz w:val="4"/>
                <w:szCs w:val="4"/>
                <w:color w:val="auto"/>
              </w:rPr>
            </w:pPr>
          </w:p>
        </w:tc>
        <w:tc>
          <w:tcPr>
            <w:tcW w:w="100" w:type="dxa"/>
            <w:vAlign w:val="bottom"/>
            <w:shd w:val="clear" w:color="auto" w:fill="434F69"/>
          </w:tcPr>
          <w:p>
            <w:pPr>
              <w:spacing w:after="0"/>
              <w:rPr>
                <w:sz w:val="4"/>
                <w:szCs w:val="4"/>
                <w:color w:val="auto"/>
              </w:rPr>
            </w:pPr>
          </w:p>
        </w:tc>
        <w:tc>
          <w:tcPr>
            <w:tcW w:w="700" w:type="dxa"/>
            <w:vAlign w:val="bottom"/>
            <w:shd w:val="clear" w:color="auto" w:fill="434F69"/>
          </w:tcPr>
          <w:p>
            <w:pPr>
              <w:spacing w:after="0"/>
              <w:rPr>
                <w:sz w:val="4"/>
                <w:szCs w:val="4"/>
                <w:color w:val="auto"/>
              </w:rPr>
            </w:pPr>
          </w:p>
        </w:tc>
        <w:tc>
          <w:tcPr>
            <w:tcW w:w="300" w:type="dxa"/>
            <w:vAlign w:val="bottom"/>
            <w:shd w:val="clear" w:color="auto" w:fill="434F69"/>
          </w:tcPr>
          <w:p>
            <w:pPr>
              <w:spacing w:after="0"/>
              <w:rPr>
                <w:sz w:val="4"/>
                <w:szCs w:val="4"/>
                <w:color w:val="auto"/>
              </w:rPr>
            </w:pPr>
          </w:p>
        </w:tc>
        <w:tc>
          <w:tcPr>
            <w:tcW w:w="540" w:type="dxa"/>
            <w:vAlign w:val="bottom"/>
            <w:shd w:val="clear" w:color="auto" w:fill="434F69"/>
          </w:tcPr>
          <w:p>
            <w:pPr>
              <w:spacing w:after="0"/>
              <w:rPr>
                <w:sz w:val="4"/>
                <w:szCs w:val="4"/>
                <w:color w:val="auto"/>
              </w:rPr>
            </w:pPr>
          </w:p>
        </w:tc>
        <w:tc>
          <w:tcPr>
            <w:tcW w:w="120" w:type="dxa"/>
            <w:vAlign w:val="bottom"/>
            <w:shd w:val="clear" w:color="auto" w:fill="434F69"/>
          </w:tcPr>
          <w:p>
            <w:pPr>
              <w:spacing w:after="0"/>
              <w:rPr>
                <w:sz w:val="4"/>
                <w:szCs w:val="4"/>
                <w:color w:val="auto"/>
              </w:rPr>
            </w:pPr>
          </w:p>
        </w:tc>
        <w:tc>
          <w:tcPr>
            <w:tcW w:w="380" w:type="dxa"/>
            <w:vAlign w:val="bottom"/>
            <w:shd w:val="clear" w:color="auto" w:fill="434F69"/>
          </w:tcPr>
          <w:p>
            <w:pPr>
              <w:spacing w:after="0"/>
              <w:rPr>
                <w:sz w:val="4"/>
                <w:szCs w:val="4"/>
                <w:color w:val="auto"/>
              </w:rPr>
            </w:pPr>
          </w:p>
        </w:tc>
        <w:tc>
          <w:tcPr>
            <w:tcW w:w="740" w:type="dxa"/>
            <w:vAlign w:val="bottom"/>
            <w:shd w:val="clear" w:color="auto" w:fill="434F69"/>
          </w:tcPr>
          <w:p>
            <w:pPr>
              <w:spacing w:after="0"/>
              <w:rPr>
                <w:sz w:val="4"/>
                <w:szCs w:val="4"/>
                <w:color w:val="auto"/>
              </w:rPr>
            </w:pPr>
          </w:p>
        </w:tc>
        <w:tc>
          <w:tcPr>
            <w:tcW w:w="320" w:type="dxa"/>
            <w:vAlign w:val="bottom"/>
            <w:shd w:val="clear" w:color="auto" w:fill="434F69"/>
          </w:tcPr>
          <w:p>
            <w:pPr>
              <w:spacing w:after="0"/>
              <w:rPr>
                <w:sz w:val="4"/>
                <w:szCs w:val="4"/>
                <w:color w:val="auto"/>
              </w:rPr>
            </w:pPr>
          </w:p>
        </w:tc>
        <w:tc>
          <w:tcPr>
            <w:tcW w:w="560" w:type="dxa"/>
            <w:vAlign w:val="bottom"/>
            <w:shd w:val="clear" w:color="auto" w:fill="434F69"/>
          </w:tcPr>
          <w:p>
            <w:pPr>
              <w:spacing w:after="0"/>
              <w:rPr>
                <w:sz w:val="4"/>
                <w:szCs w:val="4"/>
                <w:color w:val="auto"/>
              </w:rPr>
            </w:pPr>
          </w:p>
        </w:tc>
        <w:tc>
          <w:tcPr>
            <w:tcW w:w="120" w:type="dxa"/>
            <w:vAlign w:val="bottom"/>
            <w:shd w:val="clear" w:color="auto" w:fill="434F69"/>
          </w:tcPr>
          <w:p>
            <w:pPr>
              <w:spacing w:after="0"/>
              <w:rPr>
                <w:sz w:val="4"/>
                <w:szCs w:val="4"/>
                <w:color w:val="auto"/>
              </w:rPr>
            </w:pPr>
          </w:p>
        </w:tc>
        <w:tc>
          <w:tcPr>
            <w:tcW w:w="320" w:type="dxa"/>
            <w:vAlign w:val="bottom"/>
            <w:shd w:val="clear" w:color="auto" w:fill="434F69"/>
          </w:tcPr>
          <w:p>
            <w:pPr>
              <w:spacing w:after="0"/>
              <w:rPr>
                <w:sz w:val="4"/>
                <w:szCs w:val="4"/>
                <w:color w:val="auto"/>
              </w:rPr>
            </w:pPr>
          </w:p>
        </w:tc>
        <w:tc>
          <w:tcPr>
            <w:tcW w:w="100" w:type="dxa"/>
            <w:vAlign w:val="bottom"/>
            <w:shd w:val="clear" w:color="auto" w:fill="434F69"/>
          </w:tcPr>
          <w:p>
            <w:pPr>
              <w:spacing w:after="0"/>
              <w:rPr>
                <w:sz w:val="4"/>
                <w:szCs w:val="4"/>
                <w:color w:val="auto"/>
              </w:rPr>
            </w:pPr>
          </w:p>
        </w:tc>
        <w:tc>
          <w:tcPr>
            <w:tcW w:w="740" w:type="dxa"/>
            <w:vAlign w:val="bottom"/>
            <w:vMerge w:val="continue"/>
            <w:shd w:val="clear" w:color="auto" w:fill="434F69"/>
          </w:tcPr>
          <w:p>
            <w:pPr>
              <w:spacing w:after="0"/>
              <w:rPr>
                <w:sz w:val="4"/>
                <w:szCs w:val="4"/>
                <w:color w:val="auto"/>
              </w:rPr>
            </w:pPr>
          </w:p>
        </w:tc>
        <w:tc>
          <w:tcPr>
            <w:tcW w:w="1020" w:type="dxa"/>
            <w:vAlign w:val="bottom"/>
            <w:tcBorders>
              <w:right w:val="single" w:sz="8" w:color="434F69"/>
            </w:tcBorders>
            <w:gridSpan w:val="2"/>
            <w:vMerge w:val="continue"/>
            <w:shd w:val="clear" w:color="auto" w:fill="434F69"/>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434F69"/>
            </w:tcBorders>
            <w:shd w:val="clear" w:color="auto" w:fill="434F69"/>
          </w:tcPr>
          <w:p>
            <w:pPr>
              <w:spacing w:after="0"/>
              <w:rPr>
                <w:sz w:val="13"/>
                <w:szCs w:val="13"/>
                <w:color w:val="auto"/>
              </w:rPr>
            </w:pPr>
          </w:p>
        </w:tc>
        <w:tc>
          <w:tcPr>
            <w:tcW w:w="380" w:type="dxa"/>
            <w:vAlign w:val="bottom"/>
            <w:shd w:val="clear" w:color="auto" w:fill="434F69"/>
          </w:tcPr>
          <w:p>
            <w:pPr>
              <w:spacing w:after="0"/>
              <w:rPr>
                <w:sz w:val="13"/>
                <w:szCs w:val="13"/>
                <w:color w:val="auto"/>
              </w:rPr>
            </w:pPr>
          </w:p>
        </w:tc>
        <w:tc>
          <w:tcPr>
            <w:tcW w:w="820" w:type="dxa"/>
            <w:vAlign w:val="bottom"/>
            <w:shd w:val="clear" w:color="auto" w:fill="434F69"/>
          </w:tcPr>
          <w:p>
            <w:pPr>
              <w:jc w:val="center"/>
              <w:ind w:right="155"/>
              <w:spacing w:after="0" w:line="158" w:lineRule="exact"/>
              <w:rPr>
                <w:sz w:val="20"/>
                <w:szCs w:val="20"/>
                <w:color w:val="auto"/>
              </w:rPr>
            </w:pPr>
            <w:r>
              <w:rPr>
                <w:rFonts w:ascii="Arial" w:cs="Arial" w:eastAsia="Arial" w:hAnsi="Arial"/>
                <w:sz w:val="14"/>
                <w:szCs w:val="14"/>
                <w:b w:val="1"/>
                <w:bCs w:val="1"/>
                <w:color w:val="FFFFFF"/>
                <w:w w:val="87"/>
              </w:rPr>
              <w:t>Bonus</w:t>
            </w:r>
          </w:p>
        </w:tc>
        <w:tc>
          <w:tcPr>
            <w:tcW w:w="100" w:type="dxa"/>
            <w:vAlign w:val="bottom"/>
            <w:shd w:val="clear" w:color="auto" w:fill="434F69"/>
          </w:tcPr>
          <w:p>
            <w:pPr>
              <w:spacing w:after="0"/>
              <w:rPr>
                <w:sz w:val="13"/>
                <w:szCs w:val="13"/>
                <w:color w:val="auto"/>
              </w:rPr>
            </w:pPr>
          </w:p>
        </w:tc>
        <w:tc>
          <w:tcPr>
            <w:tcW w:w="700" w:type="dxa"/>
            <w:vAlign w:val="bottom"/>
            <w:shd w:val="clear" w:color="auto" w:fill="434F69"/>
          </w:tcPr>
          <w:p>
            <w:pPr>
              <w:jc w:val="right"/>
              <w:ind w:right="48"/>
              <w:spacing w:after="0" w:line="158" w:lineRule="exact"/>
              <w:rPr>
                <w:sz w:val="20"/>
                <w:szCs w:val="20"/>
                <w:color w:val="auto"/>
              </w:rPr>
            </w:pPr>
            <w:r>
              <w:rPr>
                <w:rFonts w:ascii="Arial" w:cs="Arial" w:eastAsia="Arial" w:hAnsi="Arial"/>
                <w:sz w:val="14"/>
                <w:szCs w:val="14"/>
                <w:b w:val="1"/>
                <w:bCs w:val="1"/>
                <w:color w:val="FFFFFF"/>
                <w:w w:val="87"/>
              </w:rPr>
              <w:t>Company</w:t>
            </w:r>
          </w:p>
        </w:tc>
        <w:tc>
          <w:tcPr>
            <w:tcW w:w="300" w:type="dxa"/>
            <w:vAlign w:val="bottom"/>
            <w:shd w:val="clear" w:color="auto" w:fill="434F69"/>
          </w:tcPr>
          <w:p>
            <w:pPr>
              <w:spacing w:after="0"/>
              <w:rPr>
                <w:sz w:val="13"/>
                <w:szCs w:val="13"/>
                <w:color w:val="auto"/>
              </w:rPr>
            </w:pPr>
          </w:p>
        </w:tc>
        <w:tc>
          <w:tcPr>
            <w:tcW w:w="540" w:type="dxa"/>
            <w:vAlign w:val="bottom"/>
            <w:shd w:val="clear" w:color="auto" w:fill="434F69"/>
          </w:tcPr>
          <w:p>
            <w:pPr>
              <w:spacing w:after="0"/>
              <w:rPr>
                <w:sz w:val="13"/>
                <w:szCs w:val="13"/>
                <w:color w:val="auto"/>
              </w:rPr>
            </w:pPr>
          </w:p>
        </w:tc>
        <w:tc>
          <w:tcPr>
            <w:tcW w:w="120" w:type="dxa"/>
            <w:vAlign w:val="bottom"/>
            <w:shd w:val="clear" w:color="auto" w:fill="434F69"/>
          </w:tcPr>
          <w:p>
            <w:pPr>
              <w:spacing w:after="0"/>
              <w:rPr>
                <w:sz w:val="13"/>
                <w:szCs w:val="13"/>
                <w:color w:val="auto"/>
              </w:rPr>
            </w:pPr>
          </w:p>
        </w:tc>
        <w:tc>
          <w:tcPr>
            <w:tcW w:w="380" w:type="dxa"/>
            <w:vAlign w:val="bottom"/>
            <w:shd w:val="clear" w:color="auto" w:fill="434F69"/>
          </w:tcPr>
          <w:p>
            <w:pPr>
              <w:spacing w:after="0"/>
              <w:rPr>
                <w:sz w:val="13"/>
                <w:szCs w:val="13"/>
                <w:color w:val="auto"/>
              </w:rPr>
            </w:pPr>
          </w:p>
        </w:tc>
        <w:tc>
          <w:tcPr>
            <w:tcW w:w="740" w:type="dxa"/>
            <w:vAlign w:val="bottom"/>
            <w:shd w:val="clear" w:color="auto" w:fill="434F69"/>
          </w:tcPr>
          <w:p>
            <w:pPr>
              <w:jc w:val="right"/>
              <w:ind w:right="56"/>
              <w:spacing w:after="0" w:line="158" w:lineRule="exact"/>
              <w:rPr>
                <w:sz w:val="20"/>
                <w:szCs w:val="20"/>
                <w:color w:val="auto"/>
              </w:rPr>
            </w:pPr>
            <w:r>
              <w:rPr>
                <w:rFonts w:ascii="Arial" w:cs="Arial" w:eastAsia="Arial" w:hAnsi="Arial"/>
                <w:sz w:val="14"/>
                <w:szCs w:val="14"/>
                <w:b w:val="1"/>
                <w:bCs w:val="1"/>
                <w:color w:val="FFFFFF"/>
                <w:w w:val="88"/>
              </w:rPr>
              <w:t>Individual</w:t>
            </w:r>
          </w:p>
        </w:tc>
        <w:tc>
          <w:tcPr>
            <w:tcW w:w="320" w:type="dxa"/>
            <w:vAlign w:val="bottom"/>
            <w:shd w:val="clear" w:color="auto" w:fill="434F69"/>
          </w:tcPr>
          <w:p>
            <w:pPr>
              <w:spacing w:after="0"/>
              <w:rPr>
                <w:sz w:val="13"/>
                <w:szCs w:val="13"/>
                <w:color w:val="auto"/>
              </w:rPr>
            </w:pPr>
          </w:p>
        </w:tc>
        <w:tc>
          <w:tcPr>
            <w:tcW w:w="560" w:type="dxa"/>
            <w:vAlign w:val="bottom"/>
            <w:shd w:val="clear" w:color="auto" w:fill="434F69"/>
          </w:tcPr>
          <w:p>
            <w:pPr>
              <w:spacing w:after="0"/>
              <w:rPr>
                <w:sz w:val="13"/>
                <w:szCs w:val="13"/>
                <w:color w:val="auto"/>
              </w:rPr>
            </w:pPr>
          </w:p>
        </w:tc>
        <w:tc>
          <w:tcPr>
            <w:tcW w:w="120" w:type="dxa"/>
            <w:vAlign w:val="bottom"/>
            <w:shd w:val="clear" w:color="auto" w:fill="434F69"/>
          </w:tcPr>
          <w:p>
            <w:pPr>
              <w:spacing w:after="0"/>
              <w:rPr>
                <w:sz w:val="13"/>
                <w:szCs w:val="13"/>
                <w:color w:val="auto"/>
              </w:rPr>
            </w:pPr>
          </w:p>
        </w:tc>
        <w:tc>
          <w:tcPr>
            <w:tcW w:w="320" w:type="dxa"/>
            <w:vAlign w:val="bottom"/>
            <w:shd w:val="clear" w:color="auto" w:fill="434F69"/>
          </w:tcPr>
          <w:p>
            <w:pPr>
              <w:spacing w:after="0"/>
              <w:rPr>
                <w:sz w:val="13"/>
                <w:szCs w:val="13"/>
                <w:color w:val="auto"/>
              </w:rPr>
            </w:pPr>
          </w:p>
        </w:tc>
        <w:tc>
          <w:tcPr>
            <w:tcW w:w="100" w:type="dxa"/>
            <w:vAlign w:val="bottom"/>
            <w:shd w:val="clear" w:color="auto" w:fill="434F69"/>
          </w:tcPr>
          <w:p>
            <w:pPr>
              <w:spacing w:after="0"/>
              <w:rPr>
                <w:sz w:val="13"/>
                <w:szCs w:val="13"/>
                <w:color w:val="auto"/>
              </w:rPr>
            </w:pPr>
          </w:p>
        </w:tc>
        <w:tc>
          <w:tcPr>
            <w:tcW w:w="740" w:type="dxa"/>
            <w:vAlign w:val="bottom"/>
            <w:shd w:val="clear" w:color="auto" w:fill="434F69"/>
          </w:tcPr>
          <w:p>
            <w:pPr>
              <w:jc w:val="center"/>
              <w:ind w:right="48"/>
              <w:spacing w:after="0" w:line="158" w:lineRule="exact"/>
              <w:rPr>
                <w:sz w:val="20"/>
                <w:szCs w:val="20"/>
                <w:color w:val="auto"/>
              </w:rPr>
            </w:pPr>
            <w:r>
              <w:rPr>
                <w:rFonts w:ascii="Arial" w:cs="Arial" w:eastAsia="Arial" w:hAnsi="Arial"/>
                <w:sz w:val="14"/>
                <w:szCs w:val="14"/>
                <w:b w:val="1"/>
                <w:bCs w:val="1"/>
                <w:color w:val="FFFFFF"/>
                <w:w w:val="87"/>
              </w:rPr>
              <w:t>Bonus</w:t>
            </w:r>
          </w:p>
        </w:tc>
        <w:tc>
          <w:tcPr>
            <w:tcW w:w="220" w:type="dxa"/>
            <w:vAlign w:val="bottom"/>
            <w:shd w:val="clear" w:color="auto" w:fill="434F69"/>
          </w:tcPr>
          <w:p>
            <w:pPr>
              <w:spacing w:after="0"/>
              <w:rPr>
                <w:sz w:val="13"/>
                <w:szCs w:val="13"/>
                <w:color w:val="auto"/>
              </w:rPr>
            </w:pPr>
          </w:p>
        </w:tc>
        <w:tc>
          <w:tcPr>
            <w:tcW w:w="800" w:type="dxa"/>
            <w:vAlign w:val="bottom"/>
            <w:tcBorders>
              <w:right w:val="single" w:sz="8" w:color="434F69"/>
            </w:tcBorders>
            <w:shd w:val="clear" w:color="auto" w:fill="434F69"/>
          </w:tcPr>
          <w:p>
            <w:pPr>
              <w:jc w:val="center"/>
              <w:ind w:right="115"/>
              <w:spacing w:after="0" w:line="158" w:lineRule="exact"/>
              <w:rPr>
                <w:sz w:val="20"/>
                <w:szCs w:val="20"/>
                <w:color w:val="auto"/>
              </w:rPr>
            </w:pPr>
            <w:r>
              <w:rPr>
                <w:rFonts w:ascii="Arial" w:cs="Arial" w:eastAsia="Arial" w:hAnsi="Arial"/>
                <w:sz w:val="14"/>
                <w:szCs w:val="14"/>
                <w:b w:val="1"/>
                <w:bCs w:val="1"/>
                <w:color w:val="FFFFFF"/>
                <w:w w:val="82"/>
              </w:rPr>
              <w:t>Bonus</w:t>
            </w:r>
          </w:p>
        </w:tc>
        <w:tc>
          <w:tcPr>
            <w:tcW w:w="0" w:type="dxa"/>
            <w:vAlign w:val="bottom"/>
          </w:tcPr>
          <w:p>
            <w:pPr>
              <w:spacing w:after="0"/>
              <w:rPr>
                <w:sz w:val="1"/>
                <w:szCs w:val="1"/>
                <w:color w:val="auto"/>
              </w:rPr>
            </w:pPr>
          </w:p>
        </w:tc>
      </w:tr>
      <w:tr>
        <w:trPr>
          <w:trHeight w:val="230"/>
        </w:trPr>
        <w:tc>
          <w:tcPr>
            <w:tcW w:w="1820" w:type="dxa"/>
            <w:vAlign w:val="bottom"/>
            <w:tcBorders>
              <w:lef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380" w:type="dxa"/>
            <w:vAlign w:val="bottom"/>
            <w:shd w:val="clear" w:color="auto" w:fill="434F69"/>
          </w:tcPr>
          <w:p>
            <w:pPr>
              <w:spacing w:after="0"/>
              <w:rPr>
                <w:sz w:val="19"/>
                <w:szCs w:val="19"/>
                <w:color w:val="auto"/>
              </w:rPr>
            </w:pPr>
          </w:p>
        </w:tc>
        <w:tc>
          <w:tcPr>
            <w:tcW w:w="820" w:type="dxa"/>
            <w:vAlign w:val="bottom"/>
            <w:shd w:val="clear" w:color="auto" w:fill="434F69"/>
          </w:tcPr>
          <w:p>
            <w:pPr>
              <w:jc w:val="center"/>
              <w:ind w:right="115"/>
              <w:spacing w:after="0"/>
              <w:rPr>
                <w:sz w:val="20"/>
                <w:szCs w:val="20"/>
                <w:color w:val="auto"/>
              </w:rPr>
            </w:pPr>
            <w:r>
              <w:rPr>
                <w:rFonts w:ascii="Arial" w:cs="Arial" w:eastAsia="Arial" w:hAnsi="Arial"/>
                <w:sz w:val="14"/>
                <w:szCs w:val="14"/>
                <w:b w:val="1"/>
                <w:bCs w:val="1"/>
                <w:color w:val="FFFFFF"/>
                <w:w w:val="94"/>
              </w:rPr>
              <w:t>Amount</w:t>
            </w:r>
          </w:p>
        </w:tc>
        <w:tc>
          <w:tcPr>
            <w:tcW w:w="100" w:type="dxa"/>
            <w:vAlign w:val="bottom"/>
            <w:shd w:val="clear" w:color="auto" w:fill="434F69"/>
          </w:tcPr>
          <w:p>
            <w:pPr>
              <w:spacing w:after="0"/>
              <w:rPr>
                <w:sz w:val="19"/>
                <w:szCs w:val="19"/>
                <w:color w:val="auto"/>
              </w:rPr>
            </w:pPr>
          </w:p>
        </w:tc>
        <w:tc>
          <w:tcPr>
            <w:tcW w:w="700" w:type="dxa"/>
            <w:vAlign w:val="bottom"/>
            <w:shd w:val="clear" w:color="auto" w:fill="434F69"/>
          </w:tcPr>
          <w:p>
            <w:pPr>
              <w:jc w:val="right"/>
              <w:ind w:right="168"/>
              <w:spacing w:after="0"/>
              <w:rPr>
                <w:sz w:val="20"/>
                <w:szCs w:val="20"/>
                <w:color w:val="auto"/>
              </w:rPr>
            </w:pPr>
            <w:r>
              <w:rPr>
                <w:rFonts w:ascii="Arial" w:cs="Arial" w:eastAsia="Arial" w:hAnsi="Arial"/>
                <w:sz w:val="14"/>
                <w:szCs w:val="14"/>
                <w:b w:val="1"/>
                <w:bCs w:val="1"/>
                <w:color w:val="FFFFFF"/>
              </w:rPr>
              <w:t>Score</w:t>
            </w:r>
          </w:p>
        </w:tc>
        <w:tc>
          <w:tcPr>
            <w:tcW w:w="300" w:type="dxa"/>
            <w:vAlign w:val="bottom"/>
            <w:shd w:val="clear" w:color="auto" w:fill="434F69"/>
          </w:tcPr>
          <w:p>
            <w:pPr>
              <w:spacing w:after="0"/>
              <w:rPr>
                <w:sz w:val="19"/>
                <w:szCs w:val="19"/>
                <w:color w:val="auto"/>
              </w:rPr>
            </w:pPr>
          </w:p>
        </w:tc>
        <w:tc>
          <w:tcPr>
            <w:tcW w:w="660" w:type="dxa"/>
            <w:vAlign w:val="bottom"/>
            <w:gridSpan w:val="2"/>
            <w:shd w:val="clear" w:color="auto" w:fill="434F69"/>
          </w:tcPr>
          <w:p>
            <w:pPr>
              <w:jc w:val="right"/>
              <w:ind w:right="120"/>
              <w:spacing w:after="0"/>
              <w:rPr>
                <w:sz w:val="20"/>
                <w:szCs w:val="20"/>
                <w:color w:val="auto"/>
              </w:rPr>
            </w:pPr>
            <w:r>
              <w:rPr>
                <w:rFonts w:ascii="Arial" w:cs="Arial" w:eastAsia="Arial" w:hAnsi="Arial"/>
                <w:sz w:val="14"/>
                <w:szCs w:val="14"/>
                <w:b w:val="1"/>
                <w:bCs w:val="1"/>
                <w:color w:val="FFFFFF"/>
              </w:rPr>
              <w:t>Weight</w:t>
            </w:r>
          </w:p>
        </w:tc>
        <w:tc>
          <w:tcPr>
            <w:tcW w:w="380" w:type="dxa"/>
            <w:vAlign w:val="bottom"/>
            <w:shd w:val="clear" w:color="auto" w:fill="434F69"/>
          </w:tcPr>
          <w:p>
            <w:pPr>
              <w:spacing w:after="0"/>
              <w:rPr>
                <w:sz w:val="19"/>
                <w:szCs w:val="19"/>
                <w:color w:val="auto"/>
              </w:rPr>
            </w:pPr>
          </w:p>
        </w:tc>
        <w:tc>
          <w:tcPr>
            <w:tcW w:w="740" w:type="dxa"/>
            <w:vAlign w:val="bottom"/>
            <w:shd w:val="clear" w:color="auto" w:fill="434F69"/>
          </w:tcPr>
          <w:p>
            <w:pPr>
              <w:jc w:val="right"/>
              <w:ind w:right="176"/>
              <w:spacing w:after="0"/>
              <w:rPr>
                <w:sz w:val="20"/>
                <w:szCs w:val="20"/>
                <w:color w:val="auto"/>
              </w:rPr>
            </w:pPr>
            <w:r>
              <w:rPr>
                <w:rFonts w:ascii="Arial" w:cs="Arial" w:eastAsia="Arial" w:hAnsi="Arial"/>
                <w:sz w:val="14"/>
                <w:szCs w:val="14"/>
                <w:b w:val="1"/>
                <w:bCs w:val="1"/>
                <w:color w:val="FFFFFF"/>
              </w:rPr>
              <w:t>Score</w:t>
            </w:r>
          </w:p>
        </w:tc>
        <w:tc>
          <w:tcPr>
            <w:tcW w:w="320" w:type="dxa"/>
            <w:vAlign w:val="bottom"/>
            <w:shd w:val="clear" w:color="auto" w:fill="434F69"/>
          </w:tcPr>
          <w:p>
            <w:pPr>
              <w:spacing w:after="0"/>
              <w:rPr>
                <w:sz w:val="19"/>
                <w:szCs w:val="19"/>
                <w:color w:val="auto"/>
              </w:rPr>
            </w:pPr>
          </w:p>
        </w:tc>
        <w:tc>
          <w:tcPr>
            <w:tcW w:w="680" w:type="dxa"/>
            <w:vAlign w:val="bottom"/>
            <w:gridSpan w:val="2"/>
            <w:shd w:val="clear" w:color="auto" w:fill="434F69"/>
          </w:tcPr>
          <w:p>
            <w:pPr>
              <w:jc w:val="right"/>
              <w:ind w:right="140"/>
              <w:spacing w:after="0"/>
              <w:rPr>
                <w:sz w:val="20"/>
                <w:szCs w:val="20"/>
                <w:color w:val="auto"/>
              </w:rPr>
            </w:pPr>
            <w:r>
              <w:rPr>
                <w:rFonts w:ascii="Arial" w:cs="Arial" w:eastAsia="Arial" w:hAnsi="Arial"/>
                <w:sz w:val="14"/>
                <w:szCs w:val="14"/>
                <w:b w:val="1"/>
                <w:bCs w:val="1"/>
                <w:color w:val="FFFFFF"/>
              </w:rPr>
              <w:t>Weight</w:t>
            </w:r>
          </w:p>
        </w:tc>
        <w:tc>
          <w:tcPr>
            <w:tcW w:w="320" w:type="dxa"/>
            <w:vAlign w:val="bottom"/>
            <w:shd w:val="clear" w:color="auto" w:fill="434F69"/>
          </w:tcPr>
          <w:p>
            <w:pPr>
              <w:spacing w:after="0"/>
              <w:rPr>
                <w:sz w:val="19"/>
                <w:szCs w:val="19"/>
                <w:color w:val="auto"/>
              </w:rPr>
            </w:pPr>
          </w:p>
        </w:tc>
        <w:tc>
          <w:tcPr>
            <w:tcW w:w="100" w:type="dxa"/>
            <w:vAlign w:val="bottom"/>
            <w:shd w:val="clear" w:color="auto" w:fill="434F69"/>
          </w:tcPr>
          <w:p>
            <w:pPr>
              <w:spacing w:after="0"/>
              <w:rPr>
                <w:sz w:val="19"/>
                <w:szCs w:val="19"/>
                <w:color w:val="auto"/>
              </w:rPr>
            </w:pPr>
          </w:p>
        </w:tc>
        <w:tc>
          <w:tcPr>
            <w:tcW w:w="740" w:type="dxa"/>
            <w:vAlign w:val="bottom"/>
            <w:shd w:val="clear" w:color="auto" w:fill="434F69"/>
          </w:tcPr>
          <w:p>
            <w:pPr>
              <w:jc w:val="center"/>
              <w:ind w:right="28"/>
              <w:spacing w:after="0"/>
              <w:rPr>
                <w:sz w:val="20"/>
                <w:szCs w:val="20"/>
                <w:color w:val="auto"/>
              </w:rPr>
            </w:pPr>
            <w:r>
              <w:rPr>
                <w:rFonts w:ascii="Arial" w:cs="Arial" w:eastAsia="Arial" w:hAnsi="Arial"/>
                <w:sz w:val="14"/>
                <w:szCs w:val="14"/>
                <w:b w:val="1"/>
                <w:bCs w:val="1"/>
                <w:color w:val="FFFFFF"/>
                <w:w w:val="92"/>
              </w:rPr>
              <w:t>Earned</w:t>
            </w:r>
          </w:p>
        </w:tc>
        <w:tc>
          <w:tcPr>
            <w:tcW w:w="220" w:type="dxa"/>
            <w:vAlign w:val="bottom"/>
            <w:shd w:val="clear" w:color="auto" w:fill="434F69"/>
          </w:tcPr>
          <w:p>
            <w:pPr>
              <w:spacing w:after="0"/>
              <w:rPr>
                <w:sz w:val="19"/>
                <w:szCs w:val="19"/>
                <w:color w:val="auto"/>
              </w:rPr>
            </w:pPr>
          </w:p>
        </w:tc>
        <w:tc>
          <w:tcPr>
            <w:tcW w:w="800" w:type="dxa"/>
            <w:vAlign w:val="bottom"/>
            <w:tcBorders>
              <w:right w:val="single" w:sz="8" w:color="434F69"/>
            </w:tcBorders>
            <w:shd w:val="clear" w:color="auto" w:fill="434F69"/>
          </w:tcPr>
          <w:p>
            <w:pPr>
              <w:jc w:val="center"/>
              <w:ind w:right="75"/>
              <w:spacing w:after="0" w:line="230" w:lineRule="exact"/>
              <w:rPr>
                <w:sz w:val="20"/>
                <w:szCs w:val="20"/>
                <w:color w:val="auto"/>
              </w:rPr>
            </w:pPr>
            <w:r>
              <w:rPr>
                <w:rFonts w:ascii="Arial" w:cs="Arial" w:eastAsia="Arial" w:hAnsi="Arial"/>
                <w:sz w:val="14"/>
                <w:szCs w:val="14"/>
                <w:b w:val="1"/>
                <w:bCs w:val="1"/>
                <w:color w:val="FFFFFF"/>
                <w:w w:val="85"/>
              </w:rPr>
              <w:t>Amount</w:t>
            </w:r>
            <w:r>
              <w:rPr>
                <w:rFonts w:ascii="Arial" w:cs="Arial" w:eastAsia="Arial" w:hAnsi="Arial"/>
                <w:sz w:val="21"/>
                <w:szCs w:val="21"/>
                <w:b w:val="1"/>
                <w:bCs w:val="1"/>
                <w:color w:val="FFFFFF"/>
                <w:w w:val="85"/>
                <w:vertAlign w:val="superscript"/>
              </w:rPr>
              <w:t>(1)</w:t>
            </w:r>
          </w:p>
        </w:tc>
        <w:tc>
          <w:tcPr>
            <w:tcW w:w="0" w:type="dxa"/>
            <w:vAlign w:val="bottom"/>
          </w:tcPr>
          <w:p>
            <w:pPr>
              <w:spacing w:after="0"/>
              <w:rPr>
                <w:sz w:val="1"/>
                <w:szCs w:val="1"/>
                <w:color w:val="auto"/>
              </w:rPr>
            </w:pPr>
          </w:p>
        </w:tc>
      </w:tr>
      <w:tr>
        <w:trPr>
          <w:trHeight w:val="250"/>
        </w:trPr>
        <w:tc>
          <w:tcPr>
            <w:tcW w:w="182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3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w w:val="87"/>
              </w:rPr>
              <w:t>1,500,000</w:t>
            </w:r>
          </w:p>
        </w:tc>
        <w:tc>
          <w:tcPr>
            <w:tcW w:w="800" w:type="dxa"/>
            <w:vAlign w:val="bottom"/>
            <w:tcBorders>
              <w:bottom w:val="single" w:sz="8" w:color="434F69"/>
            </w:tcBorders>
            <w:gridSpan w:val="2"/>
            <w:shd w:val="clear" w:color="auto" w:fill="D9DCE1"/>
          </w:tcPr>
          <w:p>
            <w:pPr>
              <w:jc w:val="right"/>
              <w:ind w:right="88"/>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x</w:t>
            </w:r>
          </w:p>
        </w:tc>
        <w:tc>
          <w:tcPr>
            <w:tcW w:w="66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shd w:val="clear" w:color="auto" w:fill="D9DCE1"/>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shd w:val="clear" w:color="auto" w:fill="D9DCE1"/>
          </w:tcPr>
          <w:p>
            <w:pPr>
              <w:jc w:val="right"/>
              <w:ind w:right="56"/>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434F69"/>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gridSpan w:val="2"/>
            <w:shd w:val="clear" w:color="auto" w:fill="D9DCE1"/>
          </w:tcPr>
          <w:p>
            <w:pPr>
              <w:jc w:val="right"/>
              <w:ind w:right="68"/>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w w:val="89"/>
              </w:rPr>
              <w:t>1,425,000</w:t>
            </w:r>
          </w:p>
        </w:tc>
        <w:tc>
          <w:tcPr>
            <w:tcW w:w="0" w:type="dxa"/>
            <w:vAlign w:val="bottom"/>
          </w:tcPr>
          <w:p>
            <w:pPr>
              <w:spacing w:after="0"/>
              <w:rPr>
                <w:sz w:val="1"/>
                <w:szCs w:val="1"/>
                <w:color w:val="auto"/>
              </w:rPr>
            </w:pPr>
          </w:p>
        </w:tc>
      </w:tr>
      <w:tr>
        <w:trPr>
          <w:trHeight w:val="250"/>
        </w:trPr>
        <w:tc>
          <w:tcPr>
            <w:tcW w:w="1820" w:type="dxa"/>
            <w:vAlign w:val="bottom"/>
            <w:tcBorders>
              <w:left w:val="single" w:sz="8" w:color="434F69"/>
              <w:bottom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3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w w:val="87"/>
              </w:rPr>
              <w:t>1,000,000</w:t>
            </w:r>
          </w:p>
        </w:tc>
        <w:tc>
          <w:tcPr>
            <w:tcW w:w="800" w:type="dxa"/>
            <w:vAlign w:val="bottom"/>
            <w:tcBorders>
              <w:bottom w:val="single" w:sz="8" w:color="434F69"/>
            </w:tcBorders>
            <w:gridSpan w:val="2"/>
          </w:tcPr>
          <w:p>
            <w:pPr>
              <w:jc w:val="right"/>
              <w:ind w:right="88"/>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rPr>
              <w:t>x</w:t>
            </w:r>
          </w:p>
        </w:tc>
        <w:tc>
          <w:tcPr>
            <w:tcW w:w="66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tcPr>
          <w:p>
            <w:pPr>
              <w:jc w:val="right"/>
              <w:ind w:right="56"/>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434F69"/>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gridSpan w:val="2"/>
          </w:tcPr>
          <w:p>
            <w:pPr>
              <w:jc w:val="right"/>
              <w:ind w:right="68"/>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50"/>
        </w:trPr>
        <w:tc>
          <w:tcPr>
            <w:tcW w:w="182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3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rPr>
              <w:t>800,000</w:t>
            </w:r>
          </w:p>
        </w:tc>
        <w:tc>
          <w:tcPr>
            <w:tcW w:w="800" w:type="dxa"/>
            <w:vAlign w:val="bottom"/>
            <w:tcBorders>
              <w:bottom w:val="single" w:sz="8" w:color="434F69"/>
            </w:tcBorders>
            <w:gridSpan w:val="2"/>
            <w:shd w:val="clear" w:color="auto" w:fill="D9DCE1"/>
          </w:tcPr>
          <w:p>
            <w:pPr>
              <w:jc w:val="right"/>
              <w:ind w:right="88"/>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x</w:t>
            </w:r>
          </w:p>
        </w:tc>
        <w:tc>
          <w:tcPr>
            <w:tcW w:w="66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shd w:val="clear" w:color="auto" w:fill="D9DCE1"/>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shd w:val="clear" w:color="auto" w:fill="D9DCE1"/>
          </w:tcPr>
          <w:p>
            <w:pPr>
              <w:jc w:val="right"/>
              <w:ind w:right="56"/>
              <w:spacing w:after="0"/>
              <w:rPr>
                <w:sz w:val="20"/>
                <w:szCs w:val="20"/>
                <w:color w:val="auto"/>
              </w:rPr>
            </w:pPr>
            <w:r>
              <w:rPr>
                <w:rFonts w:ascii="Arial" w:cs="Arial" w:eastAsia="Arial" w:hAnsi="Arial"/>
                <w:sz w:val="18"/>
                <w:szCs w:val="18"/>
                <w:color w:val="auto"/>
              </w:rPr>
              <w:t>105%</w:t>
            </w:r>
          </w:p>
        </w:tc>
        <w:tc>
          <w:tcPr>
            <w:tcW w:w="32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434F69"/>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gridSpan w:val="2"/>
            <w:shd w:val="clear" w:color="auto" w:fill="D9DCE1"/>
          </w:tcPr>
          <w:p>
            <w:pPr>
              <w:jc w:val="right"/>
              <w:ind w:right="68"/>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775,000</w:t>
            </w:r>
          </w:p>
        </w:tc>
        <w:tc>
          <w:tcPr>
            <w:tcW w:w="0" w:type="dxa"/>
            <w:vAlign w:val="bottom"/>
          </w:tcPr>
          <w:p>
            <w:pPr>
              <w:spacing w:after="0"/>
              <w:rPr>
                <w:sz w:val="1"/>
                <w:szCs w:val="1"/>
                <w:color w:val="auto"/>
              </w:rPr>
            </w:pPr>
          </w:p>
        </w:tc>
      </w:tr>
      <w:tr>
        <w:trPr>
          <w:trHeight w:val="250"/>
        </w:trPr>
        <w:tc>
          <w:tcPr>
            <w:tcW w:w="1820" w:type="dxa"/>
            <w:vAlign w:val="bottom"/>
            <w:tcBorders>
              <w:left w:val="single" w:sz="8" w:color="434F69"/>
              <w:bottom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3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rPr>
              <w:t>800,000</w:t>
            </w:r>
          </w:p>
        </w:tc>
        <w:tc>
          <w:tcPr>
            <w:tcW w:w="800" w:type="dxa"/>
            <w:vAlign w:val="bottom"/>
            <w:tcBorders>
              <w:bottom w:val="single" w:sz="8" w:color="434F69"/>
            </w:tcBorders>
            <w:gridSpan w:val="2"/>
          </w:tcPr>
          <w:p>
            <w:pPr>
              <w:jc w:val="right"/>
              <w:ind w:right="88"/>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rPr>
              <w:t>x</w:t>
            </w:r>
          </w:p>
        </w:tc>
        <w:tc>
          <w:tcPr>
            <w:tcW w:w="66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tcPr>
          <w:p>
            <w:pPr>
              <w:jc w:val="right"/>
              <w:ind w:right="56"/>
              <w:spacing w:after="0"/>
              <w:rPr>
                <w:sz w:val="20"/>
                <w:szCs w:val="20"/>
                <w:color w:val="auto"/>
              </w:rPr>
            </w:pPr>
            <w:r>
              <w:rPr>
                <w:rFonts w:ascii="Arial" w:cs="Arial" w:eastAsia="Arial" w:hAnsi="Arial"/>
                <w:sz w:val="18"/>
                <w:szCs w:val="18"/>
                <w:color w:val="auto"/>
              </w:rPr>
              <w:t>105%</w:t>
            </w:r>
          </w:p>
        </w:tc>
        <w:tc>
          <w:tcPr>
            <w:tcW w:w="32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434F69"/>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gridSpan w:val="2"/>
          </w:tcPr>
          <w:p>
            <w:pPr>
              <w:jc w:val="right"/>
              <w:ind w:right="68"/>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775,000</w:t>
            </w:r>
          </w:p>
        </w:tc>
        <w:tc>
          <w:tcPr>
            <w:tcW w:w="0" w:type="dxa"/>
            <w:vAlign w:val="bottom"/>
          </w:tcPr>
          <w:p>
            <w:pPr>
              <w:spacing w:after="0"/>
              <w:rPr>
                <w:sz w:val="1"/>
                <w:szCs w:val="1"/>
                <w:color w:val="auto"/>
              </w:rPr>
            </w:pPr>
          </w:p>
        </w:tc>
      </w:tr>
      <w:tr>
        <w:trPr>
          <w:trHeight w:val="250"/>
        </w:trPr>
        <w:tc>
          <w:tcPr>
            <w:tcW w:w="1820" w:type="dxa"/>
            <w:vAlign w:val="bottom"/>
            <w:tcBorders>
              <w:left w:val="single" w:sz="8" w:color="434F69"/>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3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rPr>
              <w:t>800,000</w:t>
            </w:r>
          </w:p>
        </w:tc>
        <w:tc>
          <w:tcPr>
            <w:tcW w:w="800" w:type="dxa"/>
            <w:vAlign w:val="bottom"/>
            <w:tcBorders>
              <w:bottom w:val="single" w:sz="8" w:color="434F69"/>
            </w:tcBorders>
            <w:gridSpan w:val="2"/>
            <w:shd w:val="clear" w:color="auto" w:fill="D9DCE1"/>
          </w:tcPr>
          <w:p>
            <w:pPr>
              <w:jc w:val="right"/>
              <w:ind w:right="88"/>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x</w:t>
            </w:r>
          </w:p>
        </w:tc>
        <w:tc>
          <w:tcPr>
            <w:tcW w:w="66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shd w:val="clear" w:color="auto" w:fill="D9DCE1"/>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shd w:val="clear" w:color="auto" w:fill="D9DCE1"/>
          </w:tcPr>
          <w:p>
            <w:pPr>
              <w:jc w:val="right"/>
              <w:ind w:right="56"/>
              <w:spacing w:after="0"/>
              <w:rPr>
                <w:sz w:val="20"/>
                <w:szCs w:val="20"/>
                <w:color w:val="auto"/>
              </w:rPr>
            </w:pPr>
            <w:r>
              <w:rPr>
                <w:rFonts w:ascii="Arial" w:cs="Arial" w:eastAsia="Arial" w:hAnsi="Arial"/>
                <w:sz w:val="18"/>
                <w:szCs w:val="18"/>
                <w:color w:val="auto"/>
              </w:rPr>
              <w:t>115%</w:t>
            </w:r>
          </w:p>
        </w:tc>
        <w:tc>
          <w:tcPr>
            <w:tcW w:w="32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434F69"/>
            </w:tcBorders>
            <w:gridSpan w:val="2"/>
            <w:shd w:val="clear" w:color="auto" w:fill="D9DCE1"/>
          </w:tcPr>
          <w:p>
            <w:pPr>
              <w:jc w:val="right"/>
              <w:ind w:right="100"/>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434F69"/>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gridSpan w:val="2"/>
            <w:shd w:val="clear" w:color="auto" w:fill="D9DCE1"/>
          </w:tcPr>
          <w:p>
            <w:pPr>
              <w:jc w:val="right"/>
              <w:ind w:right="68"/>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50"/>
        </w:trPr>
        <w:tc>
          <w:tcPr>
            <w:tcW w:w="1820" w:type="dxa"/>
            <w:vAlign w:val="bottom"/>
            <w:tcBorders>
              <w:left w:val="single" w:sz="8" w:color="434F69"/>
              <w:bottom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3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rPr>
              <w:t>800,000</w:t>
            </w:r>
          </w:p>
        </w:tc>
        <w:tc>
          <w:tcPr>
            <w:tcW w:w="800" w:type="dxa"/>
            <w:vAlign w:val="bottom"/>
            <w:tcBorders>
              <w:bottom w:val="single" w:sz="8" w:color="434F69"/>
            </w:tcBorders>
            <w:gridSpan w:val="2"/>
          </w:tcPr>
          <w:p>
            <w:pPr>
              <w:jc w:val="right"/>
              <w:ind w:right="88"/>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rPr>
              <w:t>x</w:t>
            </w:r>
          </w:p>
        </w:tc>
        <w:tc>
          <w:tcPr>
            <w:tcW w:w="66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434F69"/>
            </w:tcBorders>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34F69"/>
            </w:tcBorders>
          </w:tcPr>
          <w:p>
            <w:pPr>
              <w:jc w:val="right"/>
              <w:ind w:right="56"/>
              <w:spacing w:after="0"/>
              <w:rPr>
                <w:sz w:val="20"/>
                <w:szCs w:val="20"/>
                <w:color w:val="auto"/>
              </w:rPr>
            </w:pPr>
            <w:r>
              <w:rPr>
                <w:rFonts w:ascii="Arial" w:cs="Arial" w:eastAsia="Arial" w:hAnsi="Arial"/>
                <w:sz w:val="18"/>
                <w:szCs w:val="18"/>
                <w:color w:val="auto"/>
              </w:rPr>
              <w:t>115%</w:t>
            </w:r>
          </w:p>
        </w:tc>
        <w:tc>
          <w:tcPr>
            <w:tcW w:w="320" w:type="dxa"/>
            <w:vAlign w:val="bottom"/>
            <w:tcBorders>
              <w:bottom w:val="single" w:sz="8" w:color="434F69"/>
            </w:tcBorders>
          </w:tcPr>
          <w:p>
            <w:pPr>
              <w:ind w:left="12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434F69"/>
            </w:tcBorders>
            <w:gridSpan w:val="2"/>
          </w:tcPr>
          <w:p>
            <w:pPr>
              <w:jc w:val="right"/>
              <w:ind w:right="100"/>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434F69"/>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34F69"/>
            </w:tcBorders>
            <w:gridSpan w:val="2"/>
          </w:tcPr>
          <w:p>
            <w:pPr>
              <w:jc w:val="right"/>
              <w:ind w:right="68"/>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40" w:right="3020" w:hanging="3980"/>
        <w:spacing w:after="0" w:line="721" w:lineRule="auto"/>
        <w:tabs>
          <w:tab w:leader="none" w:pos="1612"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Final amounts were rounded down to the nearest multiple of $25,000.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-158750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132" w:right="1419" w:bottom="1440" w:gutter="0" w:footer="0" w:header="0"/>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The annual LTIP targets for the Named Executive Officers, expressed as</w:t>
      </w:r>
      <w:r>
        <w:rPr>
          <w:rFonts w:ascii="Arial" w:cs="Arial" w:eastAsia="Arial" w:hAnsi="Arial"/>
          <w:sz w:val="18"/>
          <w:szCs w:val="18"/>
          <w:i w:val="1"/>
          <w:iCs w:val="1"/>
          <w:color w:val="auto"/>
        </w:rPr>
        <w:t xml:space="preserve"> </w:t>
      </w:r>
      <w:r>
        <w:rPr>
          <w:rFonts w:ascii="Arial" w:cs="Arial" w:eastAsia="Arial" w:hAnsi="Arial"/>
          <w:sz w:val="18"/>
          <w:szCs w:val="18"/>
          <w:color w:val="auto"/>
        </w:rPr>
        <w:t>a percentage of base salary, and the value of the 2020 annual LTIP awards to the Named Executive Officers are set forth in the table below:</w:t>
      </w:r>
    </w:p>
    <w:p>
      <w:pPr>
        <w:spacing w:after="0" w:line="157"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2580" w:type="dxa"/>
            <w:vAlign w:val="bottom"/>
            <w:tcBorders>
              <w:left w:val="single" w:sz="8" w:color="434F69"/>
              <w:right w:val="single" w:sz="8" w:color="434F69"/>
            </w:tcBorders>
            <w:shd w:val="clear" w:color="auto" w:fill="434F69"/>
          </w:tcPr>
          <w:p>
            <w:pPr>
              <w:spacing w:after="0"/>
              <w:rPr>
                <w:sz w:val="16"/>
                <w:szCs w:val="16"/>
                <w:color w:val="auto"/>
              </w:rPr>
            </w:pP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Annual LTIP</w:t>
            </w:r>
          </w:p>
        </w:tc>
        <w:tc>
          <w:tcPr>
            <w:tcW w:w="1180" w:type="dxa"/>
            <w:vAlign w:val="bottom"/>
            <w:tcBorders>
              <w:right w:val="single" w:sz="8" w:color="434F69"/>
            </w:tcBorders>
            <w:shd w:val="clear" w:color="auto" w:fill="434F69"/>
          </w:tcPr>
          <w:p>
            <w:pPr>
              <w:spacing w:after="0"/>
              <w:rPr>
                <w:sz w:val="16"/>
                <w:szCs w:val="16"/>
                <w:color w:val="auto"/>
              </w:rPr>
            </w:pPr>
          </w:p>
        </w:tc>
        <w:tc>
          <w:tcPr>
            <w:tcW w:w="1140" w:type="dxa"/>
            <w:vAlign w:val="bottom"/>
            <w:tcBorders>
              <w:right w:val="single" w:sz="8" w:color="434F69"/>
            </w:tcBorders>
            <w:shd w:val="clear" w:color="auto" w:fill="434F69"/>
          </w:tcPr>
          <w:p>
            <w:pPr>
              <w:spacing w:after="0"/>
              <w:rPr>
                <w:sz w:val="16"/>
                <w:szCs w:val="16"/>
                <w:color w:val="auto"/>
              </w:rPr>
            </w:pPr>
          </w:p>
        </w:tc>
        <w:tc>
          <w:tcPr>
            <w:tcW w:w="980" w:type="dxa"/>
            <w:vAlign w:val="bottom"/>
            <w:tcBorders>
              <w:right w:val="single" w:sz="8" w:color="434F69"/>
            </w:tcBorders>
            <w:shd w:val="clear" w:color="auto" w:fill="434F69"/>
          </w:tcPr>
          <w:p>
            <w:pPr>
              <w:spacing w:after="0"/>
              <w:rPr>
                <w:sz w:val="16"/>
                <w:szCs w:val="16"/>
                <w:color w:val="auto"/>
              </w:rPr>
            </w:pPr>
          </w:p>
        </w:tc>
        <w:tc>
          <w:tcPr>
            <w:tcW w:w="1160" w:type="dxa"/>
            <w:vAlign w:val="bottom"/>
            <w:tcBorders>
              <w:right w:val="single" w:sz="8" w:color="434F69"/>
            </w:tcBorders>
            <w:shd w:val="clear" w:color="auto" w:fill="434F6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tcBorders>
              <w:left w:val="single" w:sz="8" w:color="434F69"/>
              <w:right w:val="single" w:sz="8" w:color="434F69"/>
            </w:tcBorders>
            <w:shd w:val="clear" w:color="auto" w:fill="434F69"/>
          </w:tcPr>
          <w:p>
            <w:pPr>
              <w:spacing w:after="0"/>
              <w:rPr>
                <w:sz w:val="14"/>
                <w:szCs w:val="14"/>
                <w:color w:val="auto"/>
              </w:rPr>
            </w:pP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Award</w:t>
            </w:r>
          </w:p>
        </w:tc>
        <w:tc>
          <w:tcPr>
            <w:tcW w:w="1180" w:type="dxa"/>
            <w:vAlign w:val="bottom"/>
            <w:tcBorders>
              <w:right w:val="single" w:sz="8" w:color="434F69"/>
            </w:tcBorders>
            <w:shd w:val="clear" w:color="auto" w:fill="434F69"/>
          </w:tcPr>
          <w:p>
            <w:pPr>
              <w:spacing w:after="0"/>
              <w:rPr>
                <w:sz w:val="14"/>
                <w:szCs w:val="14"/>
                <w:color w:val="auto"/>
              </w:rPr>
            </w:pPr>
          </w:p>
        </w:tc>
        <w:tc>
          <w:tcPr>
            <w:tcW w:w="114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2020 Annual</w:t>
            </w:r>
          </w:p>
        </w:tc>
        <w:tc>
          <w:tcPr>
            <w:tcW w:w="98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tcBorders>
              <w:left w:val="single" w:sz="8" w:color="434F69"/>
              <w:right w:val="single" w:sz="8" w:color="434F69"/>
            </w:tcBorders>
            <w:shd w:val="clear" w:color="auto" w:fill="434F69"/>
          </w:tcPr>
          <w:p>
            <w:pPr>
              <w:spacing w:after="0"/>
              <w:rPr>
                <w:sz w:val="12"/>
                <w:szCs w:val="12"/>
                <w:color w:val="auto"/>
              </w:rPr>
            </w:pPr>
          </w:p>
        </w:tc>
        <w:tc>
          <w:tcPr>
            <w:tcW w:w="118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0"/>
              </w:rPr>
              <w:t>Target Value</w:t>
            </w:r>
          </w:p>
        </w:tc>
        <w:tc>
          <w:tcPr>
            <w:tcW w:w="1180" w:type="dxa"/>
            <w:vAlign w:val="bottom"/>
            <w:tcBorders>
              <w:right w:val="single" w:sz="8" w:color="434F69"/>
            </w:tcBorders>
            <w:shd w:val="clear" w:color="auto" w:fill="434F69"/>
          </w:tcPr>
          <w:p>
            <w:pPr>
              <w:ind w:left="200"/>
              <w:spacing w:after="0" w:line="149" w:lineRule="exact"/>
              <w:rPr>
                <w:sz w:val="20"/>
                <w:szCs w:val="20"/>
                <w:color w:val="auto"/>
              </w:rPr>
            </w:pPr>
            <w:r>
              <w:rPr>
                <w:rFonts w:ascii="Arial" w:cs="Arial" w:eastAsia="Arial" w:hAnsi="Arial"/>
                <w:sz w:val="14"/>
                <w:szCs w:val="14"/>
                <w:b w:val="1"/>
                <w:bCs w:val="1"/>
                <w:color w:val="FFFFFF"/>
              </w:rPr>
              <w:t>2020 Annual</w:t>
            </w:r>
          </w:p>
        </w:tc>
        <w:tc>
          <w:tcPr>
            <w:tcW w:w="1140" w:type="dxa"/>
            <w:vAlign w:val="bottom"/>
            <w:tcBorders>
              <w:right w:val="single" w:sz="8" w:color="434F69"/>
            </w:tcBorders>
            <w:vMerge w:val="continue"/>
            <w:shd w:val="clear" w:color="auto" w:fill="434F69"/>
          </w:tcPr>
          <w:p>
            <w:pPr>
              <w:spacing w:after="0"/>
              <w:rPr>
                <w:sz w:val="12"/>
                <w:szCs w:val="12"/>
                <w:color w:val="auto"/>
              </w:rPr>
            </w:pPr>
          </w:p>
        </w:tc>
        <w:tc>
          <w:tcPr>
            <w:tcW w:w="98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86"/>
              </w:rPr>
              <w:t>Time-Vested</w:t>
            </w:r>
          </w:p>
        </w:tc>
        <w:tc>
          <w:tcPr>
            <w:tcW w:w="116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0"/>
              </w:rPr>
              <w:t>Performance-</w:t>
            </w:r>
          </w:p>
        </w:tc>
        <w:tc>
          <w:tcPr>
            <w:tcW w:w="0" w:type="dxa"/>
            <w:vAlign w:val="bottom"/>
          </w:tcPr>
          <w:p>
            <w:pPr>
              <w:spacing w:after="0"/>
              <w:rPr>
                <w:sz w:val="1"/>
                <w:szCs w:val="1"/>
                <w:color w:val="auto"/>
              </w:rPr>
            </w:pPr>
          </w:p>
        </w:tc>
      </w:tr>
      <w:tr>
        <w:trPr>
          <w:trHeight w:val="158"/>
        </w:trPr>
        <w:tc>
          <w:tcPr>
            <w:tcW w:w="2580" w:type="dxa"/>
            <w:vAlign w:val="bottom"/>
            <w:tcBorders>
              <w:left w:val="single" w:sz="8" w:color="434F69"/>
              <w:right w:val="single" w:sz="8" w:color="434F69"/>
            </w:tcBorders>
            <w:shd w:val="clear" w:color="auto" w:fill="434F69"/>
          </w:tcPr>
          <w:p>
            <w:pPr>
              <w:spacing w:after="0"/>
              <w:rPr>
                <w:sz w:val="13"/>
                <w:szCs w:val="13"/>
                <w:color w:val="auto"/>
              </w:rPr>
            </w:pPr>
          </w:p>
        </w:tc>
        <w:tc>
          <w:tcPr>
            <w:tcW w:w="118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6"/>
              </w:rPr>
              <w:t>(as a percentage</w:t>
            </w:r>
          </w:p>
        </w:tc>
        <w:tc>
          <w:tcPr>
            <w:tcW w:w="1180" w:type="dxa"/>
            <w:vAlign w:val="bottom"/>
            <w:tcBorders>
              <w:right w:val="single" w:sz="8" w:color="434F69"/>
            </w:tcBorders>
            <w:shd w:val="clear" w:color="auto" w:fill="434F69"/>
          </w:tcPr>
          <w:p>
            <w:pPr>
              <w:ind w:left="200"/>
              <w:spacing w:after="0" w:line="158" w:lineRule="exact"/>
              <w:rPr>
                <w:sz w:val="20"/>
                <w:szCs w:val="20"/>
                <w:color w:val="auto"/>
              </w:rPr>
            </w:pPr>
            <w:r>
              <w:rPr>
                <w:rFonts w:ascii="Arial" w:cs="Arial" w:eastAsia="Arial" w:hAnsi="Arial"/>
                <w:sz w:val="14"/>
                <w:szCs w:val="14"/>
                <w:b w:val="1"/>
                <w:bCs w:val="1"/>
                <w:color w:val="FFFFFF"/>
              </w:rPr>
              <w:t>LTIP Award</w:t>
            </w:r>
          </w:p>
        </w:tc>
        <w:tc>
          <w:tcPr>
            <w:tcW w:w="11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1"/>
              </w:rPr>
              <w:t>Phantom Units</w:t>
            </w:r>
          </w:p>
        </w:tc>
        <w:tc>
          <w:tcPr>
            <w:tcW w:w="98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3"/>
              </w:rPr>
              <w:t>Phantom</w:t>
            </w:r>
          </w:p>
        </w:tc>
        <w:tc>
          <w:tcPr>
            <w:tcW w:w="116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7"/>
              </w:rPr>
              <w:t>Vested Phantom</w:t>
            </w:r>
          </w:p>
        </w:tc>
        <w:tc>
          <w:tcPr>
            <w:tcW w:w="0" w:type="dxa"/>
            <w:vAlign w:val="bottom"/>
          </w:tcPr>
          <w:p>
            <w:pPr>
              <w:spacing w:after="0"/>
              <w:rPr>
                <w:sz w:val="1"/>
                <w:szCs w:val="1"/>
                <w:color w:val="auto"/>
              </w:rPr>
            </w:pPr>
          </w:p>
        </w:tc>
      </w:tr>
      <w:tr>
        <w:trPr>
          <w:trHeight w:val="243"/>
        </w:trPr>
        <w:tc>
          <w:tcPr>
            <w:tcW w:w="258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of base salary)</w:t>
            </w:r>
          </w:p>
        </w:tc>
        <w:tc>
          <w:tcPr>
            <w:tcW w:w="1180" w:type="dxa"/>
            <w:vAlign w:val="bottom"/>
            <w:tcBorders>
              <w:right w:val="single" w:sz="8" w:color="434F69"/>
            </w:tcBorders>
            <w:shd w:val="clear" w:color="auto" w:fill="434F69"/>
          </w:tcPr>
          <w:p>
            <w:pPr>
              <w:ind w:left="420"/>
              <w:spacing w:after="0"/>
              <w:rPr>
                <w:sz w:val="20"/>
                <w:szCs w:val="20"/>
                <w:color w:val="auto"/>
              </w:rPr>
            </w:pPr>
            <w:r>
              <w:rPr>
                <w:rFonts w:ascii="Arial" w:cs="Arial" w:eastAsia="Arial" w:hAnsi="Arial"/>
                <w:sz w:val="14"/>
                <w:szCs w:val="14"/>
                <w:b w:val="1"/>
                <w:bCs w:val="1"/>
                <w:color w:val="FFFFFF"/>
              </w:rPr>
              <w:t>Value</w:t>
            </w:r>
          </w:p>
        </w:tc>
        <w:tc>
          <w:tcPr>
            <w:tcW w:w="114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7"/>
              </w:rPr>
              <w:t>Granted</w:t>
            </w:r>
            <w:r>
              <w:rPr>
                <w:rFonts w:ascii="Arial" w:cs="Arial" w:eastAsia="Arial" w:hAnsi="Arial"/>
                <w:sz w:val="21"/>
                <w:szCs w:val="21"/>
                <w:b w:val="1"/>
                <w:bCs w:val="1"/>
                <w:color w:val="FFFFFF"/>
                <w:w w:val="87"/>
                <w:vertAlign w:val="superscript"/>
              </w:rPr>
              <w:t>(1)</w:t>
            </w:r>
          </w:p>
        </w:tc>
        <w:tc>
          <w:tcPr>
            <w:tcW w:w="9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Units (50%)</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Units (50%)</w:t>
            </w:r>
          </w:p>
        </w:tc>
        <w:tc>
          <w:tcPr>
            <w:tcW w:w="0" w:type="dxa"/>
            <w:vAlign w:val="bottom"/>
          </w:tcPr>
          <w:p>
            <w:pPr>
              <w:spacing w:after="0"/>
              <w:rPr>
                <w:sz w:val="1"/>
                <w:szCs w:val="1"/>
                <w:color w:val="auto"/>
              </w:rPr>
            </w:pPr>
          </w:p>
        </w:tc>
      </w:tr>
      <w:tr>
        <w:trPr>
          <w:trHeight w:val="250"/>
        </w:trPr>
        <w:tc>
          <w:tcPr>
            <w:tcW w:w="25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18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500%</w:t>
            </w:r>
          </w:p>
        </w:tc>
        <w:tc>
          <w:tcPr>
            <w:tcW w:w="1180" w:type="dxa"/>
            <w:vAlign w:val="bottom"/>
            <w:tcBorders>
              <w:bottom w:val="single" w:sz="8" w:color="434F69"/>
              <w:right w:val="single" w:sz="8" w:color="434F69"/>
            </w:tcBorders>
            <w:shd w:val="clear" w:color="auto" w:fill="D9DCE1"/>
          </w:tcPr>
          <w:p>
            <w:pPr>
              <w:ind w:left="180"/>
              <w:spacing w:after="0"/>
              <w:rPr>
                <w:sz w:val="20"/>
                <w:szCs w:val="20"/>
                <w:color w:val="auto"/>
              </w:rPr>
            </w:pPr>
            <w:r>
              <w:rPr>
                <w:rFonts w:ascii="Arial" w:cs="Arial" w:eastAsia="Arial" w:hAnsi="Arial"/>
                <w:sz w:val="18"/>
                <w:szCs w:val="18"/>
                <w:color w:val="auto"/>
              </w:rPr>
              <w:t>$3,000,000</w:t>
            </w:r>
          </w:p>
        </w:tc>
        <w:tc>
          <w:tcPr>
            <w:tcW w:w="11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2"/>
              </w:rPr>
              <w:t>375,940</w:t>
            </w:r>
          </w:p>
        </w:tc>
        <w:tc>
          <w:tcPr>
            <w:tcW w:w="980" w:type="dxa"/>
            <w:vAlign w:val="bottom"/>
            <w:tcBorders>
              <w:bottom w:val="single" w:sz="8" w:color="434F69"/>
              <w:right w:val="single" w:sz="8" w:color="434F69"/>
            </w:tcBorders>
            <w:shd w:val="clear" w:color="auto" w:fill="D9DCE1"/>
          </w:tcPr>
          <w:p>
            <w:pPr>
              <w:jc w:val="right"/>
              <w:ind w:right="136"/>
              <w:spacing w:after="0"/>
              <w:rPr>
                <w:sz w:val="20"/>
                <w:szCs w:val="20"/>
                <w:color w:val="auto"/>
              </w:rPr>
            </w:pPr>
            <w:r>
              <w:rPr>
                <w:rFonts w:ascii="Arial" w:cs="Arial" w:eastAsia="Arial" w:hAnsi="Arial"/>
                <w:sz w:val="18"/>
                <w:szCs w:val="18"/>
                <w:color w:val="auto"/>
              </w:rPr>
              <w:t>187,970</w:t>
            </w:r>
          </w:p>
        </w:tc>
        <w:tc>
          <w:tcPr>
            <w:tcW w:w="116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187,970</w:t>
            </w:r>
          </w:p>
        </w:tc>
        <w:tc>
          <w:tcPr>
            <w:tcW w:w="0" w:type="dxa"/>
            <w:vAlign w:val="bottom"/>
          </w:tcPr>
          <w:p>
            <w:pPr>
              <w:spacing w:after="0"/>
              <w:rPr>
                <w:sz w:val="1"/>
                <w:szCs w:val="1"/>
                <w:color w:val="auto"/>
              </w:rPr>
            </w:pPr>
          </w:p>
        </w:tc>
      </w:tr>
      <w:tr>
        <w:trPr>
          <w:trHeight w:val="256"/>
        </w:trPr>
        <w:tc>
          <w:tcPr>
            <w:tcW w:w="25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18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500%</w:t>
            </w:r>
          </w:p>
        </w:tc>
        <w:tc>
          <w:tcPr>
            <w:tcW w:w="1180" w:type="dxa"/>
            <w:vAlign w:val="bottom"/>
            <w:tcBorders>
              <w:bottom w:val="single" w:sz="8" w:color="434F69"/>
              <w:right w:val="single" w:sz="8" w:color="434F69"/>
            </w:tcBorders>
          </w:tcPr>
          <w:p>
            <w:pPr>
              <w:ind w:left="780"/>
              <w:spacing w:after="0" w:line="256" w:lineRule="exact"/>
              <w:rPr>
                <w:sz w:val="20"/>
                <w:szCs w:val="20"/>
                <w:color w:val="auto"/>
              </w:rPr>
            </w:pPr>
            <w:r>
              <w:rPr>
                <w:rFonts w:ascii="Arial" w:cs="Arial" w:eastAsia="Arial" w:hAnsi="Arial"/>
                <w:sz w:val="18"/>
                <w:szCs w:val="18"/>
                <w:color w:val="auto"/>
                <w:w w:val="77"/>
              </w:rPr>
              <w:t>n/a</w:t>
            </w:r>
            <w:r>
              <w:rPr>
                <w:rFonts w:ascii="Arial" w:cs="Arial" w:eastAsia="Arial" w:hAnsi="Arial"/>
                <w:sz w:val="26"/>
                <w:szCs w:val="26"/>
                <w:color w:val="auto"/>
                <w:w w:val="77"/>
                <w:vertAlign w:val="superscript"/>
              </w:rPr>
              <w:t>(2)</w:t>
            </w:r>
          </w:p>
        </w:tc>
        <w:tc>
          <w:tcPr>
            <w:tcW w:w="1140" w:type="dxa"/>
            <w:vAlign w:val="bottom"/>
            <w:tcBorders>
              <w:bottom w:val="single" w:sz="8" w:color="434F69"/>
              <w:right w:val="single" w:sz="8" w:color="434F69"/>
            </w:tcBorders>
          </w:tcPr>
          <w:p>
            <w:pPr>
              <w:ind w:left="640"/>
              <w:spacing w:after="0" w:line="256" w:lineRule="exact"/>
              <w:rPr>
                <w:sz w:val="20"/>
                <w:szCs w:val="20"/>
                <w:color w:val="auto"/>
              </w:rPr>
            </w:pPr>
            <w:r>
              <w:rPr>
                <w:rFonts w:ascii="Arial" w:cs="Arial" w:eastAsia="Arial" w:hAnsi="Arial"/>
                <w:sz w:val="18"/>
                <w:szCs w:val="18"/>
                <w:color w:val="auto"/>
                <w:w w:val="99"/>
              </w:rPr>
              <w:t>n/a</w:t>
            </w:r>
            <w:r>
              <w:rPr>
                <w:rFonts w:ascii="Arial" w:cs="Arial" w:eastAsia="Arial" w:hAnsi="Arial"/>
                <w:sz w:val="26"/>
                <w:szCs w:val="26"/>
                <w:color w:val="auto"/>
                <w:w w:val="99"/>
                <w:vertAlign w:val="superscript"/>
              </w:rPr>
              <w:t>(2)</w:t>
            </w:r>
          </w:p>
        </w:tc>
        <w:tc>
          <w:tcPr>
            <w:tcW w:w="980" w:type="dxa"/>
            <w:vAlign w:val="bottom"/>
            <w:tcBorders>
              <w:bottom w:val="single" w:sz="8" w:color="434F69"/>
              <w:right w:val="single" w:sz="8" w:color="434F69"/>
            </w:tcBorders>
          </w:tcPr>
          <w:p>
            <w:pPr>
              <w:jc w:val="right"/>
              <w:spacing w:after="0" w:line="256"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1160" w:type="dxa"/>
            <w:vAlign w:val="bottom"/>
            <w:tcBorders>
              <w:bottom w:val="single" w:sz="8" w:color="434F69"/>
              <w:right w:val="single" w:sz="8" w:color="434F69"/>
            </w:tcBorders>
          </w:tcPr>
          <w:p>
            <w:pPr>
              <w:jc w:val="right"/>
              <w:ind w:right="36"/>
              <w:spacing w:after="0" w:line="256"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44"/>
        </w:trPr>
        <w:tc>
          <w:tcPr>
            <w:tcW w:w="25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18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300%</w:t>
            </w:r>
          </w:p>
        </w:tc>
        <w:tc>
          <w:tcPr>
            <w:tcW w:w="1180" w:type="dxa"/>
            <w:vAlign w:val="bottom"/>
            <w:tcBorders>
              <w:bottom w:val="single" w:sz="8" w:color="434F69"/>
              <w:right w:val="single" w:sz="8" w:color="434F69"/>
            </w:tcBorders>
            <w:shd w:val="clear" w:color="auto" w:fill="D9DCE1"/>
          </w:tcPr>
          <w:p>
            <w:pPr>
              <w:ind w:left="180"/>
              <w:spacing w:after="0"/>
              <w:rPr>
                <w:sz w:val="20"/>
                <w:szCs w:val="20"/>
                <w:color w:val="auto"/>
              </w:rPr>
            </w:pPr>
            <w:r>
              <w:rPr>
                <w:rFonts w:ascii="Arial" w:cs="Arial" w:eastAsia="Arial" w:hAnsi="Arial"/>
                <w:sz w:val="18"/>
                <w:szCs w:val="18"/>
                <w:color w:val="auto"/>
              </w:rPr>
              <w:t>$1,200,000</w:t>
            </w:r>
          </w:p>
        </w:tc>
        <w:tc>
          <w:tcPr>
            <w:tcW w:w="11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2"/>
              </w:rPr>
              <w:t>150,380</w:t>
            </w:r>
          </w:p>
        </w:tc>
        <w:tc>
          <w:tcPr>
            <w:tcW w:w="980" w:type="dxa"/>
            <w:vAlign w:val="bottom"/>
            <w:tcBorders>
              <w:bottom w:val="single" w:sz="8" w:color="434F69"/>
              <w:right w:val="single" w:sz="8" w:color="434F69"/>
            </w:tcBorders>
            <w:shd w:val="clear" w:color="auto" w:fill="D9DCE1"/>
          </w:tcPr>
          <w:p>
            <w:pPr>
              <w:jc w:val="right"/>
              <w:ind w:right="136"/>
              <w:spacing w:after="0"/>
              <w:rPr>
                <w:sz w:val="20"/>
                <w:szCs w:val="20"/>
                <w:color w:val="auto"/>
              </w:rPr>
            </w:pPr>
            <w:r>
              <w:rPr>
                <w:rFonts w:ascii="Arial" w:cs="Arial" w:eastAsia="Arial" w:hAnsi="Arial"/>
                <w:sz w:val="18"/>
                <w:szCs w:val="18"/>
                <w:color w:val="auto"/>
              </w:rPr>
              <w:t>75,190</w:t>
            </w:r>
          </w:p>
        </w:tc>
        <w:tc>
          <w:tcPr>
            <w:tcW w:w="116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75,190</w:t>
            </w:r>
          </w:p>
        </w:tc>
        <w:tc>
          <w:tcPr>
            <w:tcW w:w="0" w:type="dxa"/>
            <w:vAlign w:val="bottom"/>
          </w:tcPr>
          <w:p>
            <w:pPr>
              <w:spacing w:after="0"/>
              <w:rPr>
                <w:sz w:val="1"/>
                <w:szCs w:val="1"/>
                <w:color w:val="auto"/>
              </w:rPr>
            </w:pPr>
          </w:p>
        </w:tc>
      </w:tr>
      <w:tr>
        <w:trPr>
          <w:trHeight w:val="250"/>
        </w:trPr>
        <w:tc>
          <w:tcPr>
            <w:tcW w:w="25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18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300%</w:t>
            </w:r>
          </w:p>
        </w:tc>
        <w:tc>
          <w:tcPr>
            <w:tcW w:w="1180" w:type="dxa"/>
            <w:vAlign w:val="bottom"/>
            <w:tcBorders>
              <w:bottom w:val="single" w:sz="8" w:color="434F69"/>
              <w:right w:val="single" w:sz="8" w:color="434F69"/>
            </w:tcBorders>
          </w:tcPr>
          <w:p>
            <w:pPr>
              <w:ind w:left="180"/>
              <w:spacing w:after="0"/>
              <w:rPr>
                <w:sz w:val="20"/>
                <w:szCs w:val="20"/>
                <w:color w:val="auto"/>
              </w:rPr>
            </w:pPr>
            <w:r>
              <w:rPr>
                <w:rFonts w:ascii="Arial" w:cs="Arial" w:eastAsia="Arial" w:hAnsi="Arial"/>
                <w:sz w:val="18"/>
                <w:szCs w:val="18"/>
                <w:color w:val="auto"/>
              </w:rPr>
              <w:t>$1,200,000</w:t>
            </w:r>
          </w:p>
        </w:tc>
        <w:tc>
          <w:tcPr>
            <w:tcW w:w="11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2"/>
              </w:rPr>
              <w:t>150,380</w:t>
            </w:r>
          </w:p>
        </w:tc>
        <w:tc>
          <w:tcPr>
            <w:tcW w:w="9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75,190</w:t>
            </w:r>
          </w:p>
        </w:tc>
        <w:tc>
          <w:tcPr>
            <w:tcW w:w="116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75,190</w:t>
            </w:r>
          </w:p>
        </w:tc>
        <w:tc>
          <w:tcPr>
            <w:tcW w:w="0" w:type="dxa"/>
            <w:vAlign w:val="bottom"/>
          </w:tcPr>
          <w:p>
            <w:pPr>
              <w:spacing w:after="0"/>
              <w:rPr>
                <w:sz w:val="1"/>
                <w:szCs w:val="1"/>
                <w:color w:val="auto"/>
              </w:rPr>
            </w:pPr>
          </w:p>
        </w:tc>
      </w:tr>
      <w:tr>
        <w:trPr>
          <w:trHeight w:val="250"/>
        </w:trPr>
        <w:tc>
          <w:tcPr>
            <w:tcW w:w="2580" w:type="dxa"/>
            <w:vAlign w:val="bottom"/>
            <w:tcBorders>
              <w:left w:val="single" w:sz="8" w:color="434F69"/>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18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300%</w:t>
            </w:r>
          </w:p>
        </w:tc>
        <w:tc>
          <w:tcPr>
            <w:tcW w:w="1180" w:type="dxa"/>
            <w:vAlign w:val="bottom"/>
            <w:tcBorders>
              <w:bottom w:val="single" w:sz="8" w:color="434F69"/>
              <w:right w:val="single" w:sz="8" w:color="434F69"/>
            </w:tcBorders>
            <w:shd w:val="clear" w:color="auto" w:fill="D9DCE1"/>
          </w:tcPr>
          <w:p>
            <w:pPr>
              <w:ind w:left="180"/>
              <w:spacing w:after="0"/>
              <w:rPr>
                <w:sz w:val="20"/>
                <w:szCs w:val="20"/>
                <w:color w:val="auto"/>
              </w:rPr>
            </w:pPr>
            <w:r>
              <w:rPr>
                <w:rFonts w:ascii="Arial" w:cs="Arial" w:eastAsia="Arial" w:hAnsi="Arial"/>
                <w:sz w:val="18"/>
                <w:szCs w:val="18"/>
                <w:color w:val="auto"/>
              </w:rPr>
              <w:t>$1,200,000</w:t>
            </w:r>
          </w:p>
        </w:tc>
        <w:tc>
          <w:tcPr>
            <w:tcW w:w="114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2"/>
              </w:rPr>
              <w:t>150,380</w:t>
            </w:r>
          </w:p>
        </w:tc>
        <w:tc>
          <w:tcPr>
            <w:tcW w:w="980" w:type="dxa"/>
            <w:vAlign w:val="bottom"/>
            <w:tcBorders>
              <w:bottom w:val="single" w:sz="8" w:color="434F69"/>
              <w:right w:val="single" w:sz="8" w:color="434F69"/>
            </w:tcBorders>
            <w:shd w:val="clear" w:color="auto" w:fill="D9DCE1"/>
          </w:tcPr>
          <w:p>
            <w:pPr>
              <w:jc w:val="right"/>
              <w:ind w:right="136"/>
              <w:spacing w:after="0"/>
              <w:rPr>
                <w:sz w:val="20"/>
                <w:szCs w:val="20"/>
                <w:color w:val="auto"/>
              </w:rPr>
            </w:pPr>
            <w:r>
              <w:rPr>
                <w:rFonts w:ascii="Arial" w:cs="Arial" w:eastAsia="Arial" w:hAnsi="Arial"/>
                <w:sz w:val="18"/>
                <w:szCs w:val="18"/>
                <w:color w:val="auto"/>
              </w:rPr>
              <w:t>75,190</w:t>
            </w:r>
          </w:p>
        </w:tc>
        <w:tc>
          <w:tcPr>
            <w:tcW w:w="116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75,190</w:t>
            </w:r>
          </w:p>
        </w:tc>
        <w:tc>
          <w:tcPr>
            <w:tcW w:w="0" w:type="dxa"/>
            <w:vAlign w:val="bottom"/>
          </w:tcPr>
          <w:p>
            <w:pPr>
              <w:spacing w:after="0"/>
              <w:rPr>
                <w:sz w:val="1"/>
                <w:szCs w:val="1"/>
                <w:color w:val="auto"/>
              </w:rPr>
            </w:pPr>
          </w:p>
        </w:tc>
      </w:tr>
      <w:tr>
        <w:trPr>
          <w:trHeight w:val="250"/>
        </w:trPr>
        <w:tc>
          <w:tcPr>
            <w:tcW w:w="25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18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300%</w:t>
            </w:r>
          </w:p>
        </w:tc>
        <w:tc>
          <w:tcPr>
            <w:tcW w:w="1180" w:type="dxa"/>
            <w:vAlign w:val="bottom"/>
            <w:tcBorders>
              <w:bottom w:val="single" w:sz="8" w:color="434F69"/>
              <w:right w:val="single" w:sz="8" w:color="434F69"/>
            </w:tcBorders>
          </w:tcPr>
          <w:p>
            <w:pPr>
              <w:ind w:left="180"/>
              <w:spacing w:after="0"/>
              <w:rPr>
                <w:sz w:val="20"/>
                <w:szCs w:val="20"/>
                <w:color w:val="auto"/>
              </w:rPr>
            </w:pPr>
            <w:r>
              <w:rPr>
                <w:rFonts w:ascii="Arial" w:cs="Arial" w:eastAsia="Arial" w:hAnsi="Arial"/>
                <w:sz w:val="18"/>
                <w:szCs w:val="18"/>
                <w:color w:val="auto"/>
              </w:rPr>
              <w:t>$1,200,000</w:t>
            </w:r>
          </w:p>
        </w:tc>
        <w:tc>
          <w:tcPr>
            <w:tcW w:w="11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2"/>
              </w:rPr>
              <w:t>150,380</w:t>
            </w:r>
          </w:p>
        </w:tc>
        <w:tc>
          <w:tcPr>
            <w:tcW w:w="980" w:type="dxa"/>
            <w:vAlign w:val="bottom"/>
            <w:tcBorders>
              <w:bottom w:val="single" w:sz="8" w:color="434F69"/>
              <w:right w:val="single" w:sz="8" w:color="434F69"/>
            </w:tcBorders>
          </w:tcPr>
          <w:p>
            <w:pPr>
              <w:jc w:val="right"/>
              <w:ind w:right="136"/>
              <w:spacing w:after="0"/>
              <w:rPr>
                <w:sz w:val="20"/>
                <w:szCs w:val="20"/>
                <w:color w:val="auto"/>
              </w:rPr>
            </w:pPr>
            <w:r>
              <w:rPr>
                <w:rFonts w:ascii="Arial" w:cs="Arial" w:eastAsia="Arial" w:hAnsi="Arial"/>
                <w:sz w:val="18"/>
                <w:szCs w:val="18"/>
                <w:color w:val="auto"/>
              </w:rPr>
              <w:t>75,190</w:t>
            </w:r>
          </w:p>
        </w:tc>
        <w:tc>
          <w:tcPr>
            <w:tcW w:w="116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75,190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620" w:right="1299" w:hanging="360"/>
        <w:spacing w:after="0" w:line="207"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(“VWAP”) per unit for the 10-trading day period immediately preceding the date of grant of $7.98.</w:t>
      </w:r>
    </w:p>
    <w:p>
      <w:pPr>
        <w:spacing w:after="0" w:line="53" w:lineRule="exact"/>
        <w:rPr>
          <w:rFonts w:ascii="Arial" w:cs="Arial" w:eastAsia="Arial" w:hAnsi="Arial"/>
          <w:sz w:val="27"/>
          <w:szCs w:val="27"/>
          <w:color w:val="auto"/>
          <w:vertAlign w:val="superscript"/>
        </w:rPr>
      </w:pPr>
    </w:p>
    <w:p>
      <w:pPr>
        <w:ind w:left="1620" w:right="839" w:hanging="360"/>
        <w:spacing w:after="0" w:line="207"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Annual LTIP grants were not awarded to Mr. Pefanis as he requested to not participate in the 2020 long-term incentive program.</w:t>
      </w:r>
    </w:p>
    <w:p>
      <w:pPr>
        <w:spacing w:after="0" w:line="134"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2020 time-vested phantom units will vest (become payable 1-for-1 in PAA common units) on the August 2023 distribution date. The performance-vested phantom units will potentially vest on the August 2023 distribution date at a scaled payout range of between 0% to 200% based on:</w:t>
      </w:r>
    </w:p>
    <w:p>
      <w:pPr>
        <w:spacing w:after="0" w:line="116" w:lineRule="exact"/>
        <w:rPr>
          <w:sz w:val="20"/>
          <w:szCs w:val="20"/>
          <w:color w:val="auto"/>
        </w:rPr>
      </w:pPr>
    </w:p>
    <w:p>
      <w:pPr>
        <w:ind w:left="1980" w:right="419" w:hanging="360"/>
        <w:spacing w:after="0" w:line="274" w:lineRule="auto"/>
        <w:tabs>
          <w:tab w:leader="none" w:pos="1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with respect to 50% of the performance-vested phantom units (25% of the total award), PAA’s TSR over the three-year period ending June 30, 2023 compared to the TSR of the TSR Comparator Group identified on page 32 above (payout may be reduced if absolute TSR is negative</w:t>
      </w:r>
      <w:r>
        <w:rPr>
          <w:rFonts w:ascii="Arial" w:cs="Arial" w:eastAsia="Arial" w:hAnsi="Arial"/>
          <w:sz w:val="25"/>
          <w:szCs w:val="25"/>
          <w:color w:val="auto"/>
          <w:vertAlign w:val="superscript"/>
        </w:rPr>
        <w:t>4</w:t>
      </w:r>
      <w:r>
        <w:rPr>
          <w:rFonts w:ascii="Arial" w:cs="Arial" w:eastAsia="Arial" w:hAnsi="Arial"/>
          <w:sz w:val="17"/>
          <w:szCs w:val="17"/>
          <w:color w:val="auto"/>
        </w:rPr>
        <w:t>); and</w:t>
      </w:r>
    </w:p>
    <w:p>
      <w:pPr>
        <w:spacing w:after="0" w:line="21" w:lineRule="exact"/>
        <w:rPr>
          <w:rFonts w:ascii="Arial" w:cs="Arial" w:eastAsia="Arial" w:hAnsi="Arial"/>
          <w:sz w:val="17"/>
          <w:szCs w:val="17"/>
          <w:color w:val="auto"/>
        </w:rPr>
      </w:pPr>
    </w:p>
    <w:p>
      <w:pPr>
        <w:ind w:left="1980" w:right="599" w:hanging="360"/>
        <w:spacing w:after="0" w:line="25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the other 50% of the performance-vested phantom units (25% of the total award), PAA achieving cumulative DCF per common unit equivalent of $6.00 over the three-year period ending June 30, 2023 (payout may be decreased or increased (but not above 200%) based on PAA’s leverage ratio as of June 30, 2023 compared to the target leverage ratio set forth in PAA’s multi-year plan as of August 2020).</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DERs associated with the time-vested phantom units will accrue for the first year and such accrued amount will be paid in cash in a lump sum on the August 2021 distribution date; beginning in November 2021, DERs on such time-vested phantom units will be paid quarterly until the associated phantom units vest. DERs associated with the performance-vested phantom units will accrue during the three-year vesting period and be paid in cash in a lump sum on the August 2023 distribution date with respect to the number of phantom units, if any, that vest on such date. See the “Grants of Plan Based Awards Table” below for additional information regarding the 2020 annual grants.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58"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i w:val="1"/>
          <w:iCs w:val="1"/>
          <w:color w:val="auto"/>
        </w:rPr>
        <w:t xml:space="preserve">Equity Ownership; Equity Ownership Guidelines. </w:t>
      </w:r>
      <w:r>
        <w:rPr>
          <w:rFonts w:ascii="Arial" w:cs="Arial" w:eastAsia="Arial" w:hAnsi="Arial"/>
          <w:sz w:val="17"/>
          <w:szCs w:val="17"/>
          <w:color w:val="auto"/>
        </w:rPr>
        <w:t>Our Named Executive Officers and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own substantial equity in PAA and PAGP. As of March 26, 2021, the Named Executive Officers beneficially owned, in the aggregate, approximately 10.3 million units of equity interests in PAA and/or PAGP with an approximate market value of $97 million, and all executive officers and directors beneficially owned, in the aggregate, equity interests with an approximate market value of $878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506730</wp:posOffset>
            </wp:positionV>
            <wp:extent cx="12344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20" w:right="579" w:hanging="360"/>
        <w:spacing w:after="0" w:line="207"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If PAA’s relative TSR results in a payout of over 100%, but actual TSR is negative, the payout on this portion of the award will be reduced by 25 gross percentage points.</w:t>
      </w:r>
    </w:p>
    <w:p>
      <w:pPr>
        <w:sectPr>
          <w:pgSz w:w="11900" w:h="16838" w:orient="portrait"/>
          <w:cols w:equalWidth="0" w:num="1">
            <w:col w:w="9879"/>
          </w:cols>
          <w:pgMar w:left="580" w:top="132"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November 2020, the Board adopted Equity Ownership Guidelines to further align the interests of our executive officers and directors with the interests of our unitholders by requiring each to achieve and maintain a minimum equity ownership level. The primary features of the ownership guidelines are described in the following table:</w:t>
      </w:r>
    </w:p>
    <w:p>
      <w:pPr>
        <w:spacing w:after="0" w:line="140" w:lineRule="exact"/>
        <w:rPr>
          <w:sz w:val="20"/>
          <w:szCs w:val="20"/>
          <w:color w:val="auto"/>
        </w:rPr>
      </w:pPr>
    </w:p>
    <w:tbl>
      <w:tblPr>
        <w:tblLayout w:type="fixed"/>
        <w:tblInd w:w="1270" w:type="dxa"/>
        <w:tblCellMar>
          <w:top w:w="0" w:type="dxa"/>
          <w:left w:w="0" w:type="dxa"/>
          <w:bottom w:w="0" w:type="dxa"/>
          <w:right w:w="0" w:type="dxa"/>
        </w:tblCellMar>
      </w:tblPr>
      <w:tr>
        <w:trPr>
          <w:trHeight w:val="277"/>
        </w:trPr>
        <w:tc>
          <w:tcPr>
            <w:tcW w:w="18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Design Feature</w:t>
            </w:r>
          </w:p>
        </w:tc>
        <w:tc>
          <w:tcPr>
            <w:tcW w:w="6420" w:type="dxa"/>
            <w:vAlign w:val="bottom"/>
            <w:tcBorders>
              <w:top w:val="single" w:sz="8" w:color="auto"/>
              <w:bottom w:val="single" w:sz="8" w:color="auto"/>
              <w:right w:val="single" w:sz="8" w:color="auto"/>
            </w:tcBorders>
          </w:tcPr>
          <w:p>
            <w:pPr>
              <w:ind w:left="2780"/>
              <w:spacing w:after="0"/>
              <w:rPr>
                <w:sz w:val="20"/>
                <w:szCs w:val="20"/>
                <w:color w:val="auto"/>
              </w:rPr>
            </w:pPr>
            <w:r>
              <w:rPr>
                <w:rFonts w:ascii="Arial" w:cs="Arial" w:eastAsia="Arial" w:hAnsi="Arial"/>
                <w:sz w:val="18"/>
                <w:szCs w:val="18"/>
                <w:color w:val="auto"/>
              </w:rPr>
              <w:t>Description</w:t>
            </w:r>
          </w:p>
        </w:tc>
      </w:tr>
      <w:tr>
        <w:trPr>
          <w:trHeight w:val="250"/>
        </w:trPr>
        <w:tc>
          <w:tcPr>
            <w:tcW w:w="1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Participation</w:t>
            </w:r>
          </w:p>
        </w:tc>
        <w:tc>
          <w:tcPr>
            <w:tcW w:w="6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Executive officers and directors (other than designated directors)</w:t>
            </w:r>
          </w:p>
        </w:tc>
      </w:tr>
      <w:tr>
        <w:trPr>
          <w:trHeight w:val="215"/>
        </w:trPr>
        <w:tc>
          <w:tcPr>
            <w:tcW w:w="1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Ownership Basis</w:t>
            </w: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Multiple of salary for executive officers (CEO (6x), President (5x), EVPs (3x),</w:t>
            </w: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SVP (1x)), and multiple of cash retainer for directors (5x)</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6420" w:type="dxa"/>
            <w:vAlign w:val="bottom"/>
            <w:tcBorders>
              <w:bottom w:val="single" w:sz="8" w:color="auto"/>
              <w:right w:val="single" w:sz="8" w:color="auto"/>
            </w:tcBorders>
          </w:tcPr>
          <w:p>
            <w:pPr>
              <w:spacing w:after="0"/>
              <w:rPr>
                <w:sz w:val="2"/>
                <w:szCs w:val="2"/>
                <w:color w:val="auto"/>
              </w:rPr>
            </w:pPr>
          </w:p>
        </w:tc>
      </w:tr>
      <w:tr>
        <w:trPr>
          <w:trHeight w:val="209"/>
        </w:trPr>
        <w:tc>
          <w:tcPr>
            <w:tcW w:w="1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Grace Period to</w:t>
            </w: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 years</w:t>
            </w:r>
          </w:p>
        </w:tc>
      </w:tr>
      <w:tr>
        <w:trPr>
          <w:trHeight w:val="230"/>
        </w:trPr>
        <w:tc>
          <w:tcPr>
            <w:tcW w:w="1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Achieve Compliance</w:t>
            </w:r>
          </w:p>
        </w:tc>
        <w:tc>
          <w:tcPr>
            <w:tcW w:w="6420" w:type="dxa"/>
            <w:vAlign w:val="bottom"/>
            <w:tcBorders>
              <w:right w:val="single" w:sz="8" w:color="auto"/>
            </w:tcBorders>
          </w:tcPr>
          <w:p>
            <w:pPr>
              <w:spacing w:after="0"/>
              <w:rPr>
                <w:sz w:val="20"/>
                <w:szCs w:val="20"/>
                <w:color w:val="auto"/>
              </w:rPr>
            </w:pP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6420" w:type="dxa"/>
            <w:vAlign w:val="bottom"/>
            <w:tcBorders>
              <w:bottom w:val="single" w:sz="8" w:color="auto"/>
              <w:right w:val="single" w:sz="8" w:color="auto"/>
            </w:tcBorders>
          </w:tcPr>
          <w:p>
            <w:pPr>
              <w:spacing w:after="0"/>
              <w:rPr>
                <w:sz w:val="2"/>
                <w:szCs w:val="2"/>
                <w:color w:val="auto"/>
              </w:rPr>
            </w:pPr>
          </w:p>
        </w:tc>
      </w:tr>
      <w:tr>
        <w:trPr>
          <w:trHeight w:val="209"/>
        </w:trPr>
        <w:tc>
          <w:tcPr>
            <w:tcW w:w="1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Additional Holding</w:t>
            </w: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Executive officers and directors are required to hold 100% of units/shares</w:t>
            </w:r>
          </w:p>
        </w:tc>
      </w:tr>
      <w:tr>
        <w:trPr>
          <w:trHeight w:val="216"/>
        </w:trPr>
        <w:tc>
          <w:tcPr>
            <w:tcW w:w="1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Requirements</w:t>
            </w: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acquired upon vesting of phantom units until ownership guidelines are met (“hold</w:t>
            </w:r>
          </w:p>
        </w:tc>
      </w:tr>
      <w:tr>
        <w:trPr>
          <w:trHeight w:val="230"/>
        </w:trPr>
        <w:tc>
          <w:tcPr>
            <w:tcW w:w="1800" w:type="dxa"/>
            <w:vAlign w:val="bottom"/>
            <w:tcBorders>
              <w:left w:val="single" w:sz="8" w:color="auto"/>
              <w:right w:val="single" w:sz="8" w:color="auto"/>
            </w:tcBorders>
          </w:tcPr>
          <w:p>
            <w:pPr>
              <w:spacing w:after="0"/>
              <w:rPr>
                <w:sz w:val="20"/>
                <w:szCs w:val="20"/>
                <w:color w:val="auto"/>
              </w:rPr>
            </w:pPr>
          </w:p>
        </w:tc>
        <w:tc>
          <w:tcPr>
            <w:tcW w:w="6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until met” requirement)</w:t>
            </w:r>
          </w:p>
        </w:tc>
      </w:tr>
      <w:tr>
        <w:trPr>
          <w:trHeight w:val="27"/>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6420" w:type="dxa"/>
            <w:vAlign w:val="bottom"/>
            <w:tcBorders>
              <w:bottom w:val="single" w:sz="8" w:color="auto"/>
              <w:right w:val="single" w:sz="8" w:color="auto"/>
            </w:tcBorders>
          </w:tcPr>
          <w:p>
            <w:pPr>
              <w:spacing w:after="0"/>
              <w:rPr>
                <w:sz w:val="2"/>
                <w:szCs w:val="2"/>
                <w:color w:val="auto"/>
              </w:rPr>
            </w:pPr>
          </w:p>
        </w:tc>
      </w:tr>
    </w:tbl>
    <w:p>
      <w:pPr>
        <w:spacing w:after="0" w:line="134"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Anti-Hedging and Pledging Policies</w:t>
      </w:r>
      <w:r>
        <w:rPr>
          <w:rFonts w:ascii="Arial" w:cs="Arial" w:eastAsia="Arial" w:hAnsi="Arial"/>
          <w:sz w:val="18"/>
          <w:szCs w:val="18"/>
          <w:color w:val="auto"/>
        </w:rPr>
        <w:t>. We have policies and procedures in place that prohibit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including our Named Executive Officers, from using puts, calls, options or other derivative securities to hedge the economic risk of their equity ownership in us, and from engaging in other types of hedging transactions, including prepaid variable forwards, equity swaps, collars and exchange funds. Our policies also prohibit pledging company securities or holding such securities in a margin account.</w:t>
      </w:r>
    </w:p>
    <w:p>
      <w:pPr>
        <w:spacing w:after="0" w:line="111"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In November 2020, the Board also adopted a Clawback Policy to further align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our executive officers with the interests of our unitholders, incentivize appropriate behaviors and discourage excessive risk taking. The Clawback Policy covers all executive officers and includes the following clawback triggers and related recoveries:</w:t>
      </w:r>
    </w:p>
    <w:p>
      <w:pPr>
        <w:spacing w:after="0" w:line="79" w:lineRule="exact"/>
        <w:rPr>
          <w:sz w:val="20"/>
          <w:szCs w:val="20"/>
          <w:color w:val="auto"/>
        </w:rPr>
      </w:pPr>
    </w:p>
    <w:p>
      <w:pPr>
        <w:jc w:val="both"/>
        <w:ind w:left="2160" w:right="659" w:hanging="180"/>
        <w:spacing w:after="0" w:line="263" w:lineRule="auto"/>
        <w:tabs>
          <w:tab w:leader="none" w:pos="2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Fraud or intentional/unlawful conduct that contributes to a material financial restatement that results in over-payment of performance-based compensation (Company may seek recovery of any excess compensation awarded or paid); and</w:t>
      </w:r>
    </w:p>
    <w:p>
      <w:pPr>
        <w:spacing w:after="0" w:line="75" w:lineRule="exact"/>
        <w:rPr>
          <w:rFonts w:ascii="Arial" w:cs="Arial" w:eastAsia="Arial" w:hAnsi="Arial"/>
          <w:sz w:val="18"/>
          <w:szCs w:val="18"/>
          <w:color w:val="auto"/>
        </w:rPr>
      </w:pPr>
    </w:p>
    <w:p>
      <w:pPr>
        <w:ind w:left="2160" w:right="419" w:hanging="180"/>
        <w:spacing w:after="0" w:line="259" w:lineRule="auto"/>
        <w:tabs>
          <w:tab w:leader="none" w:pos="2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Detrimental conduct that results in significant financial, reputational or other harm to the Company (Company may seek recovery or forfeiture of any performance-based compensation or unvested time-based equity awards granted or paid during the 3-year period prior to discovery of the misconduct).</w:t>
      </w:r>
    </w:p>
    <w:p>
      <w:pPr>
        <w:spacing w:after="0" w:line="119"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i w:val="1"/>
          <w:iCs w:val="1"/>
          <w:color w:val="auto"/>
        </w:rPr>
        <w:t xml:space="preserve">Change in Control Triggers. </w:t>
      </w:r>
      <w:r>
        <w:rPr>
          <w:rFonts w:ascii="Arial" w:cs="Arial" w:eastAsia="Arial" w:hAnsi="Arial"/>
          <w:sz w:val="17"/>
          <w:szCs w:val="17"/>
          <w:color w:val="auto"/>
        </w:rPr>
        <w:t>Our long-term incentive plan grants provide for accelerated vesting upon</w:t>
      </w:r>
      <w:r>
        <w:rPr>
          <w:rFonts w:ascii="Arial" w:cs="Arial" w:eastAsia="Arial" w:hAnsi="Arial"/>
          <w:sz w:val="17"/>
          <w:szCs w:val="17"/>
          <w:i w:val="1"/>
          <w:iCs w:val="1"/>
          <w:color w:val="auto"/>
        </w:rPr>
        <w:t xml:space="preserve"> </w:t>
      </w:r>
      <w:r>
        <w:rPr>
          <w:rFonts w:ascii="Arial" w:cs="Arial" w:eastAsia="Arial" w:hAnsi="Arial"/>
          <w:sz w:val="17"/>
          <w:szCs w:val="17"/>
          <w:color w:val="auto"/>
        </w:rPr>
        <w:t>a change of control (as defined in such agreements), but such vesting becomes operative only if the change in control is accompanied by a change in status (such as the termination of employment by GP LLC). We believe this “double trigger” arrangement is appropriate because it provides assurance to the executive, but does not offer a windfall to the executive when there has been no real change in employment status. Pursuant to the legacy AAP Management Unit grant agreements held by Messrs. Chiang (375,521 units) and Goebel (37,552 units), upon the occurrence of a change in control, any earned AAP Management Units become vested units. In addition, the provisions in Mr. Pefanis’ legacy employment agreement provide for a severance payment if he terminates employment within three months following a change in control.</w:t>
      </w:r>
    </w:p>
    <w:p>
      <w:pPr>
        <w:spacing w:after="0" w:line="1"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Mr. Pefanis agreed to a conditional waiver of these provisions with respect to all prior qualifying transactions. See “— Employment Contracts” and “—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p>
    <w:p>
      <w:pPr>
        <w:spacing w:after="0" w:line="126"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we are a limited partnership and do not fall within the definition of a “corporation” under Section 162(m).</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activities conducted in our Supply and Logistics segment as well as to the execution of investment capital projects and acquisitions and the realization of associated returns.</w:t>
      </w:r>
    </w:p>
    <w:p>
      <w:pPr>
        <w:spacing w:after="0" w:line="124" w:lineRule="exact"/>
        <w:rPr>
          <w:sz w:val="20"/>
          <w:szCs w:val="20"/>
          <w:color w:val="auto"/>
        </w:rPr>
      </w:pPr>
    </w:p>
    <w:p>
      <w:pPr>
        <w:jc w:val="both"/>
        <w:ind w:left="1260" w:right="679" w:firstLine="360"/>
        <w:spacing w:after="0" w:line="279"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p>
    <w:p>
      <w:pPr>
        <w:spacing w:after="0" w:line="10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the passage of time and performance thresholds associated with achieving specified long-term financial goals. Also, the fact that we utilize a variety of metrics in connection with our incentive arrangements (both short and long term), including a leverage modifier in the case of our long term incentive plan grants, provides a structural mitigant against excessive risk taking to achieve performance targets.</w:t>
      </w:r>
    </w:p>
    <w:p>
      <w:pPr>
        <w:spacing w:after="0" w:line="11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 term performance goals and we believe that risks arising from our compensation policies and practices for employees are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The following table sets forth certain compensation information for the Chief Executive Officer, the President, the Chief Financial Officer, and the three most highly compensated executive officers in 2020 other than our CEO and CFO (collectively, our “Named Executive Officers”). As a result of his request to not participate in the 2020 long-term incentive program, Mr. Pefanis is not one of the three most highly compensated executive officers, but he is included as a Named Executive Officer given the significance of his role. (Mr. Pefanis served as President and Chief Commercial Officer during 2020. In March 2021, Mr. Goebel was appointed to serve as Chief Commercial Officer in addition to his role as Executive Vice President.)</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3080" w:type="dxa"/>
            <w:vAlign w:val="bottom"/>
            <w:tcBorders>
              <w:left w:val="single" w:sz="8" w:color="434F69"/>
              <w:right w:val="single" w:sz="8" w:color="434F69"/>
            </w:tcBorders>
            <w:shd w:val="clear" w:color="auto" w:fill="434F69"/>
          </w:tcPr>
          <w:p>
            <w:pPr>
              <w:spacing w:after="0"/>
              <w:rPr>
                <w:sz w:val="16"/>
                <w:szCs w:val="16"/>
                <w:color w:val="auto"/>
              </w:rPr>
            </w:pPr>
          </w:p>
        </w:tc>
        <w:tc>
          <w:tcPr>
            <w:tcW w:w="540" w:type="dxa"/>
            <w:vAlign w:val="bottom"/>
            <w:tcBorders>
              <w:right w:val="single" w:sz="8" w:color="434F69"/>
            </w:tcBorders>
            <w:shd w:val="clear" w:color="auto" w:fill="434F69"/>
          </w:tcPr>
          <w:p>
            <w:pPr>
              <w:spacing w:after="0"/>
              <w:rPr>
                <w:sz w:val="16"/>
                <w:szCs w:val="16"/>
                <w:color w:val="auto"/>
              </w:rPr>
            </w:pPr>
          </w:p>
        </w:tc>
        <w:tc>
          <w:tcPr>
            <w:tcW w:w="740" w:type="dxa"/>
            <w:vAlign w:val="bottom"/>
            <w:tcBorders>
              <w:right w:val="single" w:sz="8" w:color="434F69"/>
            </w:tcBorders>
            <w:shd w:val="clear" w:color="auto" w:fill="434F69"/>
          </w:tcPr>
          <w:p>
            <w:pPr>
              <w:spacing w:after="0"/>
              <w:rPr>
                <w:sz w:val="16"/>
                <w:szCs w:val="16"/>
                <w:color w:val="auto"/>
              </w:rPr>
            </w:pPr>
          </w:p>
        </w:tc>
        <w:tc>
          <w:tcPr>
            <w:tcW w:w="90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Stock</w:t>
            </w:r>
          </w:p>
        </w:tc>
        <w:tc>
          <w:tcPr>
            <w:tcW w:w="10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Non-Equity</w:t>
            </w:r>
          </w:p>
        </w:tc>
        <w:tc>
          <w:tcPr>
            <w:tcW w:w="104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All Other</w:t>
            </w:r>
          </w:p>
        </w:tc>
        <w:tc>
          <w:tcPr>
            <w:tcW w:w="880" w:type="dxa"/>
            <w:vAlign w:val="bottom"/>
            <w:tcBorders>
              <w:right w:val="single" w:sz="8" w:color="434F69"/>
            </w:tcBorders>
            <w:shd w:val="clear" w:color="auto" w:fill="434F69"/>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80" w:type="dxa"/>
            <w:vAlign w:val="bottom"/>
            <w:tcBorders>
              <w:left w:val="single" w:sz="8" w:color="434F69"/>
              <w:right w:val="single" w:sz="8" w:color="434F69"/>
            </w:tcBorders>
            <w:shd w:val="clear" w:color="auto" w:fill="434F69"/>
          </w:tcPr>
          <w:p>
            <w:pPr>
              <w:spacing w:after="0"/>
              <w:rPr>
                <w:sz w:val="12"/>
                <w:szCs w:val="12"/>
                <w:color w:val="auto"/>
              </w:rPr>
            </w:pPr>
          </w:p>
        </w:tc>
        <w:tc>
          <w:tcPr>
            <w:tcW w:w="540" w:type="dxa"/>
            <w:vAlign w:val="bottom"/>
            <w:tcBorders>
              <w:right w:val="single" w:sz="8" w:color="434F69"/>
            </w:tcBorders>
            <w:shd w:val="clear" w:color="auto" w:fill="434F69"/>
          </w:tcPr>
          <w:p>
            <w:pPr>
              <w:spacing w:after="0"/>
              <w:rPr>
                <w:sz w:val="12"/>
                <w:szCs w:val="12"/>
                <w:color w:val="auto"/>
              </w:rPr>
            </w:pPr>
          </w:p>
        </w:tc>
        <w:tc>
          <w:tcPr>
            <w:tcW w:w="740" w:type="dxa"/>
            <w:vAlign w:val="bottom"/>
            <w:tcBorders>
              <w:right w:val="single" w:sz="8" w:color="434F69"/>
            </w:tcBorders>
            <w:shd w:val="clear" w:color="auto" w:fill="434F69"/>
          </w:tcPr>
          <w:p>
            <w:pPr>
              <w:spacing w:after="0"/>
              <w:rPr>
                <w:sz w:val="12"/>
                <w:szCs w:val="12"/>
                <w:color w:val="auto"/>
              </w:rPr>
            </w:pPr>
          </w:p>
        </w:tc>
        <w:tc>
          <w:tcPr>
            <w:tcW w:w="900" w:type="dxa"/>
            <w:vAlign w:val="bottom"/>
            <w:tcBorders>
              <w:right w:val="single" w:sz="8" w:color="434F69"/>
            </w:tcBorders>
            <w:vMerge w:val="continue"/>
            <w:shd w:val="clear" w:color="auto" w:fill="434F69"/>
          </w:tcPr>
          <w:p>
            <w:pPr>
              <w:spacing w:after="0"/>
              <w:rPr>
                <w:sz w:val="12"/>
                <w:szCs w:val="12"/>
                <w:color w:val="auto"/>
              </w:rPr>
            </w:pPr>
          </w:p>
        </w:tc>
        <w:tc>
          <w:tcPr>
            <w:tcW w:w="104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1"/>
              </w:rPr>
              <w:t>Incentive Plan</w:t>
            </w:r>
          </w:p>
        </w:tc>
        <w:tc>
          <w:tcPr>
            <w:tcW w:w="1040" w:type="dxa"/>
            <w:vAlign w:val="bottom"/>
            <w:tcBorders>
              <w:right w:val="single" w:sz="8" w:color="434F69"/>
            </w:tcBorders>
            <w:vMerge w:val="continue"/>
            <w:shd w:val="clear" w:color="auto" w:fill="434F69"/>
          </w:tcPr>
          <w:p>
            <w:pPr>
              <w:spacing w:after="0"/>
              <w:rPr>
                <w:sz w:val="12"/>
                <w:szCs w:val="12"/>
                <w:color w:val="auto"/>
              </w:rPr>
            </w:pPr>
          </w:p>
        </w:tc>
        <w:tc>
          <w:tcPr>
            <w:tcW w:w="880" w:type="dxa"/>
            <w:vAlign w:val="bottom"/>
            <w:tcBorders>
              <w:right w:val="single" w:sz="8" w:color="434F69"/>
            </w:tcBorders>
            <w:shd w:val="clear" w:color="auto" w:fill="434F69"/>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80" w:type="dxa"/>
            <w:vAlign w:val="bottom"/>
            <w:tcBorders>
              <w:left w:val="single" w:sz="8" w:color="434F69"/>
              <w:right w:val="single" w:sz="8" w:color="434F69"/>
            </w:tcBorders>
            <w:shd w:val="clear" w:color="auto" w:fill="434F69"/>
          </w:tcPr>
          <w:p>
            <w:pPr>
              <w:spacing w:after="0"/>
              <w:rPr>
                <w:sz w:val="13"/>
                <w:szCs w:val="13"/>
                <w:color w:val="auto"/>
              </w:rPr>
            </w:pPr>
          </w:p>
        </w:tc>
        <w:tc>
          <w:tcPr>
            <w:tcW w:w="540" w:type="dxa"/>
            <w:vAlign w:val="bottom"/>
            <w:tcBorders>
              <w:right w:val="single" w:sz="8" w:color="434F69"/>
            </w:tcBorders>
            <w:shd w:val="clear" w:color="auto" w:fill="434F69"/>
          </w:tcPr>
          <w:p>
            <w:pPr>
              <w:spacing w:after="0"/>
              <w:rPr>
                <w:sz w:val="13"/>
                <w:szCs w:val="13"/>
                <w:color w:val="auto"/>
              </w:rPr>
            </w:pPr>
          </w:p>
        </w:tc>
        <w:tc>
          <w:tcPr>
            <w:tcW w:w="740" w:type="dxa"/>
            <w:vAlign w:val="bottom"/>
            <w:tcBorders>
              <w:right w:val="single" w:sz="8" w:color="434F69"/>
            </w:tcBorders>
            <w:shd w:val="clear" w:color="auto" w:fill="434F69"/>
          </w:tcPr>
          <w:p>
            <w:pPr>
              <w:ind w:left="140"/>
              <w:spacing w:after="0" w:line="158" w:lineRule="exact"/>
              <w:rPr>
                <w:sz w:val="20"/>
                <w:szCs w:val="20"/>
                <w:color w:val="auto"/>
              </w:rPr>
            </w:pPr>
            <w:r>
              <w:rPr>
                <w:rFonts w:ascii="Arial" w:cs="Arial" w:eastAsia="Arial" w:hAnsi="Arial"/>
                <w:sz w:val="14"/>
                <w:szCs w:val="14"/>
                <w:b w:val="1"/>
                <w:bCs w:val="1"/>
                <w:color w:val="FFFFFF"/>
              </w:rPr>
              <w:t>Salary</w:t>
            </w:r>
          </w:p>
        </w:tc>
        <w:tc>
          <w:tcPr>
            <w:tcW w:w="90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0"/>
              </w:rPr>
              <w:t>Awards</w:t>
            </w:r>
          </w:p>
        </w:tc>
        <w:tc>
          <w:tcPr>
            <w:tcW w:w="10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8"/>
              </w:rPr>
              <w:t>Compensation</w:t>
            </w:r>
          </w:p>
        </w:tc>
        <w:tc>
          <w:tcPr>
            <w:tcW w:w="10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8"/>
              </w:rPr>
              <w:t>Compensation</w:t>
            </w:r>
          </w:p>
        </w:tc>
        <w:tc>
          <w:tcPr>
            <w:tcW w:w="880" w:type="dxa"/>
            <w:vAlign w:val="bottom"/>
            <w:tcBorders>
              <w:right w:val="single" w:sz="8" w:color="434F69"/>
            </w:tcBorders>
            <w:shd w:val="clear" w:color="auto" w:fill="434F69"/>
          </w:tcPr>
          <w:p>
            <w:pPr>
              <w:ind w:left="260"/>
              <w:spacing w:after="0" w:line="158"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3"/>
        </w:trPr>
        <w:tc>
          <w:tcPr>
            <w:tcW w:w="308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5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Year</w:t>
            </w:r>
          </w:p>
        </w:tc>
        <w:tc>
          <w:tcPr>
            <w:tcW w:w="74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1"/>
              </w:rPr>
              <w:t>($)</w:t>
            </w:r>
            <w:r>
              <w:rPr>
                <w:rFonts w:ascii="Arial" w:cs="Arial" w:eastAsia="Arial" w:hAnsi="Arial"/>
                <w:sz w:val="21"/>
                <w:szCs w:val="21"/>
                <w:b w:val="1"/>
                <w:bCs w:val="1"/>
                <w:color w:val="FFFFFF"/>
                <w:w w:val="81"/>
                <w:vertAlign w:val="superscript"/>
              </w:rPr>
              <w:t>(1)</w:t>
            </w:r>
          </w:p>
        </w:tc>
        <w:tc>
          <w:tcPr>
            <w:tcW w:w="90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1"/>
              </w:rPr>
              <w:t>($)</w:t>
            </w:r>
            <w:r>
              <w:rPr>
                <w:rFonts w:ascii="Arial" w:cs="Arial" w:eastAsia="Arial" w:hAnsi="Arial"/>
                <w:sz w:val="21"/>
                <w:szCs w:val="21"/>
                <w:b w:val="1"/>
                <w:bCs w:val="1"/>
                <w:color w:val="FFFFFF"/>
                <w:w w:val="81"/>
                <w:vertAlign w:val="superscript"/>
              </w:rPr>
              <w:t>(2)</w:t>
            </w:r>
          </w:p>
        </w:tc>
        <w:tc>
          <w:tcPr>
            <w:tcW w:w="10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1"/>
              </w:rPr>
              <w:t>($)</w:t>
            </w:r>
            <w:r>
              <w:rPr>
                <w:rFonts w:ascii="Arial" w:cs="Arial" w:eastAsia="Arial" w:hAnsi="Arial"/>
                <w:sz w:val="21"/>
                <w:szCs w:val="21"/>
                <w:b w:val="1"/>
                <w:bCs w:val="1"/>
                <w:color w:val="FFFFFF"/>
                <w:w w:val="81"/>
                <w:vertAlign w:val="superscript"/>
              </w:rPr>
              <w:t>(3)</w:t>
            </w:r>
          </w:p>
        </w:tc>
        <w:tc>
          <w:tcPr>
            <w:tcW w:w="8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Willie Chiang</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600,000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9"/>
              </w:rPr>
              <w:t>2,247,181</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1,425,000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18,060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4,290,241</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Chairman and Chief Executive</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600,000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9"/>
              </w:rPr>
              <w:t>1,273,118</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2,250,000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17,760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4,140,878</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Officer</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2018</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450,000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9"/>
              </w:rPr>
              <w:t>6,425,523</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2,000,000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17,460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8,892,983</w:t>
            </w:r>
          </w:p>
        </w:tc>
        <w:tc>
          <w:tcPr>
            <w:tcW w:w="0" w:type="dxa"/>
            <w:vAlign w:val="bottom"/>
          </w:tcPr>
          <w:p>
            <w:pPr>
              <w:spacing w:after="0"/>
              <w:rPr>
                <w:sz w:val="1"/>
                <w:szCs w:val="1"/>
                <w:color w:val="auto"/>
              </w:rPr>
            </w:pPr>
          </w:p>
        </w:tc>
      </w:tr>
      <w:tr>
        <w:trPr>
          <w:trHeight w:val="310"/>
        </w:trPr>
        <w:tc>
          <w:tcPr>
            <w:tcW w:w="308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4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1040" w:type="dxa"/>
            <w:vAlign w:val="bottom"/>
            <w:tcBorders>
              <w:bottom w:val="single" w:sz="8" w:color="434F69"/>
              <w:right w:val="single" w:sz="8" w:color="434F69"/>
            </w:tcBorders>
            <w:shd w:val="clear" w:color="auto" w:fill="D9DCE1"/>
          </w:tcPr>
          <w:p>
            <w:pPr>
              <w:spacing w:after="0"/>
              <w:rPr>
                <w:sz w:val="24"/>
                <w:szCs w:val="24"/>
                <w:color w:val="auto"/>
              </w:rPr>
            </w:pPr>
          </w:p>
        </w:tc>
        <w:tc>
          <w:tcPr>
            <w:tcW w:w="1040" w:type="dxa"/>
            <w:vAlign w:val="bottom"/>
            <w:tcBorders>
              <w:bottom w:val="single" w:sz="8" w:color="434F69"/>
              <w:right w:val="single" w:sz="8" w:color="434F69"/>
            </w:tcBorders>
            <w:shd w:val="clear" w:color="auto" w:fill="D9DCE1"/>
          </w:tcPr>
          <w:p>
            <w:pPr>
              <w:spacing w:after="0"/>
              <w:rPr>
                <w:sz w:val="24"/>
                <w:szCs w:val="24"/>
                <w:color w:val="auto"/>
              </w:rPr>
            </w:pPr>
          </w:p>
        </w:tc>
        <w:tc>
          <w:tcPr>
            <w:tcW w:w="88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950,000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18,060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1,368,060</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President</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1,500,000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17,760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1,917,760</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spacing w:after="0"/>
              <w:rPr>
                <w:sz w:val="21"/>
                <w:szCs w:val="21"/>
                <w:color w:val="auto"/>
              </w:rPr>
            </w:pP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2018</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1,500,000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17,460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1,917,460</w:t>
            </w:r>
          </w:p>
        </w:tc>
        <w:tc>
          <w:tcPr>
            <w:tcW w:w="0" w:type="dxa"/>
            <w:vAlign w:val="bottom"/>
          </w:tcPr>
          <w:p>
            <w:pPr>
              <w:spacing w:after="0"/>
              <w:rPr>
                <w:sz w:val="1"/>
                <w:szCs w:val="1"/>
                <w:color w:val="auto"/>
              </w:rPr>
            </w:pPr>
          </w:p>
        </w:tc>
      </w:tr>
      <w:tr>
        <w:trPr>
          <w:trHeight w:val="311"/>
        </w:trPr>
        <w:tc>
          <w:tcPr>
            <w:tcW w:w="308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4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1040" w:type="dxa"/>
            <w:vAlign w:val="bottom"/>
            <w:tcBorders>
              <w:bottom w:val="single" w:sz="8" w:color="434F69"/>
              <w:right w:val="single" w:sz="8" w:color="434F69"/>
            </w:tcBorders>
            <w:shd w:val="clear" w:color="auto" w:fill="D9DCE1"/>
          </w:tcPr>
          <w:p>
            <w:pPr>
              <w:spacing w:after="0"/>
              <w:rPr>
                <w:sz w:val="24"/>
                <w:szCs w:val="24"/>
                <w:color w:val="auto"/>
              </w:rPr>
            </w:pPr>
          </w:p>
        </w:tc>
        <w:tc>
          <w:tcPr>
            <w:tcW w:w="1040" w:type="dxa"/>
            <w:vAlign w:val="bottom"/>
            <w:tcBorders>
              <w:bottom w:val="single" w:sz="8" w:color="434F69"/>
              <w:right w:val="single" w:sz="8" w:color="434F69"/>
            </w:tcBorders>
            <w:shd w:val="clear" w:color="auto" w:fill="D9DCE1"/>
          </w:tcPr>
          <w:p>
            <w:pPr>
              <w:spacing w:after="0"/>
              <w:rPr>
                <w:sz w:val="24"/>
                <w:szCs w:val="24"/>
                <w:color w:val="auto"/>
              </w:rPr>
            </w:pPr>
          </w:p>
        </w:tc>
        <w:tc>
          <w:tcPr>
            <w:tcW w:w="88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898,896</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775,000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18,060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2,091,956</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Executive Vice President and</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509,288</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1,200,000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17,760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2,127,048</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Chief Financial Officer</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2018</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9"/>
              </w:rPr>
              <w:t>1,546,631</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1,300,000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17,460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3,264,091</w:t>
            </w:r>
          </w:p>
        </w:tc>
        <w:tc>
          <w:tcPr>
            <w:tcW w:w="0" w:type="dxa"/>
            <w:vAlign w:val="bottom"/>
          </w:tcPr>
          <w:p>
            <w:pPr>
              <w:spacing w:after="0"/>
              <w:rPr>
                <w:sz w:val="1"/>
                <w:szCs w:val="1"/>
                <w:color w:val="auto"/>
              </w:rPr>
            </w:pPr>
          </w:p>
        </w:tc>
      </w:tr>
      <w:tr>
        <w:trPr>
          <w:trHeight w:val="311"/>
        </w:trPr>
        <w:tc>
          <w:tcPr>
            <w:tcW w:w="308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4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1040" w:type="dxa"/>
            <w:vAlign w:val="bottom"/>
            <w:tcBorders>
              <w:bottom w:val="single" w:sz="8" w:color="434F69"/>
              <w:right w:val="single" w:sz="8" w:color="434F69"/>
            </w:tcBorders>
            <w:shd w:val="clear" w:color="auto" w:fill="D9DCE1"/>
          </w:tcPr>
          <w:p>
            <w:pPr>
              <w:spacing w:after="0"/>
              <w:rPr>
                <w:sz w:val="24"/>
                <w:szCs w:val="24"/>
                <w:color w:val="auto"/>
              </w:rPr>
            </w:pPr>
          </w:p>
        </w:tc>
        <w:tc>
          <w:tcPr>
            <w:tcW w:w="1040" w:type="dxa"/>
            <w:vAlign w:val="bottom"/>
            <w:tcBorders>
              <w:bottom w:val="single" w:sz="8" w:color="434F69"/>
              <w:right w:val="single" w:sz="8" w:color="434F69"/>
            </w:tcBorders>
            <w:shd w:val="clear" w:color="auto" w:fill="D9DCE1"/>
          </w:tcPr>
          <w:p>
            <w:pPr>
              <w:spacing w:after="0"/>
              <w:rPr>
                <w:sz w:val="24"/>
                <w:szCs w:val="24"/>
                <w:color w:val="auto"/>
              </w:rPr>
            </w:pPr>
          </w:p>
        </w:tc>
        <w:tc>
          <w:tcPr>
            <w:tcW w:w="88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898,896</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775,000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18,060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2,091,956</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Executive Vice President, General</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509,288</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1,200,000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17,760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2,127,048</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Counsel and Secretary</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2018</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9"/>
              </w:rPr>
              <w:t>1,129,023</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1,300,000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17,460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2,846,483</w:t>
            </w:r>
          </w:p>
        </w:tc>
        <w:tc>
          <w:tcPr>
            <w:tcW w:w="0" w:type="dxa"/>
            <w:vAlign w:val="bottom"/>
          </w:tcPr>
          <w:p>
            <w:pPr>
              <w:spacing w:after="0"/>
              <w:rPr>
                <w:sz w:val="1"/>
                <w:szCs w:val="1"/>
                <w:color w:val="auto"/>
              </w:rPr>
            </w:pPr>
          </w:p>
        </w:tc>
      </w:tr>
      <w:tr>
        <w:trPr>
          <w:trHeight w:val="310"/>
        </w:trPr>
        <w:tc>
          <w:tcPr>
            <w:tcW w:w="308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4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1040" w:type="dxa"/>
            <w:vAlign w:val="bottom"/>
            <w:tcBorders>
              <w:bottom w:val="single" w:sz="8" w:color="434F69"/>
              <w:right w:val="single" w:sz="8" w:color="434F69"/>
            </w:tcBorders>
            <w:shd w:val="clear" w:color="auto" w:fill="D9DCE1"/>
          </w:tcPr>
          <w:p>
            <w:pPr>
              <w:spacing w:after="0"/>
              <w:rPr>
                <w:sz w:val="24"/>
                <w:szCs w:val="24"/>
                <w:color w:val="auto"/>
              </w:rPr>
            </w:pPr>
          </w:p>
        </w:tc>
        <w:tc>
          <w:tcPr>
            <w:tcW w:w="1040" w:type="dxa"/>
            <w:vAlign w:val="bottom"/>
            <w:tcBorders>
              <w:bottom w:val="single" w:sz="8" w:color="434F69"/>
              <w:right w:val="single" w:sz="8" w:color="434F69"/>
            </w:tcBorders>
            <w:shd w:val="clear" w:color="auto" w:fill="D9DCE1"/>
          </w:tcPr>
          <w:p>
            <w:pPr>
              <w:spacing w:after="0"/>
              <w:rPr>
                <w:sz w:val="24"/>
                <w:szCs w:val="24"/>
                <w:color w:val="auto"/>
              </w:rPr>
            </w:pPr>
          </w:p>
        </w:tc>
        <w:tc>
          <w:tcPr>
            <w:tcW w:w="88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898,896</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800,000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18,060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2,116,956</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Executive Vice President and</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396,000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9"/>
              </w:rPr>
              <w:t>4,410,788</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1,400,000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17,760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6,224,548</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Chief Operating Officer</w:t>
            </w:r>
          </w:p>
        </w:tc>
        <w:tc>
          <w:tcPr>
            <w:tcW w:w="540" w:type="dxa"/>
            <w:vAlign w:val="bottom"/>
            <w:tcBorders>
              <w:bottom w:val="single" w:sz="8" w:color="434F69"/>
              <w:right w:val="single" w:sz="8" w:color="434F69"/>
            </w:tcBorders>
          </w:tcPr>
          <w:p>
            <w:pPr>
              <w:spacing w:after="0"/>
              <w:rPr>
                <w:sz w:val="21"/>
                <w:szCs w:val="21"/>
                <w:color w:val="auto"/>
              </w:rPr>
            </w:pPr>
          </w:p>
        </w:tc>
        <w:tc>
          <w:tcPr>
            <w:tcW w:w="740" w:type="dxa"/>
            <w:vAlign w:val="bottom"/>
            <w:tcBorders>
              <w:bottom w:val="single" w:sz="8" w:color="434F69"/>
              <w:right w:val="single" w:sz="8" w:color="434F69"/>
            </w:tcBorders>
          </w:tcPr>
          <w:p>
            <w:pPr>
              <w:spacing w:after="0"/>
              <w:rPr>
                <w:sz w:val="21"/>
                <w:szCs w:val="21"/>
                <w:color w:val="auto"/>
              </w:rPr>
            </w:pPr>
          </w:p>
        </w:tc>
        <w:tc>
          <w:tcPr>
            <w:tcW w:w="900" w:type="dxa"/>
            <w:vAlign w:val="bottom"/>
            <w:tcBorders>
              <w:bottom w:val="single" w:sz="8" w:color="434F69"/>
              <w:right w:val="single" w:sz="8" w:color="434F69"/>
            </w:tcBorders>
          </w:tcPr>
          <w:p>
            <w:pPr>
              <w:spacing w:after="0"/>
              <w:rPr>
                <w:sz w:val="21"/>
                <w:szCs w:val="21"/>
                <w:color w:val="auto"/>
              </w:rPr>
            </w:pPr>
          </w:p>
        </w:tc>
        <w:tc>
          <w:tcPr>
            <w:tcW w:w="1040" w:type="dxa"/>
            <w:vAlign w:val="bottom"/>
            <w:tcBorders>
              <w:bottom w:val="single" w:sz="8" w:color="434F69"/>
              <w:right w:val="single" w:sz="8" w:color="434F69"/>
            </w:tcBorders>
          </w:tcPr>
          <w:p>
            <w:pPr>
              <w:spacing w:after="0"/>
              <w:rPr>
                <w:sz w:val="21"/>
                <w:szCs w:val="21"/>
                <w:color w:val="auto"/>
              </w:rPr>
            </w:pPr>
          </w:p>
        </w:tc>
        <w:tc>
          <w:tcPr>
            <w:tcW w:w="1040" w:type="dxa"/>
            <w:vAlign w:val="bottom"/>
            <w:tcBorders>
              <w:bottom w:val="single" w:sz="8" w:color="434F69"/>
              <w:right w:val="single" w:sz="8" w:color="434F69"/>
            </w:tcBorders>
          </w:tcPr>
          <w:p>
            <w:pPr>
              <w:spacing w:after="0"/>
              <w:rPr>
                <w:sz w:val="21"/>
                <w:szCs w:val="21"/>
                <w:color w:val="auto"/>
              </w:rPr>
            </w:pPr>
          </w:p>
        </w:tc>
        <w:tc>
          <w:tcPr>
            <w:tcW w:w="88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08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540" w:type="dxa"/>
            <w:vAlign w:val="bottom"/>
            <w:tcBorders>
              <w:bottom w:val="single" w:sz="8" w:color="434F69"/>
              <w:right w:val="single" w:sz="8" w:color="434F69"/>
            </w:tcBorders>
            <w:shd w:val="clear" w:color="auto" w:fill="D9DCE1"/>
          </w:tcPr>
          <w:p>
            <w:pPr>
              <w:spacing w:after="0"/>
              <w:rPr>
                <w:sz w:val="24"/>
                <w:szCs w:val="24"/>
                <w:color w:val="auto"/>
              </w:rPr>
            </w:pPr>
          </w:p>
        </w:tc>
        <w:tc>
          <w:tcPr>
            <w:tcW w:w="740" w:type="dxa"/>
            <w:vAlign w:val="bottom"/>
            <w:tcBorders>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1040" w:type="dxa"/>
            <w:vAlign w:val="bottom"/>
            <w:tcBorders>
              <w:bottom w:val="single" w:sz="8" w:color="434F69"/>
              <w:right w:val="single" w:sz="8" w:color="434F69"/>
            </w:tcBorders>
            <w:shd w:val="clear" w:color="auto" w:fill="D9DCE1"/>
          </w:tcPr>
          <w:p>
            <w:pPr>
              <w:spacing w:after="0"/>
              <w:rPr>
                <w:sz w:val="24"/>
                <w:szCs w:val="24"/>
                <w:color w:val="auto"/>
              </w:rPr>
            </w:pPr>
          </w:p>
        </w:tc>
        <w:tc>
          <w:tcPr>
            <w:tcW w:w="1040" w:type="dxa"/>
            <w:vAlign w:val="bottom"/>
            <w:tcBorders>
              <w:bottom w:val="single" w:sz="8" w:color="434F69"/>
              <w:right w:val="single" w:sz="8" w:color="434F69"/>
            </w:tcBorders>
            <w:shd w:val="clear" w:color="auto" w:fill="D9DCE1"/>
          </w:tcPr>
          <w:p>
            <w:pPr>
              <w:spacing w:after="0"/>
              <w:rPr>
                <w:sz w:val="24"/>
                <w:szCs w:val="24"/>
                <w:color w:val="auto"/>
              </w:rPr>
            </w:pPr>
          </w:p>
        </w:tc>
        <w:tc>
          <w:tcPr>
            <w:tcW w:w="88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2020</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400,000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898,896</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800,000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18,060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2,116,956</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Executive Vice President and</w:t>
            </w:r>
          </w:p>
        </w:tc>
        <w:tc>
          <w:tcPr>
            <w:tcW w:w="5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2019</w:t>
            </w:r>
          </w:p>
        </w:tc>
        <w:tc>
          <w:tcPr>
            <w:tcW w:w="7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396,000</w:t>
            </w:r>
          </w:p>
        </w:tc>
        <w:tc>
          <w:tcPr>
            <w:tcW w:w="90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w w:val="99"/>
              </w:rPr>
              <w:t>4,410,788</w:t>
            </w:r>
          </w:p>
        </w:tc>
        <w:tc>
          <w:tcPr>
            <w:tcW w:w="104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1,400,000</w:t>
            </w:r>
          </w:p>
        </w:tc>
        <w:tc>
          <w:tcPr>
            <w:tcW w:w="104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7"/>
              </w:rPr>
              <w:t>17,760</w:t>
            </w:r>
          </w:p>
        </w:tc>
        <w:tc>
          <w:tcPr>
            <w:tcW w:w="8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89"/>
              </w:rPr>
              <w:t>6,224,548</w:t>
            </w:r>
          </w:p>
        </w:tc>
        <w:tc>
          <w:tcPr>
            <w:tcW w:w="0" w:type="dxa"/>
            <w:vAlign w:val="bottom"/>
          </w:tcPr>
          <w:p>
            <w:pPr>
              <w:spacing w:after="0"/>
              <w:rPr>
                <w:sz w:val="1"/>
                <w:szCs w:val="1"/>
                <w:color w:val="auto"/>
              </w:rPr>
            </w:pPr>
          </w:p>
        </w:tc>
      </w:tr>
      <w:tr>
        <w:trPr>
          <w:trHeight w:val="250"/>
        </w:trPr>
        <w:tc>
          <w:tcPr>
            <w:tcW w:w="308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Chief Commercial Officer</w:t>
            </w:r>
          </w:p>
        </w:tc>
        <w:tc>
          <w:tcPr>
            <w:tcW w:w="540" w:type="dxa"/>
            <w:vAlign w:val="bottom"/>
            <w:tcBorders>
              <w:bottom w:val="single" w:sz="8" w:color="434F69"/>
              <w:right w:val="single" w:sz="8" w:color="434F69"/>
            </w:tcBorders>
          </w:tcPr>
          <w:p>
            <w:pPr>
              <w:spacing w:after="0"/>
              <w:rPr>
                <w:sz w:val="21"/>
                <w:szCs w:val="21"/>
                <w:color w:val="auto"/>
              </w:rPr>
            </w:pPr>
          </w:p>
        </w:tc>
        <w:tc>
          <w:tcPr>
            <w:tcW w:w="740" w:type="dxa"/>
            <w:vAlign w:val="bottom"/>
            <w:tcBorders>
              <w:bottom w:val="single" w:sz="8" w:color="434F69"/>
              <w:right w:val="single" w:sz="8" w:color="434F69"/>
            </w:tcBorders>
          </w:tcPr>
          <w:p>
            <w:pPr>
              <w:spacing w:after="0"/>
              <w:rPr>
                <w:sz w:val="21"/>
                <w:szCs w:val="21"/>
                <w:color w:val="auto"/>
              </w:rPr>
            </w:pPr>
          </w:p>
        </w:tc>
        <w:tc>
          <w:tcPr>
            <w:tcW w:w="900" w:type="dxa"/>
            <w:vAlign w:val="bottom"/>
            <w:tcBorders>
              <w:bottom w:val="single" w:sz="8" w:color="434F69"/>
              <w:right w:val="single" w:sz="8" w:color="434F69"/>
            </w:tcBorders>
          </w:tcPr>
          <w:p>
            <w:pPr>
              <w:spacing w:after="0"/>
              <w:rPr>
                <w:sz w:val="21"/>
                <w:szCs w:val="21"/>
                <w:color w:val="auto"/>
              </w:rPr>
            </w:pPr>
          </w:p>
        </w:tc>
        <w:tc>
          <w:tcPr>
            <w:tcW w:w="1040" w:type="dxa"/>
            <w:vAlign w:val="bottom"/>
            <w:tcBorders>
              <w:bottom w:val="single" w:sz="8" w:color="434F69"/>
              <w:right w:val="single" w:sz="8" w:color="434F69"/>
            </w:tcBorders>
          </w:tcPr>
          <w:p>
            <w:pPr>
              <w:spacing w:after="0"/>
              <w:rPr>
                <w:sz w:val="21"/>
                <w:szCs w:val="21"/>
                <w:color w:val="auto"/>
              </w:rPr>
            </w:pPr>
          </w:p>
        </w:tc>
        <w:tc>
          <w:tcPr>
            <w:tcW w:w="1040" w:type="dxa"/>
            <w:vAlign w:val="bottom"/>
            <w:tcBorders>
              <w:bottom w:val="single" w:sz="8" w:color="434F69"/>
              <w:right w:val="single" w:sz="8" w:color="434F69"/>
            </w:tcBorders>
          </w:tcPr>
          <w:p>
            <w:pPr>
              <w:spacing w:after="0"/>
              <w:rPr>
                <w:sz w:val="21"/>
                <w:szCs w:val="21"/>
                <w:color w:val="auto"/>
              </w:rPr>
            </w:pPr>
          </w:p>
        </w:tc>
        <w:tc>
          <w:tcPr>
            <w:tcW w:w="88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620" w:right="519" w:hanging="360"/>
        <w:spacing w:after="0" w:line="243" w:lineRule="auto"/>
        <w:tabs>
          <w:tab w:leader="none" w:pos="162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In October 2018, Mr. Chiang’s salary was increased from $400,000 to $600,000 in connection with his appointment to the CEO role. Salary amounts in the table for Mr. Chiang reflect a blended rate for 2018. In March 2019, the salaries for each of Messrs. Chandler and Goebel were increased from $375,000 to $400,000 in connection with their promotions to the executive vice president level. Salary amounts in the table for Messrs. Chandler and Goebel reflect a blended rate for 2019.</w:t>
      </w:r>
    </w:p>
    <w:p>
      <w:pPr>
        <w:spacing w:after="0" w:line="53" w:lineRule="exact"/>
        <w:rPr>
          <w:rFonts w:ascii="Arial" w:cs="Arial" w:eastAsia="Arial" w:hAnsi="Arial"/>
          <w:sz w:val="26"/>
          <w:szCs w:val="26"/>
          <w:color w:val="auto"/>
          <w:vertAlign w:val="superscript"/>
        </w:rPr>
      </w:pPr>
    </w:p>
    <w:p>
      <w:pPr>
        <w:ind w:left="1620" w:right="439" w:hanging="360"/>
        <w:spacing w:after="0" w:line="250" w:lineRule="auto"/>
        <w:tabs>
          <w:tab w:leader="none" w:pos="162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Grant date fair values are presented for (i) phantom unit grants awarded to Messrs. Chiang, Swanson, McGee, Chandler and Goebel in 2019 and 2020, (ii) phantom unit grants awarded to Messrs. Chiang, Swanson and McGee in 2016 (as amended in 2018) and 2018, (iii) a portion of an AAP Management Unit grant originally awarded to Mr. McGee in 2013 and amended in 2016 and in 2018, and (iv) the AAP Management Units and phantom units originally granted to Mr. Chiang in 2015 and amended in 2016 and in 2018. Dollar amounts in the table represent the aggregate fair value of phantom units and AAP Management Units awarded based on the probable outcome of underlying performance conditions</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39"/>
        <w:spacing w:after="0" w:line="306" w:lineRule="auto"/>
        <w:rPr>
          <w:sz w:val="20"/>
          <w:szCs w:val="20"/>
          <w:color w:val="auto"/>
        </w:rPr>
      </w:pPr>
      <w:r>
        <w:rPr>
          <w:rFonts w:ascii="Arial" w:cs="Arial" w:eastAsia="Arial" w:hAnsi="Arial"/>
          <w:sz w:val="17"/>
          <w:szCs w:val="17"/>
          <w:color w:val="auto"/>
        </w:rPr>
        <w:t>pursuant to FASB ASC Topic 718. See Note 18 to our Consolidated Financial Statements included in our 2020 Annual Report for further discussion regarding the calculation of grant date fair values.</w:t>
      </w:r>
    </w:p>
    <w:p>
      <w:pPr>
        <w:spacing w:after="0" w:line="1" w:lineRule="exact"/>
        <w:rPr>
          <w:sz w:val="20"/>
          <w:szCs w:val="20"/>
          <w:color w:val="auto"/>
        </w:rPr>
      </w:pPr>
    </w:p>
    <w:p>
      <w:pPr>
        <w:jc w:val="both"/>
        <w:ind w:left="1620" w:right="719"/>
        <w:spacing w:after="0" w:line="263" w:lineRule="auto"/>
        <w:rPr>
          <w:sz w:val="20"/>
          <w:szCs w:val="20"/>
          <w:color w:val="auto"/>
        </w:rPr>
      </w:pPr>
      <w:r>
        <w:rPr>
          <w:rFonts w:ascii="Arial" w:cs="Arial" w:eastAsia="Arial" w:hAnsi="Arial"/>
          <w:sz w:val="18"/>
          <w:szCs w:val="18"/>
          <w:color w:val="auto"/>
        </w:rPr>
        <w:t>For phantom unit grants awarded in March 2018, vesting was deemed probable of occurring on the grant date. Therefore, the maximum fair value of phantom unit grants awarded in March 2018 is the same as the value reported in the table.</w:t>
      </w:r>
    </w:p>
    <w:p>
      <w:pPr>
        <w:spacing w:after="0" w:line="35" w:lineRule="exact"/>
        <w:rPr>
          <w:sz w:val="20"/>
          <w:szCs w:val="20"/>
          <w:color w:val="auto"/>
        </w:rPr>
      </w:pPr>
    </w:p>
    <w:p>
      <w:pPr>
        <w:ind w:left="1620" w:right="419"/>
        <w:spacing w:after="0" w:line="255" w:lineRule="auto"/>
        <w:rPr>
          <w:sz w:val="20"/>
          <w:szCs w:val="20"/>
          <w:color w:val="auto"/>
        </w:rPr>
      </w:pPr>
      <w:r>
        <w:rPr>
          <w:rFonts w:ascii="Arial" w:cs="Arial" w:eastAsia="Arial" w:hAnsi="Arial"/>
          <w:sz w:val="18"/>
          <w:szCs w:val="18"/>
          <w:color w:val="auto"/>
        </w:rPr>
        <w:t>For Mr. Chiang’s August 2018 phantom unit award, one-third of the DERs were deemed probable of vesting on the grant date. The maximum fair value of phantom unit grants awarded to Mr. Chiang in August 2018, assuming that the highest level of performance conditions will be met, was $12,774,454. The maximum fair value of Mr. Chiang’s 2015 AAP Management Units as modified in 2018 (as discussed below) was $7,351,205 compared to a maximum fair value of $13,398,132 as calculated as of the original grant date.</w:t>
      </w:r>
    </w:p>
    <w:p>
      <w:pPr>
        <w:spacing w:after="0" w:line="57" w:lineRule="exact"/>
        <w:rPr>
          <w:sz w:val="20"/>
          <w:szCs w:val="20"/>
          <w:color w:val="auto"/>
        </w:rPr>
      </w:pPr>
    </w:p>
    <w:p>
      <w:pPr>
        <w:ind w:left="1620" w:right="579"/>
        <w:spacing w:after="0" w:line="259" w:lineRule="auto"/>
        <w:rPr>
          <w:sz w:val="20"/>
          <w:szCs w:val="20"/>
          <w:color w:val="auto"/>
        </w:rPr>
      </w:pPr>
      <w:r>
        <w:rPr>
          <w:rFonts w:ascii="Arial" w:cs="Arial" w:eastAsia="Arial" w:hAnsi="Arial"/>
          <w:sz w:val="18"/>
          <w:szCs w:val="18"/>
          <w:color w:val="auto"/>
        </w:rPr>
        <w:t>For phantom unit grants awarded in August 2019, 50% were deemed probable of vesting on the grant date. The maximum fair value of phantom unit grants awarded in August 2019, assuming that the highest level of performance conditions will be met, was $2,403,520 for Mr. Chiang and $961,485 for each of Messrs. Swanson, McGee, Chandler and Goebel.</w:t>
      </w:r>
    </w:p>
    <w:p>
      <w:pPr>
        <w:spacing w:after="0" w:line="38" w:lineRule="exact"/>
        <w:rPr>
          <w:sz w:val="20"/>
          <w:szCs w:val="20"/>
          <w:color w:val="auto"/>
        </w:rPr>
      </w:pPr>
    </w:p>
    <w:p>
      <w:pPr>
        <w:ind w:left="1620" w:right="519"/>
        <w:spacing w:after="0" w:line="259" w:lineRule="auto"/>
        <w:rPr>
          <w:sz w:val="20"/>
          <w:szCs w:val="20"/>
          <w:color w:val="auto"/>
        </w:rPr>
      </w:pPr>
      <w:r>
        <w:rPr>
          <w:rFonts w:ascii="Arial" w:cs="Arial" w:eastAsia="Arial" w:hAnsi="Arial"/>
          <w:sz w:val="18"/>
          <w:szCs w:val="18"/>
          <w:color w:val="auto"/>
        </w:rPr>
        <w:t>For phantom unit grants awarded in November 2019, 50% were deemed probable of vesting on the grant date. The maximum fair value of phantom unit grants awarded in November 2019, assuming that the highest level of performance conditions will be met, was $6,865,000 for each of Messrs. Chandler and Goebel.</w:t>
      </w:r>
    </w:p>
    <w:p>
      <w:pPr>
        <w:spacing w:after="0" w:line="38" w:lineRule="exact"/>
        <w:rPr>
          <w:sz w:val="20"/>
          <w:szCs w:val="20"/>
          <w:color w:val="auto"/>
        </w:rPr>
      </w:pPr>
    </w:p>
    <w:p>
      <w:pPr>
        <w:ind w:left="1620" w:right="419"/>
        <w:spacing w:after="0" w:line="259" w:lineRule="auto"/>
        <w:rPr>
          <w:sz w:val="20"/>
          <w:szCs w:val="20"/>
          <w:color w:val="auto"/>
        </w:rPr>
      </w:pPr>
      <w:r>
        <w:rPr>
          <w:rFonts w:ascii="Arial" w:cs="Arial" w:eastAsia="Arial" w:hAnsi="Arial"/>
          <w:sz w:val="18"/>
          <w:szCs w:val="18"/>
          <w:color w:val="auto"/>
        </w:rPr>
        <w:t>For phantom unit grants awarded in August 2020, 75% were deemed probable of vesting on the grant date. The maximum fair value of phantom unit grants awarded in August 2020, assuming that the highest level of performance conditions will be met, was $4,494,363 for Mr. Chiang and $1,797,793 for each of Messrs. Swanson, McGee, Chandler and Goebel.</w:t>
      </w:r>
    </w:p>
    <w:p>
      <w:pPr>
        <w:spacing w:after="0" w:line="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amount presented for Mr. Chiang for 2018 includes aggregate net incremental fair value of</w:t>
      </w:r>
    </w:p>
    <w:p>
      <w:pPr>
        <w:spacing w:after="0" w:line="23" w:lineRule="exact"/>
        <w:rPr>
          <w:sz w:val="20"/>
          <w:szCs w:val="20"/>
          <w:color w:val="auto"/>
        </w:rPr>
      </w:pPr>
    </w:p>
    <w:p>
      <w:pPr>
        <w:ind w:left="1620" w:right="639"/>
        <w:spacing w:after="0" w:line="253" w:lineRule="auto"/>
        <w:rPr>
          <w:sz w:val="20"/>
          <w:szCs w:val="20"/>
          <w:color w:val="auto"/>
        </w:rPr>
      </w:pPr>
      <w:r>
        <w:rPr>
          <w:rFonts w:ascii="Arial" w:cs="Arial" w:eastAsia="Arial" w:hAnsi="Arial"/>
          <w:sz w:val="18"/>
          <w:szCs w:val="18"/>
          <w:color w:val="auto"/>
        </w:rPr>
        <w:t>$4,133,687 resulting from the modification in March 2018 of (i) AAP Management Units originally granted in August 2015 and subsequently modified in August 2016, (ii) phantom units originally granted in August 2015 and subsequently modified in August 2016 and (iii) phantom units originally granted in August 2016. The incremental fair value represents the net increase in fair value of the modified awards relative to the fair value on the original grant dates.</w:t>
      </w:r>
    </w:p>
    <w:p>
      <w:pPr>
        <w:spacing w:after="0" w:line="42" w:lineRule="exact"/>
        <w:rPr>
          <w:sz w:val="20"/>
          <w:szCs w:val="20"/>
          <w:color w:val="auto"/>
        </w:rPr>
      </w:pPr>
    </w:p>
    <w:p>
      <w:pPr>
        <w:ind w:left="1620" w:right="539"/>
        <w:spacing w:after="0" w:line="259" w:lineRule="auto"/>
        <w:rPr>
          <w:sz w:val="20"/>
          <w:szCs w:val="20"/>
          <w:color w:val="auto"/>
        </w:rPr>
      </w:pPr>
      <w:r>
        <w:rPr>
          <w:rFonts w:ascii="Arial" w:cs="Arial" w:eastAsia="Arial" w:hAnsi="Arial"/>
          <w:sz w:val="18"/>
          <w:szCs w:val="18"/>
          <w:color w:val="auto"/>
        </w:rPr>
        <w:t>The amount presented for Mr. Swanson for 2018 includes incremental fair value of $893,531 resulting from the modification in March 2018 of phantom units originally granted in August 2016. The incremental fair value represents the increase in fair value of the modified awards relative to the fair value on the original grant date.</w:t>
      </w:r>
    </w:p>
    <w:p>
      <w:pPr>
        <w:spacing w:after="0" w:line="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amount presented for Mr. McGee for 2018 includes aggregate net incremental fair value of</w:t>
      </w:r>
    </w:p>
    <w:p>
      <w:pPr>
        <w:spacing w:after="0" w:line="23" w:lineRule="exact"/>
        <w:rPr>
          <w:sz w:val="20"/>
          <w:szCs w:val="20"/>
          <w:color w:val="auto"/>
        </w:rPr>
      </w:pPr>
    </w:p>
    <w:p>
      <w:pPr>
        <w:ind w:left="1620" w:right="479"/>
        <w:spacing w:after="0" w:line="253" w:lineRule="auto"/>
        <w:rPr>
          <w:sz w:val="20"/>
          <w:szCs w:val="20"/>
          <w:color w:val="auto"/>
        </w:rPr>
      </w:pPr>
      <w:r>
        <w:rPr>
          <w:rFonts w:ascii="Arial" w:cs="Arial" w:eastAsia="Arial" w:hAnsi="Arial"/>
          <w:sz w:val="18"/>
          <w:szCs w:val="18"/>
          <w:color w:val="auto"/>
        </w:rPr>
        <w:t>$584,773 resulting from the modification in March 2018 of (i) AAP Management Units originally granted in 2013 and subsequently modified in August 2016 and (ii) phantom units originally granted in August 2016. The incremental fair value represents the net increase in fair value of the modified awards relative to the fair value on the original grant dates.</w:t>
      </w:r>
    </w:p>
    <w:p>
      <w:pPr>
        <w:spacing w:after="0" w:line="58" w:lineRule="exact"/>
        <w:rPr>
          <w:sz w:val="20"/>
          <w:szCs w:val="20"/>
          <w:color w:val="auto"/>
        </w:rPr>
      </w:pPr>
    </w:p>
    <w:p>
      <w:pPr>
        <w:ind w:left="1620" w:right="479"/>
        <w:spacing w:after="0" w:line="262" w:lineRule="auto"/>
        <w:rPr>
          <w:sz w:val="20"/>
          <w:szCs w:val="20"/>
          <w:color w:val="auto"/>
        </w:rPr>
      </w:pPr>
      <w:r>
        <w:rPr>
          <w:rFonts w:ascii="Arial" w:cs="Arial" w:eastAsia="Arial" w:hAnsi="Arial"/>
          <w:sz w:val="18"/>
          <w:szCs w:val="18"/>
          <w:color w:val="auto"/>
        </w:rPr>
        <w:t>As referenced previously, Mr. Pefanis is a co-founder and substantial equity owner and for the last several years, despite being eligible for equity awards, has requested to not participate in the long-term incentive program.</w:t>
      </w:r>
    </w:p>
    <w:p>
      <w:pPr>
        <w:spacing w:after="0" w:line="38" w:lineRule="exact"/>
        <w:rPr>
          <w:sz w:val="20"/>
          <w:szCs w:val="20"/>
          <w:color w:val="auto"/>
        </w:rPr>
      </w:pPr>
    </w:p>
    <w:p>
      <w:pPr>
        <w:ind w:left="1620" w:right="639" w:hanging="360"/>
        <w:spacing w:after="0" w:line="226"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2020 includes $17,100 in matching contributions for each of the Named Executive Officers. The remaining amount represents premium payments on behalf of such Named Executive Officer for group term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100330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38"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2360" w:type="dxa"/>
            <w:vAlign w:val="bottom"/>
            <w:tcBorders>
              <w:left w:val="single" w:sz="8" w:color="434F69"/>
              <w:right w:val="single" w:sz="8" w:color="434F69"/>
            </w:tcBorders>
            <w:shd w:val="clear" w:color="auto" w:fill="434F69"/>
          </w:tcPr>
          <w:p>
            <w:pPr>
              <w:spacing w:after="0"/>
              <w:rPr>
                <w:sz w:val="16"/>
                <w:szCs w:val="16"/>
                <w:color w:val="auto"/>
              </w:rPr>
            </w:pPr>
          </w:p>
        </w:tc>
        <w:tc>
          <w:tcPr>
            <w:tcW w:w="900" w:type="dxa"/>
            <w:vAlign w:val="bottom"/>
            <w:tcBorders>
              <w:right w:val="single" w:sz="8" w:color="434F69"/>
            </w:tcBorders>
            <w:shd w:val="clear" w:color="auto" w:fill="434F69"/>
          </w:tcPr>
          <w:p>
            <w:pPr>
              <w:spacing w:after="0"/>
              <w:rPr>
                <w:sz w:val="16"/>
                <w:szCs w:val="16"/>
                <w:color w:val="auto"/>
              </w:rPr>
            </w:pPr>
          </w:p>
        </w:tc>
        <w:tc>
          <w:tcPr>
            <w:tcW w:w="80" w:type="dxa"/>
            <w:vAlign w:val="bottom"/>
            <w:shd w:val="clear" w:color="auto" w:fill="434F69"/>
          </w:tcPr>
          <w:p>
            <w:pPr>
              <w:spacing w:after="0"/>
              <w:rPr>
                <w:sz w:val="16"/>
                <w:szCs w:val="16"/>
                <w:color w:val="auto"/>
              </w:rPr>
            </w:pPr>
          </w:p>
        </w:tc>
        <w:tc>
          <w:tcPr>
            <w:tcW w:w="780" w:type="dxa"/>
            <w:vAlign w:val="bottom"/>
            <w:tcBorders>
              <w:right w:val="single" w:sz="8" w:color="434F69"/>
            </w:tcBorders>
            <w:shd w:val="clear" w:color="auto" w:fill="434F69"/>
          </w:tcPr>
          <w:p>
            <w:pPr>
              <w:spacing w:after="0"/>
              <w:rPr>
                <w:sz w:val="16"/>
                <w:szCs w:val="16"/>
                <w:color w:val="auto"/>
              </w:rPr>
            </w:pPr>
          </w:p>
        </w:tc>
        <w:tc>
          <w:tcPr>
            <w:tcW w:w="940" w:type="dxa"/>
            <w:vAlign w:val="bottom"/>
            <w:tcBorders>
              <w:right w:val="single" w:sz="8" w:color="434F69"/>
            </w:tcBorders>
            <w:shd w:val="clear" w:color="auto" w:fill="434F69"/>
          </w:tcPr>
          <w:p>
            <w:pPr>
              <w:spacing w:after="0"/>
              <w:rPr>
                <w:sz w:val="16"/>
                <w:szCs w:val="16"/>
                <w:color w:val="auto"/>
              </w:rPr>
            </w:pPr>
          </w:p>
        </w:tc>
        <w:tc>
          <w:tcPr>
            <w:tcW w:w="940" w:type="dxa"/>
            <w:vAlign w:val="bottom"/>
            <w:tcBorders>
              <w:right w:val="single" w:sz="8" w:color="434F69"/>
            </w:tcBorders>
            <w:shd w:val="clear" w:color="auto" w:fill="434F69"/>
          </w:tcPr>
          <w:p>
            <w:pPr>
              <w:spacing w:after="0"/>
              <w:rPr>
                <w:sz w:val="16"/>
                <w:szCs w:val="16"/>
                <w:color w:val="auto"/>
              </w:rPr>
            </w:pPr>
          </w:p>
        </w:tc>
        <w:tc>
          <w:tcPr>
            <w:tcW w:w="80" w:type="dxa"/>
            <w:vAlign w:val="bottom"/>
            <w:shd w:val="clear" w:color="auto" w:fill="434F69"/>
          </w:tcPr>
          <w:p>
            <w:pPr>
              <w:spacing w:after="0"/>
              <w:rPr>
                <w:sz w:val="16"/>
                <w:szCs w:val="16"/>
                <w:color w:val="auto"/>
              </w:rPr>
            </w:pPr>
          </w:p>
        </w:tc>
        <w:tc>
          <w:tcPr>
            <w:tcW w:w="1020" w:type="dxa"/>
            <w:vAlign w:val="bottom"/>
            <w:tcBorders>
              <w:right w:val="single" w:sz="8" w:color="434F69"/>
            </w:tcBorders>
            <w:shd w:val="clear" w:color="auto" w:fill="434F69"/>
          </w:tcPr>
          <w:p>
            <w:pPr>
              <w:jc w:val="center"/>
              <w:ind w:right="59"/>
              <w:spacing w:after="0"/>
              <w:rPr>
                <w:sz w:val="20"/>
                <w:szCs w:val="20"/>
                <w:color w:val="auto"/>
              </w:rPr>
            </w:pPr>
            <w:r>
              <w:rPr>
                <w:rFonts w:ascii="Arial" w:cs="Arial" w:eastAsia="Arial" w:hAnsi="Arial"/>
                <w:sz w:val="14"/>
                <w:szCs w:val="14"/>
                <w:b w:val="1"/>
                <w:bCs w:val="1"/>
                <w:color w:val="FFFFFF"/>
                <w:w w:val="94"/>
              </w:rPr>
              <w:t>All Other</w:t>
            </w:r>
          </w:p>
        </w:tc>
        <w:tc>
          <w:tcPr>
            <w:tcW w:w="112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Grant Date</w:t>
            </w:r>
          </w:p>
        </w:tc>
        <w:tc>
          <w:tcPr>
            <w:tcW w:w="0" w:type="dxa"/>
            <w:vAlign w:val="bottom"/>
          </w:tcPr>
          <w:p>
            <w:pPr>
              <w:spacing w:after="0"/>
              <w:rPr>
                <w:sz w:val="1"/>
                <w:szCs w:val="1"/>
                <w:color w:val="auto"/>
              </w:rPr>
            </w:pPr>
          </w:p>
        </w:tc>
      </w:tr>
      <w:tr>
        <w:trPr>
          <w:trHeight w:val="148"/>
        </w:trPr>
        <w:tc>
          <w:tcPr>
            <w:tcW w:w="2360" w:type="dxa"/>
            <w:vAlign w:val="bottom"/>
            <w:tcBorders>
              <w:left w:val="single" w:sz="8" w:color="434F69"/>
              <w:right w:val="single" w:sz="8" w:color="434F69"/>
            </w:tcBorders>
            <w:shd w:val="clear" w:color="auto" w:fill="434F69"/>
          </w:tcPr>
          <w:p>
            <w:pPr>
              <w:spacing w:after="0"/>
              <w:rPr>
                <w:sz w:val="12"/>
                <w:szCs w:val="12"/>
                <w:color w:val="auto"/>
              </w:rPr>
            </w:pPr>
          </w:p>
        </w:tc>
        <w:tc>
          <w:tcPr>
            <w:tcW w:w="900" w:type="dxa"/>
            <w:vAlign w:val="bottom"/>
            <w:tcBorders>
              <w:right w:val="single" w:sz="8" w:color="434F69"/>
            </w:tcBorders>
            <w:shd w:val="clear" w:color="auto" w:fill="434F69"/>
          </w:tcPr>
          <w:p>
            <w:pPr>
              <w:spacing w:after="0"/>
              <w:rPr>
                <w:sz w:val="12"/>
                <w:szCs w:val="12"/>
                <w:color w:val="auto"/>
              </w:rPr>
            </w:pPr>
          </w:p>
        </w:tc>
        <w:tc>
          <w:tcPr>
            <w:tcW w:w="80" w:type="dxa"/>
            <w:vAlign w:val="bottom"/>
            <w:shd w:val="clear" w:color="auto" w:fill="434F69"/>
          </w:tcPr>
          <w:p>
            <w:pPr>
              <w:spacing w:after="0"/>
              <w:rPr>
                <w:sz w:val="12"/>
                <w:szCs w:val="12"/>
                <w:color w:val="auto"/>
              </w:rPr>
            </w:pPr>
          </w:p>
        </w:tc>
        <w:tc>
          <w:tcPr>
            <w:tcW w:w="2660" w:type="dxa"/>
            <w:vAlign w:val="bottom"/>
            <w:tcBorders>
              <w:right w:val="single" w:sz="8" w:color="434F69"/>
            </w:tcBorders>
            <w:gridSpan w:val="3"/>
            <w:vMerge w:val="restart"/>
            <w:shd w:val="clear" w:color="auto" w:fill="434F69"/>
          </w:tcPr>
          <w:p>
            <w:pPr>
              <w:jc w:val="right"/>
              <w:ind w:right="333"/>
              <w:spacing w:after="0"/>
              <w:rPr>
                <w:sz w:val="20"/>
                <w:szCs w:val="20"/>
                <w:color w:val="auto"/>
              </w:rPr>
            </w:pPr>
            <w:r>
              <w:rPr>
                <w:rFonts w:ascii="Arial" w:cs="Arial" w:eastAsia="Arial" w:hAnsi="Arial"/>
                <w:sz w:val="14"/>
                <w:szCs w:val="14"/>
                <w:b w:val="1"/>
                <w:bCs w:val="1"/>
                <w:color w:val="FFFFFF"/>
              </w:rPr>
              <w:t>Estimated Future Payouts Under</w:t>
            </w:r>
          </w:p>
        </w:tc>
        <w:tc>
          <w:tcPr>
            <w:tcW w:w="80" w:type="dxa"/>
            <w:vAlign w:val="bottom"/>
            <w:shd w:val="clear" w:color="auto" w:fill="434F69"/>
          </w:tcPr>
          <w:p>
            <w:pPr>
              <w:spacing w:after="0"/>
              <w:rPr>
                <w:sz w:val="12"/>
                <w:szCs w:val="12"/>
                <w:color w:val="auto"/>
              </w:rPr>
            </w:pPr>
          </w:p>
        </w:tc>
        <w:tc>
          <w:tcPr>
            <w:tcW w:w="1020" w:type="dxa"/>
            <w:vAlign w:val="bottom"/>
            <w:tcBorders>
              <w:right w:val="single" w:sz="8" w:color="434F69"/>
            </w:tcBorders>
            <w:shd w:val="clear" w:color="auto" w:fill="434F69"/>
          </w:tcPr>
          <w:p>
            <w:pPr>
              <w:jc w:val="center"/>
              <w:ind w:right="39"/>
              <w:spacing w:after="0" w:line="149" w:lineRule="exact"/>
              <w:rPr>
                <w:sz w:val="20"/>
                <w:szCs w:val="20"/>
                <w:color w:val="auto"/>
              </w:rPr>
            </w:pPr>
            <w:r>
              <w:rPr>
                <w:rFonts w:ascii="Arial" w:cs="Arial" w:eastAsia="Arial" w:hAnsi="Arial"/>
                <w:sz w:val="14"/>
                <w:szCs w:val="14"/>
                <w:b w:val="1"/>
                <w:bCs w:val="1"/>
                <w:color w:val="FFFFFF"/>
                <w:w w:val="88"/>
              </w:rPr>
              <w:t>Stock Awards:</w:t>
            </w:r>
          </w:p>
        </w:tc>
        <w:tc>
          <w:tcPr>
            <w:tcW w:w="1120" w:type="dxa"/>
            <w:vAlign w:val="bottom"/>
            <w:tcBorders>
              <w:right w:val="single" w:sz="8" w:color="434F69"/>
            </w:tcBorders>
            <w:vMerge w:val="continue"/>
            <w:shd w:val="clear" w:color="auto" w:fill="434F69"/>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360" w:type="dxa"/>
            <w:vAlign w:val="bottom"/>
            <w:tcBorders>
              <w:left w:val="single" w:sz="8" w:color="434F69"/>
              <w:right w:val="single" w:sz="8" w:color="434F69"/>
            </w:tcBorders>
            <w:shd w:val="clear" w:color="auto" w:fill="434F69"/>
          </w:tcPr>
          <w:p>
            <w:pPr>
              <w:spacing w:after="0"/>
              <w:rPr>
                <w:sz w:val="5"/>
                <w:szCs w:val="5"/>
                <w:color w:val="auto"/>
              </w:rPr>
            </w:pPr>
          </w:p>
        </w:tc>
        <w:tc>
          <w:tcPr>
            <w:tcW w:w="900" w:type="dxa"/>
            <w:vAlign w:val="bottom"/>
            <w:tcBorders>
              <w:right w:val="single" w:sz="8" w:color="434F69"/>
            </w:tcBorders>
            <w:shd w:val="clear" w:color="auto" w:fill="434F69"/>
          </w:tcPr>
          <w:p>
            <w:pPr>
              <w:spacing w:after="0"/>
              <w:rPr>
                <w:sz w:val="5"/>
                <w:szCs w:val="5"/>
                <w:color w:val="auto"/>
              </w:rPr>
            </w:pPr>
          </w:p>
        </w:tc>
        <w:tc>
          <w:tcPr>
            <w:tcW w:w="80" w:type="dxa"/>
            <w:vAlign w:val="bottom"/>
            <w:shd w:val="clear" w:color="auto" w:fill="434F69"/>
          </w:tcPr>
          <w:p>
            <w:pPr>
              <w:spacing w:after="0"/>
              <w:rPr>
                <w:sz w:val="5"/>
                <w:szCs w:val="5"/>
                <w:color w:val="auto"/>
              </w:rPr>
            </w:pPr>
          </w:p>
        </w:tc>
        <w:tc>
          <w:tcPr>
            <w:tcW w:w="2660" w:type="dxa"/>
            <w:vAlign w:val="bottom"/>
            <w:tcBorders>
              <w:right w:val="single" w:sz="8" w:color="434F69"/>
            </w:tcBorders>
            <w:gridSpan w:val="3"/>
            <w:vMerge w:val="continue"/>
            <w:shd w:val="clear" w:color="auto" w:fill="434F69"/>
          </w:tcPr>
          <w:p>
            <w:pPr>
              <w:spacing w:after="0"/>
              <w:rPr>
                <w:sz w:val="5"/>
                <w:szCs w:val="5"/>
                <w:color w:val="auto"/>
              </w:rPr>
            </w:pPr>
          </w:p>
        </w:tc>
        <w:tc>
          <w:tcPr>
            <w:tcW w:w="80" w:type="dxa"/>
            <w:vAlign w:val="bottom"/>
            <w:shd w:val="clear" w:color="auto" w:fill="434F69"/>
          </w:tcPr>
          <w:p>
            <w:pPr>
              <w:spacing w:after="0"/>
              <w:rPr>
                <w:sz w:val="5"/>
                <w:szCs w:val="5"/>
                <w:color w:val="auto"/>
              </w:rPr>
            </w:pPr>
          </w:p>
        </w:tc>
        <w:tc>
          <w:tcPr>
            <w:tcW w:w="1020" w:type="dxa"/>
            <w:vAlign w:val="bottom"/>
            <w:tcBorders>
              <w:right w:val="single" w:sz="8" w:color="434F69"/>
            </w:tcBorders>
            <w:vMerge w:val="restart"/>
            <w:shd w:val="clear" w:color="auto" w:fill="434F69"/>
          </w:tcPr>
          <w:p>
            <w:pPr>
              <w:jc w:val="center"/>
              <w:ind w:right="59"/>
              <w:spacing w:after="0"/>
              <w:rPr>
                <w:sz w:val="20"/>
                <w:szCs w:val="20"/>
                <w:color w:val="auto"/>
              </w:rPr>
            </w:pPr>
            <w:r>
              <w:rPr>
                <w:rFonts w:ascii="Arial" w:cs="Arial" w:eastAsia="Arial" w:hAnsi="Arial"/>
                <w:sz w:val="14"/>
                <w:szCs w:val="14"/>
                <w:b w:val="1"/>
                <w:bCs w:val="1"/>
                <w:color w:val="FFFFFF"/>
                <w:w w:val="93"/>
              </w:rPr>
              <w:t>Number Of</w:t>
            </w:r>
          </w:p>
        </w:tc>
        <w:tc>
          <w:tcPr>
            <w:tcW w:w="112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Fair Value</w:t>
            </w:r>
          </w:p>
        </w:tc>
        <w:tc>
          <w:tcPr>
            <w:tcW w:w="0" w:type="dxa"/>
            <w:vAlign w:val="bottom"/>
          </w:tcPr>
          <w:p>
            <w:pPr>
              <w:spacing w:after="0"/>
              <w:rPr>
                <w:sz w:val="1"/>
                <w:szCs w:val="1"/>
                <w:color w:val="auto"/>
              </w:rPr>
            </w:pPr>
          </w:p>
        </w:tc>
      </w:tr>
      <w:tr>
        <w:trPr>
          <w:trHeight w:val="95"/>
        </w:trPr>
        <w:tc>
          <w:tcPr>
            <w:tcW w:w="2360" w:type="dxa"/>
            <w:vAlign w:val="bottom"/>
            <w:tcBorders>
              <w:left w:val="single" w:sz="8" w:color="434F69"/>
              <w:right w:val="single" w:sz="8" w:color="434F69"/>
            </w:tcBorders>
            <w:shd w:val="clear" w:color="auto" w:fill="434F69"/>
          </w:tcPr>
          <w:p>
            <w:pPr>
              <w:spacing w:after="0"/>
              <w:rPr>
                <w:sz w:val="8"/>
                <w:szCs w:val="8"/>
                <w:color w:val="auto"/>
              </w:rPr>
            </w:pPr>
          </w:p>
        </w:tc>
        <w:tc>
          <w:tcPr>
            <w:tcW w:w="900" w:type="dxa"/>
            <w:vAlign w:val="bottom"/>
            <w:tcBorders>
              <w:right w:val="single" w:sz="8" w:color="434F69"/>
            </w:tcBorders>
            <w:shd w:val="clear" w:color="auto" w:fill="434F69"/>
          </w:tcPr>
          <w:p>
            <w:pPr>
              <w:spacing w:after="0"/>
              <w:rPr>
                <w:sz w:val="8"/>
                <w:szCs w:val="8"/>
                <w:color w:val="auto"/>
              </w:rPr>
            </w:pPr>
          </w:p>
        </w:tc>
        <w:tc>
          <w:tcPr>
            <w:tcW w:w="80" w:type="dxa"/>
            <w:vAlign w:val="bottom"/>
            <w:shd w:val="clear" w:color="auto" w:fill="434F69"/>
          </w:tcPr>
          <w:p>
            <w:pPr>
              <w:spacing w:after="0"/>
              <w:rPr>
                <w:sz w:val="8"/>
                <w:szCs w:val="8"/>
                <w:color w:val="auto"/>
              </w:rPr>
            </w:pPr>
          </w:p>
        </w:tc>
        <w:tc>
          <w:tcPr>
            <w:tcW w:w="2660" w:type="dxa"/>
            <w:vAlign w:val="bottom"/>
            <w:tcBorders>
              <w:right w:val="single" w:sz="8" w:color="434F69"/>
            </w:tcBorders>
            <w:gridSpan w:val="3"/>
            <w:vMerge w:val="restart"/>
            <w:shd w:val="clear" w:color="auto" w:fill="434F69"/>
          </w:tcPr>
          <w:p>
            <w:pPr>
              <w:jc w:val="right"/>
              <w:ind w:right="273"/>
              <w:spacing w:after="0"/>
              <w:rPr>
                <w:sz w:val="20"/>
                <w:szCs w:val="20"/>
                <w:color w:val="auto"/>
              </w:rPr>
            </w:pPr>
            <w:r>
              <w:rPr>
                <w:rFonts w:ascii="Arial" w:cs="Arial" w:eastAsia="Arial" w:hAnsi="Arial"/>
                <w:sz w:val="14"/>
                <w:szCs w:val="14"/>
                <w:b w:val="1"/>
                <w:bCs w:val="1"/>
                <w:color w:val="FFFFFF"/>
              </w:rPr>
              <w:t>Non-Equity Incentive Plan Awards</w:t>
            </w:r>
          </w:p>
        </w:tc>
        <w:tc>
          <w:tcPr>
            <w:tcW w:w="80" w:type="dxa"/>
            <w:vAlign w:val="bottom"/>
            <w:shd w:val="clear" w:color="auto" w:fill="434F69"/>
          </w:tcPr>
          <w:p>
            <w:pPr>
              <w:spacing w:after="0"/>
              <w:rPr>
                <w:sz w:val="8"/>
                <w:szCs w:val="8"/>
                <w:color w:val="auto"/>
              </w:rPr>
            </w:pPr>
          </w:p>
        </w:tc>
        <w:tc>
          <w:tcPr>
            <w:tcW w:w="1020" w:type="dxa"/>
            <w:vAlign w:val="bottom"/>
            <w:tcBorders>
              <w:right w:val="single" w:sz="8" w:color="434F69"/>
            </w:tcBorders>
            <w:vMerge w:val="continue"/>
            <w:shd w:val="clear" w:color="auto" w:fill="434F69"/>
          </w:tcPr>
          <w:p>
            <w:pPr>
              <w:spacing w:after="0"/>
              <w:rPr>
                <w:sz w:val="8"/>
                <w:szCs w:val="8"/>
                <w:color w:val="auto"/>
              </w:rPr>
            </w:pPr>
          </w:p>
        </w:tc>
        <w:tc>
          <w:tcPr>
            <w:tcW w:w="1120" w:type="dxa"/>
            <w:vAlign w:val="bottom"/>
            <w:tcBorders>
              <w:right w:val="single" w:sz="8" w:color="434F69"/>
            </w:tcBorders>
            <w:vMerge w:val="continue"/>
            <w:shd w:val="clear" w:color="auto" w:fill="434F69"/>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360" w:type="dxa"/>
            <w:vAlign w:val="bottom"/>
            <w:tcBorders>
              <w:left w:val="single" w:sz="8" w:color="434F69"/>
              <w:bottom w:val="single" w:sz="8" w:color="434F69"/>
              <w:right w:val="single" w:sz="8" w:color="434F69"/>
            </w:tcBorders>
            <w:shd w:val="clear" w:color="auto" w:fill="434F69"/>
          </w:tcPr>
          <w:p>
            <w:pPr>
              <w:spacing w:after="0"/>
              <w:rPr>
                <w:sz w:val="10"/>
                <w:szCs w:val="10"/>
                <w:color w:val="auto"/>
              </w:rPr>
            </w:pPr>
          </w:p>
        </w:tc>
        <w:tc>
          <w:tcPr>
            <w:tcW w:w="900" w:type="dxa"/>
            <w:vAlign w:val="bottom"/>
            <w:tcBorders>
              <w:bottom w:val="single" w:sz="8" w:color="434F69"/>
              <w:right w:val="single" w:sz="8" w:color="434F69"/>
            </w:tcBorders>
            <w:shd w:val="clear" w:color="auto" w:fill="434F69"/>
          </w:tcPr>
          <w:p>
            <w:pPr>
              <w:spacing w:after="0"/>
              <w:rPr>
                <w:sz w:val="10"/>
                <w:szCs w:val="10"/>
                <w:color w:val="auto"/>
              </w:rPr>
            </w:pPr>
          </w:p>
        </w:tc>
        <w:tc>
          <w:tcPr>
            <w:tcW w:w="80" w:type="dxa"/>
            <w:vAlign w:val="bottom"/>
            <w:tcBorders>
              <w:bottom w:val="single" w:sz="8" w:color="434F69"/>
            </w:tcBorders>
            <w:shd w:val="clear" w:color="auto" w:fill="434F69"/>
          </w:tcPr>
          <w:p>
            <w:pPr>
              <w:spacing w:after="0"/>
              <w:rPr>
                <w:sz w:val="10"/>
                <w:szCs w:val="10"/>
                <w:color w:val="auto"/>
              </w:rPr>
            </w:pPr>
          </w:p>
        </w:tc>
        <w:tc>
          <w:tcPr>
            <w:tcW w:w="2660" w:type="dxa"/>
            <w:vAlign w:val="bottom"/>
            <w:tcBorders>
              <w:bottom w:val="single" w:sz="8" w:color="434F69"/>
              <w:right w:val="single" w:sz="8" w:color="434F69"/>
            </w:tcBorders>
            <w:gridSpan w:val="3"/>
            <w:vMerge w:val="continue"/>
            <w:shd w:val="clear" w:color="auto" w:fill="434F69"/>
          </w:tcPr>
          <w:p>
            <w:pPr>
              <w:spacing w:after="0"/>
              <w:rPr>
                <w:sz w:val="10"/>
                <w:szCs w:val="10"/>
                <w:color w:val="auto"/>
              </w:rPr>
            </w:pPr>
          </w:p>
        </w:tc>
        <w:tc>
          <w:tcPr>
            <w:tcW w:w="80" w:type="dxa"/>
            <w:vAlign w:val="bottom"/>
            <w:tcBorders>
              <w:bottom w:val="single" w:sz="8" w:color="434F69"/>
            </w:tcBorders>
            <w:shd w:val="clear" w:color="auto" w:fill="434F69"/>
          </w:tcPr>
          <w:p>
            <w:pPr>
              <w:spacing w:after="0"/>
              <w:rPr>
                <w:sz w:val="10"/>
                <w:szCs w:val="10"/>
                <w:color w:val="auto"/>
              </w:rPr>
            </w:pPr>
          </w:p>
        </w:tc>
        <w:tc>
          <w:tcPr>
            <w:tcW w:w="1020" w:type="dxa"/>
            <w:vAlign w:val="bottom"/>
            <w:tcBorders>
              <w:bottom w:val="single" w:sz="8" w:color="434F69"/>
              <w:right w:val="single" w:sz="8" w:color="434F69"/>
            </w:tcBorders>
            <w:vMerge w:val="restart"/>
            <w:shd w:val="clear" w:color="auto" w:fill="434F69"/>
          </w:tcPr>
          <w:p>
            <w:pPr>
              <w:jc w:val="center"/>
              <w:ind w:right="39"/>
              <w:spacing w:after="0"/>
              <w:rPr>
                <w:sz w:val="20"/>
                <w:szCs w:val="20"/>
                <w:color w:val="auto"/>
              </w:rPr>
            </w:pPr>
            <w:r>
              <w:rPr>
                <w:rFonts w:ascii="Arial" w:cs="Arial" w:eastAsia="Arial" w:hAnsi="Arial"/>
                <w:sz w:val="14"/>
                <w:szCs w:val="14"/>
                <w:b w:val="1"/>
                <w:bCs w:val="1"/>
                <w:color w:val="FFFFFF"/>
                <w:w w:val="87"/>
              </w:rPr>
              <w:t>Shares Of</w:t>
            </w:r>
          </w:p>
        </w:tc>
        <w:tc>
          <w:tcPr>
            <w:tcW w:w="1120" w:type="dxa"/>
            <w:vAlign w:val="bottom"/>
            <w:tcBorders>
              <w:bottom w:val="single" w:sz="8" w:color="434F69"/>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Of Stock and</w:t>
            </w:r>
          </w:p>
        </w:tc>
        <w:tc>
          <w:tcPr>
            <w:tcW w:w="0" w:type="dxa"/>
            <w:vAlign w:val="bottom"/>
          </w:tcPr>
          <w:p>
            <w:pPr>
              <w:spacing w:after="0"/>
              <w:rPr>
                <w:sz w:val="1"/>
                <w:szCs w:val="1"/>
                <w:color w:val="auto"/>
              </w:rPr>
            </w:pPr>
          </w:p>
        </w:tc>
      </w:tr>
      <w:tr>
        <w:trPr>
          <w:trHeight w:val="25"/>
        </w:trPr>
        <w:tc>
          <w:tcPr>
            <w:tcW w:w="2360" w:type="dxa"/>
            <w:vAlign w:val="bottom"/>
            <w:tcBorders>
              <w:top w:val="single" w:sz="8" w:color="434F69"/>
              <w:left w:val="single" w:sz="8" w:color="434F69"/>
              <w:right w:val="single" w:sz="8" w:color="434F69"/>
            </w:tcBorders>
            <w:shd w:val="clear" w:color="auto" w:fill="434F69"/>
          </w:tcPr>
          <w:p>
            <w:pPr>
              <w:spacing w:after="0"/>
              <w:rPr>
                <w:sz w:val="2"/>
                <w:szCs w:val="2"/>
                <w:color w:val="auto"/>
              </w:rPr>
            </w:pPr>
          </w:p>
        </w:tc>
        <w:tc>
          <w:tcPr>
            <w:tcW w:w="900" w:type="dxa"/>
            <w:vAlign w:val="bottom"/>
            <w:tcBorders>
              <w:top w:val="single" w:sz="8" w:color="434F69"/>
              <w:right w:val="single" w:sz="8" w:color="434F69"/>
            </w:tcBorders>
            <w:shd w:val="clear" w:color="auto" w:fill="434F69"/>
          </w:tcPr>
          <w:p>
            <w:pPr>
              <w:spacing w:after="0"/>
              <w:rPr>
                <w:sz w:val="2"/>
                <w:szCs w:val="2"/>
                <w:color w:val="auto"/>
              </w:rPr>
            </w:pPr>
          </w:p>
        </w:tc>
        <w:tc>
          <w:tcPr>
            <w:tcW w:w="80" w:type="dxa"/>
            <w:vAlign w:val="bottom"/>
            <w:tcBorders>
              <w:top w:val="single" w:sz="8" w:color="auto"/>
            </w:tcBorders>
            <w:shd w:val="clear" w:color="auto" w:fill="434F69"/>
          </w:tcPr>
          <w:p>
            <w:pPr>
              <w:spacing w:after="0"/>
              <w:rPr>
                <w:sz w:val="2"/>
                <w:szCs w:val="2"/>
                <w:color w:val="auto"/>
              </w:rPr>
            </w:pPr>
          </w:p>
        </w:tc>
        <w:tc>
          <w:tcPr>
            <w:tcW w:w="780" w:type="dxa"/>
            <w:vAlign w:val="bottom"/>
            <w:tcBorders>
              <w:top w:val="single" w:sz="8" w:color="auto"/>
              <w:right w:val="single" w:sz="8" w:color="434F69"/>
            </w:tcBorders>
            <w:shd w:val="clear" w:color="auto" w:fill="434F69"/>
          </w:tcPr>
          <w:p>
            <w:pPr>
              <w:spacing w:after="0"/>
              <w:rPr>
                <w:sz w:val="2"/>
                <w:szCs w:val="2"/>
                <w:color w:val="auto"/>
              </w:rPr>
            </w:pPr>
          </w:p>
        </w:tc>
        <w:tc>
          <w:tcPr>
            <w:tcW w:w="940" w:type="dxa"/>
            <w:vAlign w:val="bottom"/>
            <w:tcBorders>
              <w:top w:val="single" w:sz="8" w:color="auto"/>
              <w:right w:val="single" w:sz="8" w:color="434F69"/>
            </w:tcBorders>
            <w:shd w:val="clear" w:color="auto" w:fill="434F69"/>
          </w:tcPr>
          <w:p>
            <w:pPr>
              <w:spacing w:after="0"/>
              <w:rPr>
                <w:sz w:val="2"/>
                <w:szCs w:val="2"/>
                <w:color w:val="auto"/>
              </w:rPr>
            </w:pPr>
          </w:p>
        </w:tc>
        <w:tc>
          <w:tcPr>
            <w:tcW w:w="940" w:type="dxa"/>
            <w:vAlign w:val="bottom"/>
            <w:tcBorders>
              <w:top w:val="single" w:sz="8" w:color="auto"/>
              <w:right w:val="single" w:sz="8" w:color="434F69"/>
            </w:tcBorders>
            <w:shd w:val="clear" w:color="auto" w:fill="434F69"/>
          </w:tcPr>
          <w:p>
            <w:pPr>
              <w:spacing w:after="0"/>
              <w:rPr>
                <w:sz w:val="2"/>
                <w:szCs w:val="2"/>
                <w:color w:val="auto"/>
              </w:rPr>
            </w:pPr>
          </w:p>
        </w:tc>
        <w:tc>
          <w:tcPr>
            <w:tcW w:w="80" w:type="dxa"/>
            <w:vAlign w:val="bottom"/>
            <w:tcBorders>
              <w:top w:val="single" w:sz="8" w:color="434F69"/>
            </w:tcBorders>
            <w:shd w:val="clear" w:color="auto" w:fill="434F69"/>
          </w:tcPr>
          <w:p>
            <w:pPr>
              <w:spacing w:after="0"/>
              <w:rPr>
                <w:sz w:val="2"/>
                <w:szCs w:val="2"/>
                <w:color w:val="auto"/>
              </w:rPr>
            </w:pPr>
          </w:p>
        </w:tc>
        <w:tc>
          <w:tcPr>
            <w:tcW w:w="1020" w:type="dxa"/>
            <w:vAlign w:val="bottom"/>
            <w:tcBorders>
              <w:top w:val="single" w:sz="8" w:color="434F69"/>
              <w:right w:val="single" w:sz="8" w:color="434F69"/>
            </w:tcBorders>
            <w:vMerge w:val="continue"/>
            <w:shd w:val="clear" w:color="auto" w:fill="434F69"/>
          </w:tcPr>
          <w:p>
            <w:pPr>
              <w:spacing w:after="0"/>
              <w:rPr>
                <w:sz w:val="2"/>
                <w:szCs w:val="2"/>
                <w:color w:val="auto"/>
              </w:rPr>
            </w:pPr>
          </w:p>
        </w:tc>
        <w:tc>
          <w:tcPr>
            <w:tcW w:w="1120" w:type="dxa"/>
            <w:vAlign w:val="bottom"/>
            <w:tcBorders>
              <w:top w:val="single" w:sz="8" w:color="434F69"/>
              <w:right w:val="single" w:sz="8" w:color="434F69"/>
            </w:tcBorders>
            <w:vMerge w:val="continue"/>
            <w:shd w:val="clear" w:color="auto" w:fill="434F6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360" w:type="dxa"/>
            <w:vAlign w:val="bottom"/>
            <w:tcBorders>
              <w:left w:val="single" w:sz="8" w:color="434F69"/>
              <w:right w:val="single" w:sz="8" w:color="434F69"/>
            </w:tcBorders>
            <w:shd w:val="clear" w:color="auto" w:fill="434F69"/>
          </w:tcPr>
          <w:p>
            <w:pPr>
              <w:spacing w:after="0"/>
              <w:rPr>
                <w:sz w:val="13"/>
                <w:szCs w:val="13"/>
                <w:color w:val="auto"/>
              </w:rPr>
            </w:pPr>
          </w:p>
        </w:tc>
        <w:tc>
          <w:tcPr>
            <w:tcW w:w="900" w:type="dxa"/>
            <w:vAlign w:val="bottom"/>
            <w:tcBorders>
              <w:right w:val="single" w:sz="8" w:color="434F69"/>
            </w:tcBorders>
            <w:shd w:val="clear" w:color="auto" w:fill="434F69"/>
          </w:tcPr>
          <w:p>
            <w:pPr>
              <w:spacing w:after="0"/>
              <w:rPr>
                <w:sz w:val="13"/>
                <w:szCs w:val="13"/>
                <w:color w:val="auto"/>
              </w:rPr>
            </w:pPr>
          </w:p>
        </w:tc>
        <w:tc>
          <w:tcPr>
            <w:tcW w:w="80" w:type="dxa"/>
            <w:vAlign w:val="bottom"/>
            <w:shd w:val="clear" w:color="auto" w:fill="434F69"/>
          </w:tcPr>
          <w:p>
            <w:pPr>
              <w:spacing w:after="0"/>
              <w:rPr>
                <w:sz w:val="13"/>
                <w:szCs w:val="13"/>
                <w:color w:val="auto"/>
              </w:rPr>
            </w:pPr>
          </w:p>
        </w:tc>
        <w:tc>
          <w:tcPr>
            <w:tcW w:w="780" w:type="dxa"/>
            <w:vAlign w:val="bottom"/>
            <w:tcBorders>
              <w:right w:val="single" w:sz="8" w:color="434F69"/>
            </w:tcBorders>
            <w:shd w:val="clear" w:color="auto" w:fill="434F69"/>
          </w:tcPr>
          <w:p>
            <w:pPr>
              <w:jc w:val="right"/>
              <w:ind w:right="75"/>
              <w:spacing w:after="0" w:line="158" w:lineRule="exact"/>
              <w:rPr>
                <w:sz w:val="20"/>
                <w:szCs w:val="20"/>
                <w:color w:val="auto"/>
              </w:rPr>
            </w:pPr>
            <w:r>
              <w:rPr>
                <w:rFonts w:ascii="Arial" w:cs="Arial" w:eastAsia="Arial" w:hAnsi="Arial"/>
                <w:sz w:val="14"/>
                <w:szCs w:val="14"/>
                <w:b w:val="1"/>
                <w:bCs w:val="1"/>
                <w:color w:val="FFFFFF"/>
                <w:w w:val="88"/>
              </w:rPr>
              <w:t>Threshold</w:t>
            </w:r>
          </w:p>
        </w:tc>
        <w:tc>
          <w:tcPr>
            <w:tcW w:w="940" w:type="dxa"/>
            <w:vAlign w:val="bottom"/>
            <w:tcBorders>
              <w:right w:val="single" w:sz="8" w:color="434F69"/>
            </w:tcBorders>
            <w:shd w:val="clear" w:color="auto" w:fill="434F69"/>
          </w:tcPr>
          <w:p>
            <w:pPr>
              <w:jc w:val="right"/>
              <w:ind w:right="233"/>
              <w:spacing w:after="0" w:line="158" w:lineRule="exact"/>
              <w:rPr>
                <w:sz w:val="20"/>
                <w:szCs w:val="20"/>
                <w:color w:val="auto"/>
              </w:rPr>
            </w:pPr>
            <w:r>
              <w:rPr>
                <w:rFonts w:ascii="Arial" w:cs="Arial" w:eastAsia="Arial" w:hAnsi="Arial"/>
                <w:sz w:val="14"/>
                <w:szCs w:val="14"/>
                <w:b w:val="1"/>
                <w:bCs w:val="1"/>
                <w:color w:val="FFFFFF"/>
              </w:rPr>
              <w:t>Target</w:t>
            </w:r>
          </w:p>
        </w:tc>
        <w:tc>
          <w:tcPr>
            <w:tcW w:w="940" w:type="dxa"/>
            <w:vAlign w:val="bottom"/>
            <w:tcBorders>
              <w:right w:val="single" w:sz="8" w:color="434F69"/>
            </w:tcBorders>
            <w:shd w:val="clear" w:color="auto" w:fill="434F69"/>
          </w:tcPr>
          <w:p>
            <w:pPr>
              <w:jc w:val="right"/>
              <w:ind w:right="93"/>
              <w:spacing w:after="0" w:line="158" w:lineRule="exact"/>
              <w:rPr>
                <w:sz w:val="20"/>
                <w:szCs w:val="20"/>
                <w:color w:val="auto"/>
              </w:rPr>
            </w:pPr>
            <w:r>
              <w:rPr>
                <w:rFonts w:ascii="Arial" w:cs="Arial" w:eastAsia="Arial" w:hAnsi="Arial"/>
                <w:sz w:val="14"/>
                <w:szCs w:val="14"/>
                <w:b w:val="1"/>
                <w:bCs w:val="1"/>
                <w:color w:val="FFFFFF"/>
              </w:rPr>
              <w:t>Maximum</w:t>
            </w:r>
          </w:p>
        </w:tc>
        <w:tc>
          <w:tcPr>
            <w:tcW w:w="80" w:type="dxa"/>
            <w:vAlign w:val="bottom"/>
            <w:shd w:val="clear" w:color="auto" w:fill="434F69"/>
          </w:tcPr>
          <w:p>
            <w:pPr>
              <w:spacing w:after="0"/>
              <w:rPr>
                <w:sz w:val="13"/>
                <w:szCs w:val="13"/>
                <w:color w:val="auto"/>
              </w:rPr>
            </w:pPr>
          </w:p>
        </w:tc>
        <w:tc>
          <w:tcPr>
            <w:tcW w:w="1020" w:type="dxa"/>
            <w:vAlign w:val="bottom"/>
            <w:tcBorders>
              <w:right w:val="single" w:sz="8" w:color="434F69"/>
            </w:tcBorders>
            <w:shd w:val="clear" w:color="auto" w:fill="434F69"/>
          </w:tcPr>
          <w:p>
            <w:pPr>
              <w:jc w:val="center"/>
              <w:ind w:right="59"/>
              <w:spacing w:after="0" w:line="158" w:lineRule="exact"/>
              <w:rPr>
                <w:sz w:val="20"/>
                <w:szCs w:val="20"/>
                <w:color w:val="auto"/>
              </w:rPr>
            </w:pPr>
            <w:r>
              <w:rPr>
                <w:rFonts w:ascii="Arial" w:cs="Arial" w:eastAsia="Arial" w:hAnsi="Arial"/>
                <w:sz w:val="14"/>
                <w:szCs w:val="14"/>
                <w:b w:val="1"/>
                <w:bCs w:val="1"/>
                <w:color w:val="FFFFFF"/>
                <w:w w:val="88"/>
              </w:rPr>
              <w:t>Stock or Units</w:t>
            </w:r>
          </w:p>
        </w:tc>
        <w:tc>
          <w:tcPr>
            <w:tcW w:w="112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0"/>
              </w:rPr>
              <w:t>Option Awards</w:t>
            </w:r>
          </w:p>
        </w:tc>
        <w:tc>
          <w:tcPr>
            <w:tcW w:w="0" w:type="dxa"/>
            <w:vAlign w:val="bottom"/>
          </w:tcPr>
          <w:p>
            <w:pPr>
              <w:spacing w:after="0"/>
              <w:rPr>
                <w:sz w:val="1"/>
                <w:szCs w:val="1"/>
                <w:color w:val="auto"/>
              </w:rPr>
            </w:pPr>
          </w:p>
        </w:tc>
      </w:tr>
      <w:tr>
        <w:trPr>
          <w:trHeight w:val="243"/>
        </w:trPr>
        <w:tc>
          <w:tcPr>
            <w:tcW w:w="236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9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Grant Date</w:t>
            </w:r>
          </w:p>
        </w:tc>
        <w:tc>
          <w:tcPr>
            <w:tcW w:w="80" w:type="dxa"/>
            <w:vAlign w:val="bottom"/>
            <w:shd w:val="clear" w:color="auto" w:fill="434F69"/>
          </w:tcPr>
          <w:p>
            <w:pPr>
              <w:spacing w:after="0"/>
              <w:rPr>
                <w:sz w:val="21"/>
                <w:szCs w:val="21"/>
                <w:color w:val="auto"/>
              </w:rPr>
            </w:pPr>
          </w:p>
        </w:tc>
        <w:tc>
          <w:tcPr>
            <w:tcW w:w="780" w:type="dxa"/>
            <w:vAlign w:val="bottom"/>
            <w:tcBorders>
              <w:right w:val="single" w:sz="8" w:color="434F69"/>
            </w:tcBorders>
            <w:shd w:val="clear" w:color="auto" w:fill="434F69"/>
          </w:tcPr>
          <w:p>
            <w:pPr>
              <w:jc w:val="right"/>
              <w:ind w:right="275"/>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right w:val="single" w:sz="8" w:color="434F69"/>
            </w:tcBorders>
            <w:shd w:val="clear" w:color="auto" w:fill="434F69"/>
          </w:tcPr>
          <w:p>
            <w:pPr>
              <w:jc w:val="right"/>
              <w:ind w:right="313"/>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right w:val="single" w:sz="8" w:color="434F69"/>
            </w:tcBorders>
            <w:shd w:val="clear" w:color="auto" w:fill="434F69"/>
          </w:tcPr>
          <w:p>
            <w:pPr>
              <w:jc w:val="right"/>
              <w:ind w:right="313"/>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34F69"/>
          </w:tcPr>
          <w:p>
            <w:pPr>
              <w:spacing w:after="0"/>
              <w:rPr>
                <w:sz w:val="21"/>
                <w:szCs w:val="21"/>
                <w:color w:val="auto"/>
              </w:rPr>
            </w:pPr>
          </w:p>
        </w:tc>
        <w:tc>
          <w:tcPr>
            <w:tcW w:w="1020" w:type="dxa"/>
            <w:vAlign w:val="bottom"/>
            <w:tcBorders>
              <w:right w:val="single" w:sz="8" w:color="434F69"/>
            </w:tcBorders>
            <w:shd w:val="clear" w:color="auto" w:fill="434F69"/>
          </w:tcPr>
          <w:p>
            <w:pPr>
              <w:jc w:val="center"/>
              <w:ind w:right="19"/>
              <w:spacing w:after="0"/>
              <w:rPr>
                <w:sz w:val="20"/>
                <w:szCs w:val="20"/>
                <w:color w:val="auto"/>
              </w:rPr>
            </w:pPr>
            <w:r>
              <w:rPr>
                <w:rFonts w:ascii="Arial" w:cs="Arial" w:eastAsia="Arial" w:hAnsi="Arial"/>
                <w:sz w:val="14"/>
                <w:szCs w:val="14"/>
                <w:b w:val="1"/>
                <w:bCs w:val="1"/>
                <w:color w:val="FFFFFF"/>
                <w:w w:val="93"/>
              </w:rPr>
              <w:t>(#)</w:t>
            </w:r>
          </w:p>
        </w:tc>
        <w:tc>
          <w:tcPr>
            <w:tcW w:w="112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1"/>
              </w:rPr>
              <w:t>($)</w:t>
            </w:r>
            <w:r>
              <w:rPr>
                <w:rFonts w:ascii="Arial" w:cs="Arial" w:eastAsia="Arial" w:hAnsi="Arial"/>
                <w:sz w:val="21"/>
                <w:szCs w:val="21"/>
                <w:b w:val="1"/>
                <w:bCs w:val="1"/>
                <w:color w:val="FFFFFF"/>
                <w:w w:val="81"/>
                <w:vertAlign w:val="superscript"/>
              </w:rPr>
              <w:t>(2)</w:t>
            </w:r>
          </w:p>
        </w:tc>
        <w:tc>
          <w:tcPr>
            <w:tcW w:w="0" w:type="dxa"/>
            <w:vAlign w:val="bottom"/>
          </w:tcPr>
          <w:p>
            <w:pPr>
              <w:spacing w:after="0"/>
              <w:rPr>
                <w:sz w:val="1"/>
                <w:szCs w:val="1"/>
                <w:color w:val="auto"/>
              </w:rPr>
            </w:pPr>
          </w:p>
        </w:tc>
      </w:tr>
      <w:tr>
        <w:trPr>
          <w:trHeight w:val="250"/>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Willie Chiang</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0" w:type="dxa"/>
            <w:vAlign w:val="bottom"/>
            <w:tcBorders>
              <w:bottom w:val="single" w:sz="8" w:color="434F69"/>
            </w:tcBorders>
          </w:tcPr>
          <w:p>
            <w:pPr>
              <w:spacing w:after="0"/>
              <w:rPr>
                <w:sz w:val="21"/>
                <w:szCs w:val="21"/>
                <w:color w:val="auto"/>
              </w:rPr>
            </w:pPr>
          </w:p>
        </w:tc>
        <w:tc>
          <w:tcPr>
            <w:tcW w:w="7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1,500,000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3,000,000</w:t>
            </w:r>
          </w:p>
        </w:tc>
        <w:tc>
          <w:tcPr>
            <w:tcW w:w="80" w:type="dxa"/>
            <w:vAlign w:val="bottom"/>
            <w:tcBorders>
              <w:bottom w:val="single" w:sz="8" w:color="434F69"/>
            </w:tcBorders>
          </w:tcPr>
          <w:p>
            <w:pPr>
              <w:spacing w:after="0"/>
              <w:rPr>
                <w:sz w:val="21"/>
                <w:szCs w:val="21"/>
                <w:color w:val="auto"/>
              </w:rPr>
            </w:pPr>
          </w:p>
        </w:tc>
        <w:tc>
          <w:tcPr>
            <w:tcW w:w="1020" w:type="dxa"/>
            <w:vAlign w:val="bottom"/>
            <w:tcBorders>
              <w:bottom w:val="single" w:sz="8" w:color="434F69"/>
              <w:right w:val="single" w:sz="8" w:color="434F69"/>
            </w:tcBorders>
          </w:tcPr>
          <w:p>
            <w:pPr>
              <w:jc w:val="right"/>
              <w:ind w:right="17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Borders>
              <w:left w:val="single" w:sz="8" w:color="434F69"/>
              <w:bottom w:val="single" w:sz="8" w:color="434F69"/>
              <w:right w:val="single" w:sz="8" w:color="434F69"/>
            </w:tcBorders>
          </w:tcPr>
          <w:p>
            <w:pPr>
              <w:spacing w:after="0"/>
              <w:rPr>
                <w:sz w:val="22"/>
                <w:szCs w:val="22"/>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8/13/20</w:t>
            </w:r>
          </w:p>
        </w:tc>
        <w:tc>
          <w:tcPr>
            <w:tcW w:w="80" w:type="dxa"/>
            <w:vAlign w:val="bottom"/>
            <w:tcBorders>
              <w:bottom w:val="single" w:sz="8" w:color="434F69"/>
            </w:tcBorders>
          </w:tcPr>
          <w:p>
            <w:pPr>
              <w:spacing w:after="0"/>
              <w:rPr>
                <w:sz w:val="22"/>
                <w:szCs w:val="22"/>
                <w:color w:val="auto"/>
              </w:rPr>
            </w:pPr>
          </w:p>
        </w:tc>
        <w:tc>
          <w:tcPr>
            <w:tcW w:w="7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gridSpan w:val="2"/>
          </w:tcPr>
          <w:p>
            <w:pPr>
              <w:jc w:val="right"/>
              <w:ind w:right="39"/>
              <w:spacing w:after="0" w:line="256" w:lineRule="exact"/>
              <w:rPr>
                <w:sz w:val="20"/>
                <w:szCs w:val="20"/>
                <w:color w:val="auto"/>
              </w:rPr>
            </w:pPr>
            <w:r>
              <w:rPr>
                <w:rFonts w:ascii="Arial" w:cs="Arial" w:eastAsia="Arial" w:hAnsi="Arial"/>
                <w:sz w:val="18"/>
                <w:szCs w:val="18"/>
                <w:color w:val="auto"/>
              </w:rPr>
              <w:t>375,940</w:t>
            </w:r>
            <w:r>
              <w:rPr>
                <w:rFonts w:ascii="Arial" w:cs="Arial" w:eastAsia="Arial" w:hAnsi="Arial"/>
                <w:sz w:val="26"/>
                <w:szCs w:val="26"/>
                <w:color w:val="auto"/>
                <w:vertAlign w:val="superscript"/>
              </w:rPr>
              <w:t>(1)</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2,247,181</w:t>
            </w:r>
          </w:p>
        </w:tc>
        <w:tc>
          <w:tcPr>
            <w:tcW w:w="0" w:type="dxa"/>
            <w:vAlign w:val="bottom"/>
          </w:tcPr>
          <w:p>
            <w:pPr>
              <w:spacing w:after="0"/>
              <w:rPr>
                <w:sz w:val="1"/>
                <w:szCs w:val="1"/>
                <w:color w:val="auto"/>
              </w:rPr>
            </w:pPr>
          </w:p>
        </w:tc>
      </w:tr>
      <w:tr>
        <w:trPr>
          <w:trHeight w:val="304"/>
        </w:trPr>
        <w:tc>
          <w:tcPr>
            <w:tcW w:w="23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1020" w:type="dxa"/>
            <w:vAlign w:val="bottom"/>
            <w:tcBorders>
              <w:bottom w:val="single" w:sz="8" w:color="434F69"/>
              <w:right w:val="single" w:sz="8" w:color="434F69"/>
            </w:tcBorders>
            <w:shd w:val="clear" w:color="auto" w:fill="D9DCE1"/>
          </w:tcPr>
          <w:p>
            <w:pPr>
              <w:spacing w:after="0"/>
              <w:rPr>
                <w:sz w:val="24"/>
                <w:szCs w:val="24"/>
                <w:color w:val="auto"/>
              </w:rPr>
            </w:pPr>
          </w:p>
        </w:tc>
        <w:tc>
          <w:tcPr>
            <w:tcW w:w="11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0" w:type="dxa"/>
            <w:vAlign w:val="bottom"/>
            <w:tcBorders>
              <w:bottom w:val="single" w:sz="8" w:color="434F69"/>
            </w:tcBorders>
          </w:tcPr>
          <w:p>
            <w:pPr>
              <w:spacing w:after="0"/>
              <w:rPr>
                <w:sz w:val="21"/>
                <w:szCs w:val="21"/>
                <w:color w:val="auto"/>
              </w:rPr>
            </w:pPr>
          </w:p>
        </w:tc>
        <w:tc>
          <w:tcPr>
            <w:tcW w:w="7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1,000,000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2,000,000</w:t>
            </w:r>
          </w:p>
        </w:tc>
        <w:tc>
          <w:tcPr>
            <w:tcW w:w="80" w:type="dxa"/>
            <w:vAlign w:val="bottom"/>
            <w:tcBorders>
              <w:bottom w:val="single" w:sz="8" w:color="434F69"/>
            </w:tcBorders>
          </w:tcPr>
          <w:p>
            <w:pPr>
              <w:spacing w:after="0"/>
              <w:rPr>
                <w:sz w:val="21"/>
                <w:szCs w:val="21"/>
                <w:color w:val="auto"/>
              </w:rPr>
            </w:pPr>
          </w:p>
        </w:tc>
        <w:tc>
          <w:tcPr>
            <w:tcW w:w="1020" w:type="dxa"/>
            <w:vAlign w:val="bottom"/>
            <w:tcBorders>
              <w:bottom w:val="single" w:sz="8" w:color="434F69"/>
              <w:right w:val="single" w:sz="8" w:color="434F69"/>
            </w:tcBorders>
          </w:tcPr>
          <w:p>
            <w:pPr>
              <w:jc w:val="right"/>
              <w:ind w:right="17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3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1020" w:type="dxa"/>
            <w:vAlign w:val="bottom"/>
            <w:tcBorders>
              <w:bottom w:val="single" w:sz="8" w:color="434F69"/>
              <w:right w:val="single" w:sz="8" w:color="434F69"/>
            </w:tcBorders>
            <w:shd w:val="clear" w:color="auto" w:fill="D9DCE1"/>
          </w:tcPr>
          <w:p>
            <w:pPr>
              <w:spacing w:after="0"/>
              <w:rPr>
                <w:sz w:val="24"/>
                <w:szCs w:val="24"/>
                <w:color w:val="auto"/>
              </w:rPr>
            </w:pPr>
          </w:p>
        </w:tc>
        <w:tc>
          <w:tcPr>
            <w:tcW w:w="11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0" w:type="dxa"/>
            <w:vAlign w:val="bottom"/>
            <w:tcBorders>
              <w:bottom w:val="single" w:sz="8" w:color="434F69"/>
            </w:tcBorders>
          </w:tcPr>
          <w:p>
            <w:pPr>
              <w:spacing w:after="0"/>
              <w:rPr>
                <w:sz w:val="21"/>
                <w:szCs w:val="21"/>
                <w:color w:val="auto"/>
              </w:rPr>
            </w:pPr>
          </w:p>
        </w:tc>
        <w:tc>
          <w:tcPr>
            <w:tcW w:w="7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1,600,000</w:t>
            </w:r>
          </w:p>
        </w:tc>
        <w:tc>
          <w:tcPr>
            <w:tcW w:w="80" w:type="dxa"/>
            <w:vAlign w:val="bottom"/>
            <w:tcBorders>
              <w:bottom w:val="single" w:sz="8" w:color="434F69"/>
            </w:tcBorders>
          </w:tcPr>
          <w:p>
            <w:pPr>
              <w:spacing w:after="0"/>
              <w:rPr>
                <w:sz w:val="21"/>
                <w:szCs w:val="21"/>
                <w:color w:val="auto"/>
              </w:rPr>
            </w:pPr>
          </w:p>
        </w:tc>
        <w:tc>
          <w:tcPr>
            <w:tcW w:w="1020" w:type="dxa"/>
            <w:vAlign w:val="bottom"/>
            <w:tcBorders>
              <w:bottom w:val="single" w:sz="8" w:color="434F69"/>
              <w:right w:val="single" w:sz="8" w:color="434F69"/>
            </w:tcBorders>
          </w:tcPr>
          <w:p>
            <w:pPr>
              <w:jc w:val="right"/>
              <w:ind w:right="17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Borders>
              <w:left w:val="single" w:sz="8" w:color="434F69"/>
              <w:bottom w:val="single" w:sz="8" w:color="434F69"/>
              <w:right w:val="single" w:sz="8" w:color="434F69"/>
            </w:tcBorders>
          </w:tcPr>
          <w:p>
            <w:pPr>
              <w:spacing w:after="0"/>
              <w:rPr>
                <w:sz w:val="22"/>
                <w:szCs w:val="22"/>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8/13/20</w:t>
            </w:r>
          </w:p>
        </w:tc>
        <w:tc>
          <w:tcPr>
            <w:tcW w:w="80" w:type="dxa"/>
            <w:vAlign w:val="bottom"/>
            <w:tcBorders>
              <w:bottom w:val="single" w:sz="8" w:color="434F69"/>
            </w:tcBorders>
          </w:tcPr>
          <w:p>
            <w:pPr>
              <w:spacing w:after="0"/>
              <w:rPr>
                <w:sz w:val="22"/>
                <w:szCs w:val="22"/>
                <w:color w:val="auto"/>
              </w:rPr>
            </w:pPr>
          </w:p>
        </w:tc>
        <w:tc>
          <w:tcPr>
            <w:tcW w:w="7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gridSpan w:val="2"/>
          </w:tcPr>
          <w:p>
            <w:pPr>
              <w:jc w:val="right"/>
              <w:ind w:right="39"/>
              <w:spacing w:after="0" w:line="256" w:lineRule="exact"/>
              <w:rPr>
                <w:sz w:val="20"/>
                <w:szCs w:val="20"/>
                <w:color w:val="auto"/>
              </w:rPr>
            </w:pPr>
            <w:r>
              <w:rPr>
                <w:rFonts w:ascii="Arial" w:cs="Arial" w:eastAsia="Arial" w:hAnsi="Arial"/>
                <w:sz w:val="18"/>
                <w:szCs w:val="18"/>
                <w:color w:val="auto"/>
              </w:rPr>
              <w:t>150,380</w:t>
            </w:r>
            <w:r>
              <w:rPr>
                <w:rFonts w:ascii="Arial" w:cs="Arial" w:eastAsia="Arial" w:hAnsi="Arial"/>
                <w:sz w:val="26"/>
                <w:szCs w:val="26"/>
                <w:color w:val="auto"/>
                <w:vertAlign w:val="superscript"/>
              </w:rPr>
              <w:t>(1)</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898,896</w:t>
            </w:r>
          </w:p>
        </w:tc>
        <w:tc>
          <w:tcPr>
            <w:tcW w:w="0" w:type="dxa"/>
            <w:vAlign w:val="bottom"/>
          </w:tcPr>
          <w:p>
            <w:pPr>
              <w:spacing w:after="0"/>
              <w:rPr>
                <w:sz w:val="1"/>
                <w:szCs w:val="1"/>
                <w:color w:val="auto"/>
              </w:rPr>
            </w:pPr>
          </w:p>
        </w:tc>
      </w:tr>
      <w:tr>
        <w:trPr>
          <w:trHeight w:val="304"/>
        </w:trPr>
        <w:tc>
          <w:tcPr>
            <w:tcW w:w="23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1020" w:type="dxa"/>
            <w:vAlign w:val="bottom"/>
            <w:tcBorders>
              <w:bottom w:val="single" w:sz="8" w:color="434F69"/>
              <w:right w:val="single" w:sz="8" w:color="434F69"/>
            </w:tcBorders>
            <w:shd w:val="clear" w:color="auto" w:fill="D9DCE1"/>
          </w:tcPr>
          <w:p>
            <w:pPr>
              <w:spacing w:after="0"/>
              <w:rPr>
                <w:sz w:val="24"/>
                <w:szCs w:val="24"/>
                <w:color w:val="auto"/>
              </w:rPr>
            </w:pPr>
          </w:p>
        </w:tc>
        <w:tc>
          <w:tcPr>
            <w:tcW w:w="11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0" w:type="dxa"/>
            <w:vAlign w:val="bottom"/>
            <w:tcBorders>
              <w:bottom w:val="single" w:sz="8" w:color="434F69"/>
            </w:tcBorders>
          </w:tcPr>
          <w:p>
            <w:pPr>
              <w:spacing w:after="0"/>
              <w:rPr>
                <w:sz w:val="21"/>
                <w:szCs w:val="21"/>
                <w:color w:val="auto"/>
              </w:rPr>
            </w:pPr>
          </w:p>
        </w:tc>
        <w:tc>
          <w:tcPr>
            <w:tcW w:w="7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1,600,000</w:t>
            </w:r>
          </w:p>
        </w:tc>
        <w:tc>
          <w:tcPr>
            <w:tcW w:w="80" w:type="dxa"/>
            <w:vAlign w:val="bottom"/>
            <w:tcBorders>
              <w:bottom w:val="single" w:sz="8" w:color="434F69"/>
            </w:tcBorders>
          </w:tcPr>
          <w:p>
            <w:pPr>
              <w:spacing w:after="0"/>
              <w:rPr>
                <w:sz w:val="21"/>
                <w:szCs w:val="21"/>
                <w:color w:val="auto"/>
              </w:rPr>
            </w:pPr>
          </w:p>
        </w:tc>
        <w:tc>
          <w:tcPr>
            <w:tcW w:w="1020" w:type="dxa"/>
            <w:vAlign w:val="bottom"/>
            <w:tcBorders>
              <w:bottom w:val="single" w:sz="8" w:color="434F69"/>
              <w:right w:val="single" w:sz="8" w:color="434F69"/>
            </w:tcBorders>
          </w:tcPr>
          <w:p>
            <w:pPr>
              <w:jc w:val="right"/>
              <w:ind w:right="17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Borders>
              <w:left w:val="single" w:sz="8" w:color="434F69"/>
              <w:bottom w:val="single" w:sz="8" w:color="434F69"/>
              <w:right w:val="single" w:sz="8" w:color="434F69"/>
            </w:tcBorders>
          </w:tcPr>
          <w:p>
            <w:pPr>
              <w:spacing w:after="0"/>
              <w:rPr>
                <w:sz w:val="22"/>
                <w:szCs w:val="22"/>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8/13/20</w:t>
            </w:r>
          </w:p>
        </w:tc>
        <w:tc>
          <w:tcPr>
            <w:tcW w:w="80" w:type="dxa"/>
            <w:vAlign w:val="bottom"/>
            <w:tcBorders>
              <w:bottom w:val="single" w:sz="8" w:color="434F69"/>
            </w:tcBorders>
          </w:tcPr>
          <w:p>
            <w:pPr>
              <w:spacing w:after="0"/>
              <w:rPr>
                <w:sz w:val="22"/>
                <w:szCs w:val="22"/>
                <w:color w:val="auto"/>
              </w:rPr>
            </w:pPr>
          </w:p>
        </w:tc>
        <w:tc>
          <w:tcPr>
            <w:tcW w:w="7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gridSpan w:val="2"/>
          </w:tcPr>
          <w:p>
            <w:pPr>
              <w:jc w:val="right"/>
              <w:ind w:right="39"/>
              <w:spacing w:after="0" w:line="256" w:lineRule="exact"/>
              <w:rPr>
                <w:sz w:val="20"/>
                <w:szCs w:val="20"/>
                <w:color w:val="auto"/>
              </w:rPr>
            </w:pPr>
            <w:r>
              <w:rPr>
                <w:rFonts w:ascii="Arial" w:cs="Arial" w:eastAsia="Arial" w:hAnsi="Arial"/>
                <w:sz w:val="18"/>
                <w:szCs w:val="18"/>
                <w:color w:val="auto"/>
              </w:rPr>
              <w:t>150,380</w:t>
            </w:r>
            <w:r>
              <w:rPr>
                <w:rFonts w:ascii="Arial" w:cs="Arial" w:eastAsia="Arial" w:hAnsi="Arial"/>
                <w:sz w:val="26"/>
                <w:szCs w:val="26"/>
                <w:color w:val="auto"/>
                <w:vertAlign w:val="superscript"/>
              </w:rPr>
              <w:t>(1)</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898,896</w:t>
            </w:r>
          </w:p>
        </w:tc>
        <w:tc>
          <w:tcPr>
            <w:tcW w:w="0" w:type="dxa"/>
            <w:vAlign w:val="bottom"/>
          </w:tcPr>
          <w:p>
            <w:pPr>
              <w:spacing w:after="0"/>
              <w:rPr>
                <w:sz w:val="1"/>
                <w:szCs w:val="1"/>
                <w:color w:val="auto"/>
              </w:rPr>
            </w:pPr>
          </w:p>
        </w:tc>
      </w:tr>
      <w:tr>
        <w:trPr>
          <w:trHeight w:val="304"/>
        </w:trPr>
        <w:tc>
          <w:tcPr>
            <w:tcW w:w="23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1020" w:type="dxa"/>
            <w:vAlign w:val="bottom"/>
            <w:tcBorders>
              <w:bottom w:val="single" w:sz="8" w:color="434F69"/>
              <w:right w:val="single" w:sz="8" w:color="434F69"/>
            </w:tcBorders>
            <w:shd w:val="clear" w:color="auto" w:fill="D9DCE1"/>
          </w:tcPr>
          <w:p>
            <w:pPr>
              <w:spacing w:after="0"/>
              <w:rPr>
                <w:sz w:val="24"/>
                <w:szCs w:val="24"/>
                <w:color w:val="auto"/>
              </w:rPr>
            </w:pPr>
          </w:p>
        </w:tc>
        <w:tc>
          <w:tcPr>
            <w:tcW w:w="11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0" w:type="dxa"/>
            <w:vAlign w:val="bottom"/>
            <w:tcBorders>
              <w:bottom w:val="single" w:sz="8" w:color="434F69"/>
            </w:tcBorders>
          </w:tcPr>
          <w:p>
            <w:pPr>
              <w:spacing w:after="0"/>
              <w:rPr>
                <w:sz w:val="21"/>
                <w:szCs w:val="21"/>
                <w:color w:val="auto"/>
              </w:rPr>
            </w:pPr>
          </w:p>
        </w:tc>
        <w:tc>
          <w:tcPr>
            <w:tcW w:w="7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1,600,000</w:t>
            </w:r>
          </w:p>
        </w:tc>
        <w:tc>
          <w:tcPr>
            <w:tcW w:w="80" w:type="dxa"/>
            <w:vAlign w:val="bottom"/>
            <w:tcBorders>
              <w:bottom w:val="single" w:sz="8" w:color="434F69"/>
            </w:tcBorders>
          </w:tcPr>
          <w:p>
            <w:pPr>
              <w:spacing w:after="0"/>
              <w:rPr>
                <w:sz w:val="21"/>
                <w:szCs w:val="21"/>
                <w:color w:val="auto"/>
              </w:rPr>
            </w:pPr>
          </w:p>
        </w:tc>
        <w:tc>
          <w:tcPr>
            <w:tcW w:w="1020" w:type="dxa"/>
            <w:vAlign w:val="bottom"/>
            <w:tcBorders>
              <w:bottom w:val="single" w:sz="8" w:color="434F69"/>
              <w:right w:val="single" w:sz="8" w:color="434F69"/>
            </w:tcBorders>
          </w:tcPr>
          <w:p>
            <w:pPr>
              <w:jc w:val="right"/>
              <w:ind w:right="17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Borders>
              <w:left w:val="single" w:sz="8" w:color="434F69"/>
              <w:bottom w:val="single" w:sz="8" w:color="434F69"/>
              <w:right w:val="single" w:sz="8" w:color="434F69"/>
            </w:tcBorders>
          </w:tcPr>
          <w:p>
            <w:pPr>
              <w:spacing w:after="0"/>
              <w:rPr>
                <w:sz w:val="22"/>
                <w:szCs w:val="22"/>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8/13/20</w:t>
            </w:r>
          </w:p>
        </w:tc>
        <w:tc>
          <w:tcPr>
            <w:tcW w:w="80" w:type="dxa"/>
            <w:vAlign w:val="bottom"/>
            <w:tcBorders>
              <w:bottom w:val="single" w:sz="8" w:color="434F69"/>
            </w:tcBorders>
          </w:tcPr>
          <w:p>
            <w:pPr>
              <w:spacing w:after="0"/>
              <w:rPr>
                <w:sz w:val="22"/>
                <w:szCs w:val="22"/>
                <w:color w:val="auto"/>
              </w:rPr>
            </w:pPr>
          </w:p>
        </w:tc>
        <w:tc>
          <w:tcPr>
            <w:tcW w:w="7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gridSpan w:val="2"/>
          </w:tcPr>
          <w:p>
            <w:pPr>
              <w:jc w:val="right"/>
              <w:ind w:right="39"/>
              <w:spacing w:after="0" w:line="256" w:lineRule="exact"/>
              <w:rPr>
                <w:sz w:val="20"/>
                <w:szCs w:val="20"/>
                <w:color w:val="auto"/>
              </w:rPr>
            </w:pPr>
            <w:r>
              <w:rPr>
                <w:rFonts w:ascii="Arial" w:cs="Arial" w:eastAsia="Arial" w:hAnsi="Arial"/>
                <w:sz w:val="18"/>
                <w:szCs w:val="18"/>
                <w:color w:val="auto"/>
              </w:rPr>
              <w:t>150,380</w:t>
            </w:r>
            <w:r>
              <w:rPr>
                <w:rFonts w:ascii="Arial" w:cs="Arial" w:eastAsia="Arial" w:hAnsi="Arial"/>
                <w:sz w:val="26"/>
                <w:szCs w:val="26"/>
                <w:color w:val="auto"/>
                <w:vertAlign w:val="superscript"/>
              </w:rPr>
              <w:t>(1)</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898,896</w:t>
            </w:r>
          </w:p>
        </w:tc>
        <w:tc>
          <w:tcPr>
            <w:tcW w:w="0" w:type="dxa"/>
            <w:vAlign w:val="bottom"/>
          </w:tcPr>
          <w:p>
            <w:pPr>
              <w:spacing w:after="0"/>
              <w:rPr>
                <w:sz w:val="1"/>
                <w:szCs w:val="1"/>
                <w:color w:val="auto"/>
              </w:rPr>
            </w:pPr>
          </w:p>
        </w:tc>
      </w:tr>
      <w:tr>
        <w:trPr>
          <w:trHeight w:val="304"/>
        </w:trPr>
        <w:tc>
          <w:tcPr>
            <w:tcW w:w="236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90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78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80" w:type="dxa"/>
            <w:vAlign w:val="bottom"/>
            <w:tcBorders>
              <w:bottom w:val="single" w:sz="8" w:color="434F69"/>
            </w:tcBorders>
            <w:shd w:val="clear" w:color="auto" w:fill="D9DCE1"/>
          </w:tcPr>
          <w:p>
            <w:pPr>
              <w:spacing w:after="0"/>
              <w:rPr>
                <w:sz w:val="24"/>
                <w:szCs w:val="24"/>
                <w:color w:val="auto"/>
              </w:rPr>
            </w:pPr>
          </w:p>
        </w:tc>
        <w:tc>
          <w:tcPr>
            <w:tcW w:w="1020" w:type="dxa"/>
            <w:vAlign w:val="bottom"/>
            <w:tcBorders>
              <w:bottom w:val="single" w:sz="8" w:color="434F69"/>
              <w:right w:val="single" w:sz="8" w:color="434F69"/>
            </w:tcBorders>
            <w:shd w:val="clear" w:color="auto" w:fill="D9DCE1"/>
          </w:tcPr>
          <w:p>
            <w:pPr>
              <w:spacing w:after="0"/>
              <w:rPr>
                <w:sz w:val="24"/>
                <w:szCs w:val="24"/>
                <w:color w:val="auto"/>
              </w:rPr>
            </w:pPr>
          </w:p>
        </w:tc>
        <w:tc>
          <w:tcPr>
            <w:tcW w:w="1120" w:type="dxa"/>
            <w:vAlign w:val="bottom"/>
            <w:tcBorders>
              <w:bottom w:val="single" w:sz="8" w:color="434F69"/>
              <w:right w:val="single" w:sz="8" w:color="434F69"/>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6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2/20/20</w:t>
            </w:r>
          </w:p>
        </w:tc>
        <w:tc>
          <w:tcPr>
            <w:tcW w:w="80" w:type="dxa"/>
            <w:vAlign w:val="bottom"/>
            <w:tcBorders>
              <w:bottom w:val="single" w:sz="8" w:color="434F69"/>
            </w:tcBorders>
          </w:tcPr>
          <w:p>
            <w:pPr>
              <w:spacing w:after="0"/>
              <w:rPr>
                <w:sz w:val="21"/>
                <w:szCs w:val="21"/>
                <w:color w:val="auto"/>
              </w:rPr>
            </w:pPr>
          </w:p>
        </w:tc>
        <w:tc>
          <w:tcPr>
            <w:tcW w:w="7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w w:val="99"/>
              </w:rPr>
              <w:t>1,600,000</w:t>
            </w:r>
          </w:p>
        </w:tc>
        <w:tc>
          <w:tcPr>
            <w:tcW w:w="80" w:type="dxa"/>
            <w:vAlign w:val="bottom"/>
            <w:tcBorders>
              <w:bottom w:val="single" w:sz="8" w:color="434F69"/>
            </w:tcBorders>
          </w:tcPr>
          <w:p>
            <w:pPr>
              <w:spacing w:after="0"/>
              <w:rPr>
                <w:sz w:val="21"/>
                <w:szCs w:val="21"/>
                <w:color w:val="auto"/>
              </w:rPr>
            </w:pPr>
          </w:p>
        </w:tc>
        <w:tc>
          <w:tcPr>
            <w:tcW w:w="1020" w:type="dxa"/>
            <w:vAlign w:val="bottom"/>
            <w:tcBorders>
              <w:bottom w:val="single" w:sz="8" w:color="434F69"/>
              <w:right w:val="single" w:sz="8" w:color="434F69"/>
            </w:tcBorders>
          </w:tcPr>
          <w:p>
            <w:pPr>
              <w:jc w:val="right"/>
              <w:ind w:right="17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Borders>
              <w:left w:val="single" w:sz="8" w:color="434F69"/>
              <w:bottom w:val="single" w:sz="8" w:color="434F69"/>
              <w:right w:val="single" w:sz="8" w:color="434F69"/>
            </w:tcBorders>
          </w:tcPr>
          <w:p>
            <w:pPr>
              <w:spacing w:after="0"/>
              <w:rPr>
                <w:sz w:val="22"/>
                <w:szCs w:val="22"/>
                <w:color w:val="auto"/>
              </w:rPr>
            </w:pP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3"/>
              </w:rPr>
              <w:t>8/13/20</w:t>
            </w:r>
          </w:p>
        </w:tc>
        <w:tc>
          <w:tcPr>
            <w:tcW w:w="80" w:type="dxa"/>
            <w:vAlign w:val="bottom"/>
            <w:tcBorders>
              <w:bottom w:val="single" w:sz="8" w:color="434F69"/>
            </w:tcBorders>
          </w:tcPr>
          <w:p>
            <w:pPr>
              <w:spacing w:after="0"/>
              <w:rPr>
                <w:sz w:val="22"/>
                <w:szCs w:val="22"/>
                <w:color w:val="auto"/>
              </w:rPr>
            </w:pPr>
          </w:p>
        </w:tc>
        <w:tc>
          <w:tcPr>
            <w:tcW w:w="7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34F69"/>
              <w:right w:val="single" w:sz="8" w:color="434F69"/>
            </w:tcBorders>
            <w:gridSpan w:val="2"/>
          </w:tcPr>
          <w:p>
            <w:pPr>
              <w:jc w:val="right"/>
              <w:ind w:right="39"/>
              <w:spacing w:after="0" w:line="256" w:lineRule="exact"/>
              <w:rPr>
                <w:sz w:val="20"/>
                <w:szCs w:val="20"/>
                <w:color w:val="auto"/>
              </w:rPr>
            </w:pPr>
            <w:r>
              <w:rPr>
                <w:rFonts w:ascii="Arial" w:cs="Arial" w:eastAsia="Arial" w:hAnsi="Arial"/>
                <w:sz w:val="18"/>
                <w:szCs w:val="18"/>
                <w:color w:val="auto"/>
              </w:rPr>
              <w:t>150,380</w:t>
            </w:r>
            <w:r>
              <w:rPr>
                <w:rFonts w:ascii="Arial" w:cs="Arial" w:eastAsia="Arial" w:hAnsi="Arial"/>
                <w:sz w:val="26"/>
                <w:szCs w:val="26"/>
                <w:color w:val="auto"/>
                <w:vertAlign w:val="superscript"/>
              </w:rPr>
              <w:t>(1)</w:t>
            </w:r>
          </w:p>
        </w:tc>
        <w:tc>
          <w:tcPr>
            <w:tcW w:w="1120" w:type="dxa"/>
            <w:vAlign w:val="bottom"/>
            <w:tcBorders>
              <w:bottom w:val="single" w:sz="8" w:color="434F69"/>
              <w:right w:val="single" w:sz="8" w:color="434F69"/>
            </w:tcBorders>
          </w:tcPr>
          <w:p>
            <w:pPr>
              <w:jc w:val="right"/>
              <w:ind w:right="96"/>
              <w:spacing w:after="0"/>
              <w:rPr>
                <w:sz w:val="20"/>
                <w:szCs w:val="20"/>
                <w:color w:val="auto"/>
              </w:rPr>
            </w:pPr>
            <w:r>
              <w:rPr>
                <w:rFonts w:ascii="Arial" w:cs="Arial" w:eastAsia="Arial" w:hAnsi="Arial"/>
                <w:sz w:val="18"/>
                <w:szCs w:val="18"/>
                <w:color w:val="auto"/>
              </w:rPr>
              <w:t>898,896</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620" w:right="539" w:hanging="360"/>
        <w:spacing w:after="0" w:line="216" w:lineRule="auto"/>
        <w:tabs>
          <w:tab w:leader="none" w:pos="1620" w:val="left"/>
        </w:tabs>
        <w:numPr>
          <w:ilvl w:val="0"/>
          <w:numId w:val="60"/>
        </w:numPr>
        <w:rPr>
          <w:rFonts w:ascii="Arial" w:cs="Arial" w:eastAsia="Arial" w:hAnsi="Arial"/>
          <w:sz w:val="26"/>
          <w:szCs w:val="26"/>
          <w:color w:val="auto"/>
          <w:vertAlign w:val="superscript"/>
        </w:rPr>
      </w:pPr>
      <w:r>
        <w:rPr>
          <w:rFonts w:ascii="Arial" w:cs="Arial" w:eastAsia="Arial" w:hAnsi="Arial"/>
          <w:sz w:val="17"/>
          <w:szCs w:val="17"/>
          <w:color w:val="auto"/>
        </w:rPr>
        <w:t>50% of these phantom units will vest on the August 2023 distribution date and 50% will potentially vest on the August 2023 distribution date at a scaled payout range of between 0% and 200% based on:</w:t>
      </w:r>
    </w:p>
    <w:p>
      <w:pPr>
        <w:spacing w:after="0" w:line="1" w:lineRule="exact"/>
        <w:rPr>
          <w:rFonts w:ascii="Arial" w:cs="Arial" w:eastAsia="Arial" w:hAnsi="Arial"/>
          <w:sz w:val="26"/>
          <w:szCs w:val="26"/>
          <w:color w:val="auto"/>
          <w:vertAlign w:val="superscript"/>
        </w:rPr>
      </w:pPr>
    </w:p>
    <w:p>
      <w:pPr>
        <w:ind w:left="1620" w:right="419"/>
        <w:spacing w:after="0" w:line="251" w:lineRule="auto"/>
        <w:rPr>
          <w:rFonts w:ascii="Arial" w:cs="Arial" w:eastAsia="Arial" w:hAnsi="Arial"/>
          <w:sz w:val="26"/>
          <w:szCs w:val="26"/>
          <w:color w:val="auto"/>
          <w:vertAlign w:val="superscript"/>
        </w:rPr>
      </w:pPr>
      <w:r>
        <w:rPr>
          <w:rFonts w:ascii="Arial" w:cs="Arial" w:eastAsia="Arial" w:hAnsi="Arial"/>
          <w:sz w:val="18"/>
          <w:szCs w:val="18"/>
          <w:color w:val="auto"/>
        </w:rPr>
        <w:t>(i) with respect to 25% of the award, PAA’s TSR over the three-year period ending June 30, 2023 compared to the TSR of the TSR Comparator Group (payout may be reduced if absolute TSR is negative); and (ii) with respect to the other 25% of the award, PAA achieving cumulative DCF per common unit equivalent of $6.00 over the three-year period ending June 30, 2023 (payout may be decreased or increased (but not above 200%) based on PAA’s leverage ratio as of June 30, 2023 compared to PAA’s target leverage ratio for such date as set forth in PAA’s multi-year plan as of August 2020). DERs associated with the time-vested portion will accrue for the first year and such accrued amount will be paid in cash in a lump sum on the August 2021 distribution date; beginning in November 2021, DERs on such time-vested portion will be paid quarterly until the associated phantom units vest. DERs associated with the performance-vested portion will accrue during the three-year vesting period and be paid in cash in a lump sum on the August 2023 distribution date with respect to the number of phantom units, if any, that vest on such date.</w:t>
      </w:r>
    </w:p>
    <w:p>
      <w:pPr>
        <w:spacing w:after="0" w:line="47" w:lineRule="exact"/>
        <w:rPr>
          <w:rFonts w:ascii="Arial" w:cs="Arial" w:eastAsia="Arial" w:hAnsi="Arial"/>
          <w:sz w:val="26"/>
          <w:szCs w:val="26"/>
          <w:color w:val="auto"/>
          <w:vertAlign w:val="superscript"/>
        </w:rPr>
      </w:pPr>
    </w:p>
    <w:p>
      <w:pPr>
        <w:ind w:left="1620" w:right="419" w:hanging="360"/>
        <w:spacing w:after="0" w:line="233"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grant date fair values of phantom units granted in 2020 based on the probable outcome of underlying performance conditions pursuant to FASB ASC Topic 718. For phantom unit grants awarded in August 2020, 75% were deemed probable of vesting on the grant date. The maximum fair value of phantom unit grants awarded in August 2020, assuming that the highest level of performance conditions will be met, was $4,494,363 for Mr. Chiang and $1,797,793 for each of Messrs. Swanson, McGee, Chandler and Goebel.</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48"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148"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Mr. Chiang’s previous employment agreement was amended and restated in connection with his promotion to CEO in October 2018. Pursuant to the amended and restated agreement, which may be terminated by the Company or Mr. Chiang at any time, Mr. Chiang receives an annual salary of $600,000 plus other customary benefits generally available to all employees of the Company. Mr. Chiang’s annual cash bonus target is 250% of his annual base salary, subject to adjustment by the compensation committee and full Board. He is also eligible to receive phantom unit awards under our long-term incentive plan with an annual target value equal to 500% of his annual base salary.</w:t>
      </w:r>
    </w:p>
    <w:p>
      <w:pPr>
        <w:spacing w:after="0" w:line="127"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Mr. Pefanis is currently employed as President (he served as President and Chief Commercial Officer from January 2018 until March 2021). The initial three-year term of 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Mr. Pefanis’ agreement provided for an initial base salary of $235,000 per year, subject to annual review. In 2005, Mr. Pefanis’ annual salary was increased to $300,000, and in 2017, his annual salary was increased to $400,000. See “— Potential Payments upon Termination or Change-In-Control” for a discussion of the provisions in Messrs. Pefanis’ employment agreement related to termination, change of control and related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certain information regarding outstanding equity awards at December 31,</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 with respect to our Named Executive Officers:</w:t>
      </w:r>
    </w:p>
    <w:p>
      <w:pPr>
        <w:spacing w:after="0" w:line="169" w:lineRule="exact"/>
        <w:rPr>
          <w:sz w:val="20"/>
          <w:szCs w:val="20"/>
          <w:color w:val="auto"/>
        </w:rPr>
      </w:pPr>
    </w:p>
    <w:tbl>
      <w:tblPr>
        <w:tblLayout w:type="fixed"/>
        <w:tblInd w:w="1270" w:type="dxa"/>
        <w:tblCellMar>
          <w:top w:w="0" w:type="dxa"/>
          <w:left w:w="0" w:type="dxa"/>
          <w:bottom w:w="0" w:type="dxa"/>
          <w:right w:w="0" w:type="dxa"/>
        </w:tblCellMar>
      </w:tblPr>
      <w:tr>
        <w:trPr>
          <w:trHeight w:val="248"/>
        </w:trPr>
        <w:tc>
          <w:tcPr>
            <w:tcW w:w="3480" w:type="dxa"/>
            <w:vAlign w:val="bottom"/>
            <w:tcBorders>
              <w:left w:val="single" w:sz="8" w:color="434F69"/>
              <w:bottom w:val="single" w:sz="8" w:color="434F69"/>
              <w:right w:val="single" w:sz="8" w:color="434F69"/>
            </w:tcBorders>
            <w:shd w:val="clear" w:color="auto" w:fill="434F69"/>
          </w:tcPr>
          <w:p>
            <w:pPr>
              <w:spacing w:after="0"/>
              <w:rPr>
                <w:sz w:val="21"/>
                <w:szCs w:val="21"/>
                <w:color w:val="auto"/>
              </w:rPr>
            </w:pPr>
          </w:p>
        </w:tc>
        <w:tc>
          <w:tcPr>
            <w:tcW w:w="1240" w:type="dxa"/>
            <w:vAlign w:val="bottom"/>
            <w:tcBorders>
              <w:bottom w:val="single" w:sz="8" w:color="434F69"/>
              <w:right w:val="single" w:sz="8" w:color="434F69"/>
            </w:tcBorders>
            <w:shd w:val="clear" w:color="auto" w:fill="434F69"/>
          </w:tcPr>
          <w:p>
            <w:pPr>
              <w:spacing w:after="0"/>
              <w:rPr>
                <w:sz w:val="21"/>
                <w:szCs w:val="21"/>
                <w:color w:val="auto"/>
              </w:rPr>
            </w:pPr>
          </w:p>
        </w:tc>
        <w:tc>
          <w:tcPr>
            <w:tcW w:w="2280" w:type="dxa"/>
            <w:vAlign w:val="bottom"/>
            <w:tcBorders>
              <w:bottom w:val="single" w:sz="8" w:color="434F69"/>
              <w:right w:val="single" w:sz="8" w:color="434F69"/>
            </w:tcBorders>
            <w:gridSpan w:val="2"/>
            <w:shd w:val="clear" w:color="auto" w:fill="434F69"/>
          </w:tcPr>
          <w:p>
            <w:pPr>
              <w:jc w:val="right"/>
              <w:ind w:right="655"/>
              <w:spacing w:after="0"/>
              <w:rPr>
                <w:sz w:val="20"/>
                <w:szCs w:val="20"/>
                <w:color w:val="auto"/>
              </w:rPr>
            </w:pPr>
            <w:r>
              <w:rPr>
                <w:rFonts w:ascii="Arial" w:cs="Arial" w:eastAsia="Arial" w:hAnsi="Arial"/>
                <w:sz w:val="14"/>
                <w:szCs w:val="14"/>
                <w:b w:val="1"/>
                <w:bCs w:val="1"/>
                <w:color w:val="FFFFFF"/>
              </w:rPr>
              <w:t>Unit Awards</w:t>
            </w:r>
          </w:p>
        </w:tc>
        <w:tc>
          <w:tcPr>
            <w:tcW w:w="1220" w:type="dxa"/>
            <w:vAlign w:val="bottom"/>
            <w:tcBorders>
              <w:bottom w:val="single" w:sz="8" w:color="434F69"/>
              <w:right w:val="single" w:sz="8" w:color="434F69"/>
            </w:tcBorders>
            <w:shd w:val="clear" w:color="auto" w:fill="434F69"/>
          </w:tcPr>
          <w:p>
            <w:pPr>
              <w:spacing w:after="0"/>
              <w:rPr>
                <w:sz w:val="21"/>
                <w:szCs w:val="21"/>
                <w:color w:val="auto"/>
              </w:rPr>
            </w:pPr>
          </w:p>
        </w:tc>
      </w:tr>
      <w:tr>
        <w:trPr>
          <w:trHeight w:val="133"/>
        </w:trPr>
        <w:tc>
          <w:tcPr>
            <w:tcW w:w="3480" w:type="dxa"/>
            <w:vAlign w:val="bottom"/>
            <w:tcBorders>
              <w:top w:val="single" w:sz="8" w:color="434F69"/>
              <w:left w:val="single" w:sz="8" w:color="434F69"/>
              <w:right w:val="single" w:sz="8" w:color="434F69"/>
            </w:tcBorders>
            <w:shd w:val="clear" w:color="auto" w:fill="434F69"/>
          </w:tcPr>
          <w:p>
            <w:pPr>
              <w:spacing w:after="0"/>
              <w:rPr>
                <w:sz w:val="11"/>
                <w:szCs w:val="11"/>
                <w:color w:val="auto"/>
              </w:rPr>
            </w:pPr>
          </w:p>
        </w:tc>
        <w:tc>
          <w:tcPr>
            <w:tcW w:w="1240" w:type="dxa"/>
            <w:vAlign w:val="bottom"/>
            <w:tcBorders>
              <w:top w:val="single" w:sz="8" w:color="auto"/>
              <w:right w:val="single" w:sz="8" w:color="434F69"/>
            </w:tcBorders>
            <w:shd w:val="clear" w:color="auto" w:fill="434F69"/>
          </w:tcPr>
          <w:p>
            <w:pPr>
              <w:spacing w:after="0"/>
              <w:rPr>
                <w:sz w:val="11"/>
                <w:szCs w:val="11"/>
                <w:color w:val="auto"/>
              </w:rPr>
            </w:pPr>
          </w:p>
        </w:tc>
        <w:tc>
          <w:tcPr>
            <w:tcW w:w="1060" w:type="dxa"/>
            <w:vAlign w:val="bottom"/>
            <w:tcBorders>
              <w:top w:val="single" w:sz="8" w:color="auto"/>
              <w:right w:val="single" w:sz="8" w:color="434F69"/>
            </w:tcBorders>
            <w:shd w:val="clear" w:color="auto" w:fill="434F69"/>
          </w:tcPr>
          <w:p>
            <w:pPr>
              <w:spacing w:after="0"/>
              <w:rPr>
                <w:sz w:val="11"/>
                <w:szCs w:val="11"/>
                <w:color w:val="auto"/>
              </w:rPr>
            </w:pPr>
          </w:p>
        </w:tc>
        <w:tc>
          <w:tcPr>
            <w:tcW w:w="1220" w:type="dxa"/>
            <w:vAlign w:val="bottom"/>
            <w:tcBorders>
              <w:top w:val="single" w:sz="8" w:color="auto"/>
              <w:right w:val="single" w:sz="8" w:color="434F69"/>
            </w:tcBorders>
            <w:shd w:val="clear" w:color="auto" w:fill="434F69"/>
          </w:tcPr>
          <w:p>
            <w:pPr>
              <w:spacing w:after="0"/>
              <w:rPr>
                <w:sz w:val="11"/>
                <w:szCs w:val="11"/>
                <w:color w:val="auto"/>
              </w:rPr>
            </w:pPr>
          </w:p>
        </w:tc>
        <w:tc>
          <w:tcPr>
            <w:tcW w:w="1220" w:type="dxa"/>
            <w:vAlign w:val="bottom"/>
            <w:tcBorders>
              <w:top w:val="single" w:sz="8" w:color="auto"/>
              <w:right w:val="single" w:sz="8" w:color="434F69"/>
            </w:tcBorders>
            <w:shd w:val="clear" w:color="auto" w:fill="434F69"/>
          </w:tcPr>
          <w:p>
            <w:pPr>
              <w:jc w:val="center"/>
              <w:spacing w:after="0" w:line="133" w:lineRule="exact"/>
              <w:rPr>
                <w:sz w:val="20"/>
                <w:szCs w:val="20"/>
                <w:color w:val="auto"/>
              </w:rPr>
            </w:pPr>
            <w:r>
              <w:rPr>
                <w:rFonts w:ascii="Arial" w:cs="Arial" w:eastAsia="Arial" w:hAnsi="Arial"/>
                <w:sz w:val="14"/>
                <w:szCs w:val="14"/>
                <w:b w:val="1"/>
                <w:bCs w:val="1"/>
                <w:color w:val="FFFFFF"/>
                <w:w w:val="93"/>
              </w:rPr>
              <w:t>Equity</w:t>
            </w:r>
          </w:p>
        </w:tc>
      </w:tr>
      <w:tr>
        <w:trPr>
          <w:trHeight w:val="162"/>
        </w:trPr>
        <w:tc>
          <w:tcPr>
            <w:tcW w:w="34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spacing w:after="0"/>
              <w:rPr>
                <w:sz w:val="14"/>
                <w:szCs w:val="14"/>
                <w:color w:val="auto"/>
              </w:rPr>
            </w:pPr>
          </w:p>
        </w:tc>
        <w:tc>
          <w:tcPr>
            <w:tcW w:w="1060" w:type="dxa"/>
            <w:vAlign w:val="bottom"/>
            <w:tcBorders>
              <w:right w:val="single" w:sz="8" w:color="434F69"/>
            </w:tcBorders>
            <w:shd w:val="clear" w:color="auto" w:fill="434F69"/>
          </w:tcPr>
          <w:p>
            <w:pPr>
              <w:spacing w:after="0"/>
              <w:rPr>
                <w:sz w:val="14"/>
                <w:szCs w:val="14"/>
                <w:color w:val="auto"/>
              </w:rPr>
            </w:pP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Equity</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Incentive</w:t>
            </w:r>
          </w:p>
        </w:tc>
      </w:tr>
      <w:tr>
        <w:trPr>
          <w:trHeight w:val="162"/>
        </w:trPr>
        <w:tc>
          <w:tcPr>
            <w:tcW w:w="34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spacing w:after="0"/>
              <w:rPr>
                <w:sz w:val="14"/>
                <w:szCs w:val="14"/>
                <w:color w:val="auto"/>
              </w:rPr>
            </w:pPr>
          </w:p>
        </w:tc>
        <w:tc>
          <w:tcPr>
            <w:tcW w:w="1060" w:type="dxa"/>
            <w:vAlign w:val="bottom"/>
            <w:tcBorders>
              <w:right w:val="single" w:sz="8" w:color="434F69"/>
            </w:tcBorders>
            <w:shd w:val="clear" w:color="auto" w:fill="434F69"/>
          </w:tcPr>
          <w:p>
            <w:pPr>
              <w:spacing w:after="0"/>
              <w:rPr>
                <w:sz w:val="14"/>
                <w:szCs w:val="14"/>
                <w:color w:val="auto"/>
              </w:rPr>
            </w:pP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Incentive</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Plan Awards:</w:t>
            </w:r>
          </w:p>
        </w:tc>
      </w:tr>
      <w:tr>
        <w:trPr>
          <w:trHeight w:val="162"/>
        </w:trPr>
        <w:tc>
          <w:tcPr>
            <w:tcW w:w="34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spacing w:after="0"/>
              <w:rPr>
                <w:sz w:val="14"/>
                <w:szCs w:val="14"/>
                <w:color w:val="auto"/>
              </w:rPr>
            </w:pPr>
          </w:p>
        </w:tc>
        <w:tc>
          <w:tcPr>
            <w:tcW w:w="1060" w:type="dxa"/>
            <w:vAlign w:val="bottom"/>
            <w:tcBorders>
              <w:right w:val="single" w:sz="8" w:color="434F69"/>
            </w:tcBorders>
            <w:shd w:val="clear" w:color="auto" w:fill="434F69"/>
          </w:tcPr>
          <w:p>
            <w:pPr>
              <w:spacing w:after="0"/>
              <w:rPr>
                <w:sz w:val="14"/>
                <w:szCs w:val="14"/>
                <w:color w:val="auto"/>
              </w:rPr>
            </w:pP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Plan Awards:</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Market or</w:t>
            </w:r>
          </w:p>
        </w:tc>
      </w:tr>
      <w:tr>
        <w:trPr>
          <w:trHeight w:val="162"/>
        </w:trPr>
        <w:tc>
          <w:tcPr>
            <w:tcW w:w="34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spacing w:after="0"/>
              <w:rPr>
                <w:sz w:val="14"/>
                <w:szCs w:val="14"/>
                <w:color w:val="auto"/>
              </w:rPr>
            </w:pPr>
          </w:p>
        </w:tc>
        <w:tc>
          <w:tcPr>
            <w:tcW w:w="10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Market</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Number of</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Payout Value</w:t>
            </w:r>
          </w:p>
        </w:tc>
      </w:tr>
      <w:tr>
        <w:trPr>
          <w:trHeight w:val="162"/>
        </w:trPr>
        <w:tc>
          <w:tcPr>
            <w:tcW w:w="34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spacing w:after="0"/>
              <w:rPr>
                <w:sz w:val="14"/>
                <w:szCs w:val="14"/>
                <w:color w:val="auto"/>
              </w:rPr>
            </w:pPr>
          </w:p>
        </w:tc>
        <w:tc>
          <w:tcPr>
            <w:tcW w:w="10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Value of</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Unearned</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of Unearned</w:t>
            </w:r>
          </w:p>
        </w:tc>
      </w:tr>
      <w:tr>
        <w:trPr>
          <w:trHeight w:val="162"/>
        </w:trPr>
        <w:tc>
          <w:tcPr>
            <w:tcW w:w="34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Number of</w:t>
            </w:r>
          </w:p>
        </w:tc>
        <w:tc>
          <w:tcPr>
            <w:tcW w:w="10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Shares or</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Shares,</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Shares,</w:t>
            </w:r>
          </w:p>
        </w:tc>
      </w:tr>
      <w:tr>
        <w:trPr>
          <w:trHeight w:val="162"/>
        </w:trPr>
        <w:tc>
          <w:tcPr>
            <w:tcW w:w="34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Shares or</w:t>
            </w:r>
          </w:p>
        </w:tc>
        <w:tc>
          <w:tcPr>
            <w:tcW w:w="10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Units of</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Units or</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Units or</w:t>
            </w:r>
          </w:p>
        </w:tc>
      </w:tr>
      <w:tr>
        <w:trPr>
          <w:trHeight w:val="162"/>
        </w:trPr>
        <w:tc>
          <w:tcPr>
            <w:tcW w:w="3480" w:type="dxa"/>
            <w:vAlign w:val="bottom"/>
            <w:tcBorders>
              <w:left w:val="single" w:sz="8" w:color="434F69"/>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Units of Stock</w:t>
            </w:r>
          </w:p>
        </w:tc>
        <w:tc>
          <w:tcPr>
            <w:tcW w:w="10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Stock That</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Other Rights</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Other Rights</w:t>
            </w:r>
          </w:p>
        </w:tc>
      </w:tr>
      <w:tr>
        <w:trPr>
          <w:trHeight w:val="158"/>
        </w:trPr>
        <w:tc>
          <w:tcPr>
            <w:tcW w:w="3480" w:type="dxa"/>
            <w:vAlign w:val="bottom"/>
            <w:tcBorders>
              <w:left w:val="single" w:sz="8" w:color="434F69"/>
              <w:right w:val="single" w:sz="8" w:color="434F69"/>
            </w:tcBorders>
            <w:shd w:val="clear" w:color="auto" w:fill="434F69"/>
          </w:tcPr>
          <w:p>
            <w:pPr>
              <w:spacing w:after="0"/>
              <w:rPr>
                <w:sz w:val="13"/>
                <w:szCs w:val="13"/>
                <w:color w:val="auto"/>
              </w:rPr>
            </w:pPr>
          </w:p>
        </w:tc>
        <w:tc>
          <w:tcPr>
            <w:tcW w:w="12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That Have</w:t>
            </w:r>
          </w:p>
        </w:tc>
        <w:tc>
          <w:tcPr>
            <w:tcW w:w="106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Have Not</w:t>
            </w:r>
          </w:p>
        </w:tc>
        <w:tc>
          <w:tcPr>
            <w:tcW w:w="122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That Have</w:t>
            </w:r>
          </w:p>
        </w:tc>
        <w:tc>
          <w:tcPr>
            <w:tcW w:w="122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That Have</w:t>
            </w:r>
          </w:p>
        </w:tc>
      </w:tr>
      <w:tr>
        <w:trPr>
          <w:trHeight w:val="243"/>
        </w:trPr>
        <w:tc>
          <w:tcPr>
            <w:tcW w:w="348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Not Vested (#)</w:t>
            </w:r>
          </w:p>
        </w:tc>
        <w:tc>
          <w:tcPr>
            <w:tcW w:w="106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3"/>
              </w:rPr>
              <w:t>Vested ($)</w:t>
            </w:r>
            <w:r>
              <w:rPr>
                <w:rFonts w:ascii="Arial" w:cs="Arial" w:eastAsia="Arial" w:hAnsi="Arial"/>
                <w:sz w:val="21"/>
                <w:szCs w:val="21"/>
                <w:b w:val="1"/>
                <w:bCs w:val="1"/>
                <w:color w:val="FFFFFF"/>
                <w:w w:val="83"/>
                <w:vertAlign w:val="superscript"/>
              </w:rPr>
              <w:t>(1)</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Not Vested (#)</w:t>
            </w:r>
          </w:p>
        </w:tc>
        <w:tc>
          <w:tcPr>
            <w:tcW w:w="122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6"/>
              </w:rPr>
              <w:t>Not Vested ($)</w:t>
            </w:r>
            <w:r>
              <w:rPr>
                <w:rFonts w:ascii="Arial" w:cs="Arial" w:eastAsia="Arial" w:hAnsi="Arial"/>
                <w:sz w:val="21"/>
                <w:szCs w:val="21"/>
                <w:b w:val="1"/>
                <w:bCs w:val="1"/>
                <w:color w:val="FFFFFF"/>
                <w:w w:val="86"/>
                <w:vertAlign w:val="superscript"/>
              </w:rPr>
              <w:t>(1)</w:t>
            </w:r>
          </w:p>
        </w:tc>
      </w:tr>
      <w:tr>
        <w:trPr>
          <w:trHeight w:val="256"/>
        </w:trPr>
        <w:tc>
          <w:tcPr>
            <w:tcW w:w="34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Willie Chiang</w:t>
            </w:r>
          </w:p>
        </w:tc>
        <w:tc>
          <w:tcPr>
            <w:tcW w:w="1240" w:type="dxa"/>
            <w:vAlign w:val="bottom"/>
            <w:tcBorders>
              <w:bottom w:val="single" w:sz="8" w:color="434F69"/>
              <w:right w:val="single" w:sz="8" w:color="434F69"/>
            </w:tcBorders>
          </w:tcPr>
          <w:p>
            <w:pPr>
              <w:jc w:val="right"/>
              <w:ind w:right="93"/>
              <w:spacing w:after="0" w:line="256" w:lineRule="exact"/>
              <w:rPr>
                <w:sz w:val="20"/>
                <w:szCs w:val="20"/>
                <w:color w:val="auto"/>
              </w:rPr>
            </w:pPr>
            <w:r>
              <w:rPr>
                <w:rFonts w:ascii="Arial" w:cs="Arial" w:eastAsia="Arial" w:hAnsi="Arial"/>
                <w:sz w:val="18"/>
                <w:szCs w:val="18"/>
                <w:color w:val="auto"/>
              </w:rPr>
              <w:t>375,521</w:t>
            </w:r>
            <w:r>
              <w:rPr>
                <w:rFonts w:ascii="Arial" w:cs="Arial" w:eastAsia="Arial" w:hAnsi="Arial"/>
                <w:sz w:val="26"/>
                <w:szCs w:val="26"/>
                <w:color w:val="auto"/>
                <w:vertAlign w:val="superscript"/>
              </w:rPr>
              <w:t>(2)</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2,986,982</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27,500</w:t>
            </w:r>
            <w:r>
              <w:rPr>
                <w:rFonts w:ascii="Arial" w:cs="Arial" w:eastAsia="Arial" w:hAnsi="Arial"/>
                <w:sz w:val="26"/>
                <w:szCs w:val="26"/>
                <w:color w:val="auto"/>
                <w:vertAlign w:val="superscript"/>
              </w:rPr>
              <w:t>(3)</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226,600</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25,000</w:t>
            </w:r>
            <w:r>
              <w:rPr>
                <w:rFonts w:ascii="Arial" w:cs="Arial" w:eastAsia="Arial" w:hAnsi="Arial"/>
                <w:sz w:val="26"/>
                <w:szCs w:val="26"/>
                <w:color w:val="auto"/>
                <w:vertAlign w:val="superscript"/>
              </w:rPr>
              <w:t>(4)</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206,000</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25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95"/>
              <w:spacing w:after="0" w:line="250" w:lineRule="exact"/>
              <w:rPr>
                <w:sz w:val="20"/>
                <w:szCs w:val="20"/>
                <w:color w:val="auto"/>
              </w:rPr>
            </w:pPr>
            <w:r>
              <w:rPr>
                <w:rFonts w:ascii="Arial" w:cs="Arial" w:eastAsia="Arial" w:hAnsi="Arial"/>
                <w:sz w:val="18"/>
                <w:szCs w:val="18"/>
                <w:color w:val="auto"/>
              </w:rPr>
              <w:t>500,000</w:t>
            </w:r>
            <w:r>
              <w:rPr>
                <w:rFonts w:ascii="Arial" w:cs="Arial" w:eastAsia="Arial" w:hAnsi="Arial"/>
                <w:sz w:val="26"/>
                <w:szCs w:val="26"/>
                <w:color w:val="auto"/>
                <w:vertAlign w:val="superscript"/>
              </w:rPr>
              <w:t>(5)</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4,120,000</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62,870</w:t>
            </w:r>
            <w:r>
              <w:rPr>
                <w:rFonts w:ascii="Arial" w:cs="Arial" w:eastAsia="Arial" w:hAnsi="Arial"/>
                <w:sz w:val="26"/>
                <w:szCs w:val="26"/>
                <w:color w:val="auto"/>
                <w:vertAlign w:val="superscript"/>
              </w:rPr>
              <w:t>(6)</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518,049</w:t>
            </w:r>
          </w:p>
        </w:tc>
        <w:tc>
          <w:tcPr>
            <w:tcW w:w="1220" w:type="dxa"/>
            <w:vAlign w:val="bottom"/>
            <w:tcBorders>
              <w:bottom w:val="single" w:sz="8" w:color="434F69"/>
              <w:right w:val="single" w:sz="8" w:color="434F69"/>
            </w:tcBorders>
          </w:tcPr>
          <w:p>
            <w:pPr>
              <w:jc w:val="right"/>
              <w:ind w:right="95"/>
              <w:spacing w:after="0" w:line="250" w:lineRule="exact"/>
              <w:rPr>
                <w:sz w:val="20"/>
                <w:szCs w:val="20"/>
                <w:color w:val="auto"/>
              </w:rPr>
            </w:pPr>
            <w:r>
              <w:rPr>
                <w:rFonts w:ascii="Arial" w:cs="Arial" w:eastAsia="Arial" w:hAnsi="Arial"/>
                <w:sz w:val="18"/>
                <w:szCs w:val="18"/>
                <w:color w:val="auto"/>
              </w:rPr>
              <w:t>62,870</w:t>
            </w:r>
            <w:r>
              <w:rPr>
                <w:rFonts w:ascii="Arial" w:cs="Arial" w:eastAsia="Arial" w:hAnsi="Arial"/>
                <w:sz w:val="26"/>
                <w:szCs w:val="26"/>
                <w:color w:val="auto"/>
                <w:vertAlign w:val="superscript"/>
              </w:rPr>
              <w:t>(7)</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518,049</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13"/>
              <w:spacing w:after="0" w:line="250" w:lineRule="exact"/>
              <w:rPr>
                <w:sz w:val="20"/>
                <w:szCs w:val="20"/>
                <w:color w:val="auto"/>
              </w:rPr>
            </w:pPr>
            <w:r>
              <w:rPr>
                <w:rFonts w:ascii="Arial" w:cs="Arial" w:eastAsia="Arial" w:hAnsi="Arial"/>
                <w:sz w:val="18"/>
                <w:szCs w:val="18"/>
                <w:color w:val="auto"/>
              </w:rPr>
              <w:t>187,970</w:t>
            </w:r>
            <w:r>
              <w:rPr>
                <w:rFonts w:ascii="Arial" w:cs="Arial" w:eastAsia="Arial" w:hAnsi="Arial"/>
                <w:sz w:val="26"/>
                <w:szCs w:val="26"/>
                <w:color w:val="auto"/>
                <w:vertAlign w:val="superscript"/>
              </w:rPr>
              <w:t>(13)</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1,548,873</w:t>
            </w:r>
          </w:p>
        </w:tc>
        <w:tc>
          <w:tcPr>
            <w:tcW w:w="1220" w:type="dxa"/>
            <w:vAlign w:val="bottom"/>
            <w:tcBorders>
              <w:bottom w:val="single" w:sz="8" w:color="434F69"/>
              <w:right w:val="single" w:sz="8" w:color="434F69"/>
            </w:tcBorders>
          </w:tcPr>
          <w:p>
            <w:pPr>
              <w:jc w:val="right"/>
              <w:ind w:right="15"/>
              <w:spacing w:after="0" w:line="250" w:lineRule="exact"/>
              <w:rPr>
                <w:sz w:val="20"/>
                <w:szCs w:val="20"/>
                <w:color w:val="auto"/>
              </w:rPr>
            </w:pPr>
            <w:r>
              <w:rPr>
                <w:rFonts w:ascii="Arial" w:cs="Arial" w:eastAsia="Arial" w:hAnsi="Arial"/>
                <w:sz w:val="18"/>
                <w:szCs w:val="18"/>
                <w:color w:val="auto"/>
              </w:rPr>
              <w:t>187,970</w:t>
            </w:r>
            <w:r>
              <w:rPr>
                <w:rFonts w:ascii="Arial" w:cs="Arial" w:eastAsia="Arial" w:hAnsi="Arial"/>
                <w:sz w:val="26"/>
                <w:szCs w:val="26"/>
                <w:color w:val="auto"/>
                <w:vertAlign w:val="superscript"/>
              </w:rPr>
              <w:t>(14)</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1,548,873</w:t>
            </w:r>
          </w:p>
        </w:tc>
      </w:tr>
      <w:tr>
        <w:trPr>
          <w:trHeight w:val="304"/>
        </w:trPr>
        <w:tc>
          <w:tcPr>
            <w:tcW w:w="348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06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44"/>
        </w:trPr>
        <w:tc>
          <w:tcPr>
            <w:tcW w:w="34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240" w:type="dxa"/>
            <w:vAlign w:val="bottom"/>
            <w:tcBorders>
              <w:bottom w:val="single" w:sz="8" w:color="434F69"/>
              <w:right w:val="single" w:sz="8" w:color="434F69"/>
            </w:tcBorders>
          </w:tcPr>
          <w:p>
            <w:pPr>
              <w:jc w:val="right"/>
              <w:ind w:right="25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310"/>
        </w:trPr>
        <w:tc>
          <w:tcPr>
            <w:tcW w:w="348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06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34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23,000</w:t>
            </w:r>
            <w:r>
              <w:rPr>
                <w:rFonts w:ascii="Arial" w:cs="Arial" w:eastAsia="Arial" w:hAnsi="Arial"/>
                <w:sz w:val="26"/>
                <w:szCs w:val="26"/>
                <w:color w:val="auto"/>
                <w:vertAlign w:val="superscript"/>
              </w:rPr>
              <w:t>(3)</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189,520</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15,000</w:t>
            </w:r>
            <w:r>
              <w:rPr>
                <w:rFonts w:ascii="Arial" w:cs="Arial" w:eastAsia="Arial" w:hAnsi="Arial"/>
                <w:sz w:val="26"/>
                <w:szCs w:val="26"/>
                <w:color w:val="auto"/>
                <w:vertAlign w:val="superscript"/>
              </w:rPr>
              <w:t>(4)</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123,600</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(6)</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207,236</w:t>
            </w:r>
          </w:p>
        </w:tc>
        <w:tc>
          <w:tcPr>
            <w:tcW w:w="1220" w:type="dxa"/>
            <w:vAlign w:val="bottom"/>
            <w:tcBorders>
              <w:bottom w:val="single" w:sz="8" w:color="434F69"/>
              <w:right w:val="single" w:sz="8" w:color="434F69"/>
            </w:tcBorders>
          </w:tcPr>
          <w:p>
            <w:pPr>
              <w:jc w:val="right"/>
              <w:ind w:right="95"/>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(7)</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207,236</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13"/>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(13)</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619,566</w:t>
            </w:r>
          </w:p>
        </w:tc>
        <w:tc>
          <w:tcPr>
            <w:tcW w:w="1220" w:type="dxa"/>
            <w:vAlign w:val="bottom"/>
            <w:tcBorders>
              <w:bottom w:val="single" w:sz="8" w:color="434F69"/>
              <w:right w:val="single" w:sz="8" w:color="434F69"/>
            </w:tcBorders>
          </w:tcPr>
          <w:p>
            <w:pPr>
              <w:jc w:val="right"/>
              <w:ind w:right="15"/>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(14)</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619,566</w:t>
            </w:r>
          </w:p>
        </w:tc>
      </w:tr>
      <w:tr>
        <w:trPr>
          <w:trHeight w:val="304"/>
        </w:trPr>
        <w:tc>
          <w:tcPr>
            <w:tcW w:w="348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06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34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240" w:type="dxa"/>
            <w:vAlign w:val="bottom"/>
            <w:tcBorders>
              <w:bottom w:val="single" w:sz="8" w:color="434F69"/>
              <w:right w:val="single" w:sz="8" w:color="434F69"/>
            </w:tcBorders>
          </w:tcPr>
          <w:p>
            <w:pPr>
              <w:jc w:val="right"/>
              <w:ind w:right="13"/>
              <w:spacing w:after="0" w:line="250" w:lineRule="exact"/>
              <w:rPr>
                <w:sz w:val="20"/>
                <w:szCs w:val="20"/>
                <w:color w:val="auto"/>
              </w:rPr>
            </w:pPr>
            <w:r>
              <w:rPr>
                <w:rFonts w:ascii="Arial" w:cs="Arial" w:eastAsia="Arial" w:hAnsi="Arial"/>
                <w:sz w:val="18"/>
                <w:szCs w:val="18"/>
                <w:color w:val="auto"/>
              </w:rPr>
              <w:t>244,694</w:t>
            </w:r>
            <w:r>
              <w:rPr>
                <w:rFonts w:ascii="Arial" w:cs="Arial" w:eastAsia="Arial" w:hAnsi="Arial"/>
                <w:sz w:val="26"/>
                <w:szCs w:val="26"/>
                <w:color w:val="auto"/>
                <w:vertAlign w:val="superscript"/>
              </w:rPr>
              <w:t>(10)</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1,946,356</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23,000</w:t>
            </w:r>
            <w:r>
              <w:rPr>
                <w:rFonts w:ascii="Arial" w:cs="Arial" w:eastAsia="Arial" w:hAnsi="Arial"/>
                <w:sz w:val="26"/>
                <w:szCs w:val="26"/>
                <w:color w:val="auto"/>
                <w:vertAlign w:val="superscript"/>
              </w:rPr>
              <w:t>(3)</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189,520</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12,500</w:t>
            </w:r>
            <w:r>
              <w:rPr>
                <w:rFonts w:ascii="Arial" w:cs="Arial" w:eastAsia="Arial" w:hAnsi="Arial"/>
                <w:sz w:val="26"/>
                <w:szCs w:val="26"/>
                <w:color w:val="auto"/>
                <w:vertAlign w:val="superscript"/>
              </w:rPr>
              <w:t>(4)</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103,000</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(6)</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207,236</w:t>
            </w:r>
          </w:p>
        </w:tc>
        <w:tc>
          <w:tcPr>
            <w:tcW w:w="1220" w:type="dxa"/>
            <w:vAlign w:val="bottom"/>
            <w:tcBorders>
              <w:bottom w:val="single" w:sz="8" w:color="434F69"/>
              <w:right w:val="single" w:sz="8" w:color="434F69"/>
            </w:tcBorders>
          </w:tcPr>
          <w:p>
            <w:pPr>
              <w:jc w:val="right"/>
              <w:ind w:right="95"/>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(7)</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207,236</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13"/>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(13)</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619,566</w:t>
            </w:r>
          </w:p>
        </w:tc>
        <w:tc>
          <w:tcPr>
            <w:tcW w:w="1220" w:type="dxa"/>
            <w:vAlign w:val="bottom"/>
            <w:tcBorders>
              <w:bottom w:val="single" w:sz="8" w:color="434F69"/>
              <w:right w:val="single" w:sz="8" w:color="434F69"/>
            </w:tcBorders>
          </w:tcPr>
          <w:p>
            <w:pPr>
              <w:jc w:val="right"/>
              <w:ind w:right="15"/>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(14)</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619,566</w:t>
            </w:r>
          </w:p>
        </w:tc>
      </w:tr>
      <w:tr>
        <w:trPr>
          <w:trHeight w:val="304"/>
        </w:trPr>
        <w:tc>
          <w:tcPr>
            <w:tcW w:w="348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06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34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37,500</w:t>
            </w:r>
            <w:r>
              <w:rPr>
                <w:rFonts w:ascii="Arial" w:cs="Arial" w:eastAsia="Arial" w:hAnsi="Arial"/>
                <w:sz w:val="26"/>
                <w:szCs w:val="26"/>
                <w:color w:val="auto"/>
                <w:vertAlign w:val="superscript"/>
              </w:rPr>
              <w:t>(9)</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309,000</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90,000</w:t>
            </w:r>
            <w:r>
              <w:rPr>
                <w:rFonts w:ascii="Arial" w:cs="Arial" w:eastAsia="Arial" w:hAnsi="Arial"/>
                <w:sz w:val="26"/>
                <w:szCs w:val="26"/>
                <w:color w:val="auto"/>
                <w:vertAlign w:val="superscript"/>
              </w:rPr>
              <w:t>(9)</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741,600</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(6)</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207,236</w:t>
            </w:r>
          </w:p>
        </w:tc>
        <w:tc>
          <w:tcPr>
            <w:tcW w:w="1220" w:type="dxa"/>
            <w:vAlign w:val="bottom"/>
            <w:tcBorders>
              <w:bottom w:val="single" w:sz="8" w:color="434F69"/>
              <w:right w:val="single" w:sz="8" w:color="434F69"/>
            </w:tcBorders>
          </w:tcPr>
          <w:p>
            <w:pPr>
              <w:jc w:val="right"/>
              <w:ind w:right="95"/>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(7)</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207,236</w:t>
            </w:r>
          </w:p>
        </w:tc>
      </w:tr>
      <w:tr>
        <w:trPr>
          <w:trHeight w:val="236"/>
        </w:trPr>
        <w:tc>
          <w:tcPr>
            <w:tcW w:w="3480" w:type="dxa"/>
            <w:vAlign w:val="bottom"/>
            <w:tcBorders>
              <w:left w:val="single" w:sz="8" w:color="434F69"/>
              <w:bottom w:val="single" w:sz="8" w:color="434F69"/>
              <w:right w:val="single" w:sz="8" w:color="434F69"/>
            </w:tcBorders>
          </w:tcPr>
          <w:p>
            <w:pPr>
              <w:spacing w:after="0"/>
              <w:rPr>
                <w:sz w:val="20"/>
                <w:szCs w:val="20"/>
                <w:color w:val="auto"/>
              </w:rPr>
            </w:pPr>
          </w:p>
        </w:tc>
        <w:tc>
          <w:tcPr>
            <w:tcW w:w="1240" w:type="dxa"/>
            <w:vAlign w:val="bottom"/>
            <w:tcBorders>
              <w:bottom w:val="single" w:sz="8" w:color="434F69"/>
              <w:right w:val="single" w:sz="8" w:color="434F69"/>
            </w:tcBorders>
          </w:tcPr>
          <w:p>
            <w:pPr>
              <w:jc w:val="right"/>
              <w:ind w:right="93"/>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6"/>
                <w:szCs w:val="26"/>
                <w:color w:val="auto"/>
                <w:vertAlign w:val="superscript"/>
              </w:rPr>
              <w:t>(8)</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2,060,000</w:t>
            </w:r>
          </w:p>
        </w:tc>
        <w:tc>
          <w:tcPr>
            <w:tcW w:w="1220" w:type="dxa"/>
            <w:vAlign w:val="bottom"/>
            <w:tcBorders>
              <w:bottom w:val="single" w:sz="8" w:color="434F69"/>
              <w:right w:val="single" w:sz="8" w:color="434F69"/>
            </w:tcBorders>
          </w:tcPr>
          <w:p>
            <w:pPr>
              <w:jc w:val="right"/>
              <w:ind w:right="95"/>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6"/>
                <w:szCs w:val="26"/>
                <w:color w:val="auto"/>
                <w:vertAlign w:val="superscript"/>
              </w:rPr>
              <w:t>(8)</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2,060,000</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13"/>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(13)</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619,566</w:t>
            </w:r>
          </w:p>
        </w:tc>
        <w:tc>
          <w:tcPr>
            <w:tcW w:w="1220" w:type="dxa"/>
            <w:vAlign w:val="bottom"/>
            <w:tcBorders>
              <w:bottom w:val="single" w:sz="8" w:color="434F69"/>
              <w:right w:val="single" w:sz="8" w:color="434F69"/>
            </w:tcBorders>
          </w:tcPr>
          <w:p>
            <w:pPr>
              <w:jc w:val="right"/>
              <w:ind w:right="15"/>
              <w:spacing w:after="0" w:line="250"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(14)</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619,566</w:t>
            </w:r>
          </w:p>
        </w:tc>
      </w:tr>
      <w:tr>
        <w:trPr>
          <w:trHeight w:val="304"/>
        </w:trPr>
        <w:tc>
          <w:tcPr>
            <w:tcW w:w="348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240" w:type="dxa"/>
            <w:vAlign w:val="bottom"/>
            <w:tcBorders>
              <w:bottom w:val="single" w:sz="8" w:color="434F69"/>
              <w:right w:val="single" w:sz="8" w:color="434F69"/>
            </w:tcBorders>
            <w:shd w:val="clear" w:color="auto" w:fill="D9DCE1"/>
          </w:tcPr>
          <w:p>
            <w:pPr>
              <w:spacing w:after="0"/>
              <w:rPr>
                <w:sz w:val="24"/>
                <w:szCs w:val="24"/>
                <w:color w:val="auto"/>
              </w:rPr>
            </w:pPr>
          </w:p>
        </w:tc>
        <w:tc>
          <w:tcPr>
            <w:tcW w:w="106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348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240" w:type="dxa"/>
            <w:vAlign w:val="bottom"/>
            <w:tcBorders>
              <w:bottom w:val="single" w:sz="8" w:color="434F69"/>
              <w:right w:val="single" w:sz="8" w:color="434F69"/>
            </w:tcBorders>
          </w:tcPr>
          <w:p>
            <w:pPr>
              <w:jc w:val="right"/>
              <w:ind w:right="33"/>
              <w:spacing w:after="0" w:line="250" w:lineRule="exact"/>
              <w:rPr>
                <w:sz w:val="20"/>
                <w:szCs w:val="20"/>
                <w:color w:val="auto"/>
              </w:rPr>
            </w:pPr>
            <w:r>
              <w:rPr>
                <w:rFonts w:ascii="Arial" w:cs="Arial" w:eastAsia="Arial" w:hAnsi="Arial"/>
                <w:sz w:val="18"/>
                <w:szCs w:val="18"/>
                <w:color w:val="auto"/>
              </w:rPr>
              <w:t>37,552</w:t>
            </w:r>
            <w:r>
              <w:rPr>
                <w:rFonts w:ascii="Arial" w:cs="Arial" w:eastAsia="Arial" w:hAnsi="Arial"/>
                <w:sz w:val="26"/>
                <w:szCs w:val="26"/>
                <w:color w:val="auto"/>
                <w:vertAlign w:val="superscript"/>
              </w:rPr>
              <w:t>(11)</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298,708</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9,167</w:t>
            </w:r>
            <w:r>
              <w:rPr>
                <w:rFonts w:ascii="Arial" w:cs="Arial" w:eastAsia="Arial" w:hAnsi="Arial"/>
                <w:sz w:val="26"/>
                <w:szCs w:val="26"/>
                <w:color w:val="auto"/>
                <w:vertAlign w:val="superscript"/>
              </w:rPr>
              <w:t>(3)</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75,536</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13"/>
              <w:spacing w:after="0" w:line="250" w:lineRule="exact"/>
              <w:rPr>
                <w:sz w:val="20"/>
                <w:szCs w:val="20"/>
                <w:color w:val="auto"/>
              </w:rPr>
            </w:pPr>
            <w:r>
              <w:rPr>
                <w:rFonts w:ascii="Arial" w:cs="Arial" w:eastAsia="Arial" w:hAnsi="Arial"/>
                <w:sz w:val="18"/>
                <w:szCs w:val="18"/>
                <w:color w:val="auto"/>
              </w:rPr>
              <w:t>90,000</w:t>
            </w:r>
            <w:r>
              <w:rPr>
                <w:rFonts w:ascii="Arial" w:cs="Arial" w:eastAsia="Arial" w:hAnsi="Arial"/>
                <w:sz w:val="26"/>
                <w:szCs w:val="26"/>
                <w:color w:val="auto"/>
                <w:vertAlign w:val="superscript"/>
              </w:rPr>
              <w:t>(12)</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741,600</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10,000</w:t>
            </w:r>
            <w:r>
              <w:rPr>
                <w:rFonts w:ascii="Arial" w:cs="Arial" w:eastAsia="Arial" w:hAnsi="Arial"/>
                <w:sz w:val="26"/>
                <w:szCs w:val="26"/>
                <w:color w:val="auto"/>
                <w:vertAlign w:val="superscript"/>
              </w:rPr>
              <w:t>(4)</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82,400</w:t>
            </w:r>
          </w:p>
        </w:tc>
        <w:tc>
          <w:tcPr>
            <w:tcW w:w="1220" w:type="dxa"/>
            <w:vAlign w:val="bottom"/>
            <w:tcBorders>
              <w:bottom w:val="single" w:sz="8" w:color="434F69"/>
              <w:right w:val="single" w:sz="8" w:color="434F69"/>
            </w:tcBorders>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tcBorders>
              <w:left w:val="single" w:sz="8" w:color="434F69"/>
              <w:bottom w:val="single" w:sz="8" w:color="434F69"/>
              <w:right w:val="single" w:sz="8" w:color="434F69"/>
            </w:tcBorders>
          </w:tcPr>
          <w:p>
            <w:pPr>
              <w:spacing w:after="0"/>
              <w:rPr>
                <w:sz w:val="21"/>
                <w:szCs w:val="21"/>
                <w:color w:val="auto"/>
              </w:rPr>
            </w:pPr>
          </w:p>
        </w:tc>
        <w:tc>
          <w:tcPr>
            <w:tcW w:w="1240" w:type="dxa"/>
            <w:vAlign w:val="bottom"/>
            <w:tcBorders>
              <w:bottom w:val="single" w:sz="8" w:color="434F69"/>
              <w:right w:val="single" w:sz="8" w:color="434F69"/>
            </w:tcBorders>
          </w:tcPr>
          <w:p>
            <w:pPr>
              <w:jc w:val="right"/>
              <w:ind w:right="93"/>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(6)</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207,236</w:t>
            </w:r>
          </w:p>
        </w:tc>
        <w:tc>
          <w:tcPr>
            <w:tcW w:w="1220" w:type="dxa"/>
            <w:vAlign w:val="bottom"/>
            <w:tcBorders>
              <w:bottom w:val="single" w:sz="8" w:color="434F69"/>
              <w:right w:val="single" w:sz="8" w:color="434F69"/>
            </w:tcBorders>
          </w:tcPr>
          <w:p>
            <w:pPr>
              <w:jc w:val="right"/>
              <w:ind w:right="95"/>
              <w:spacing w:after="0" w:line="250" w:lineRule="exact"/>
              <w:rPr>
                <w:sz w:val="20"/>
                <w:szCs w:val="20"/>
                <w:color w:val="auto"/>
              </w:rPr>
            </w:pPr>
            <w:r>
              <w:rPr>
                <w:rFonts w:ascii="Arial" w:cs="Arial" w:eastAsia="Arial" w:hAnsi="Arial"/>
                <w:sz w:val="18"/>
                <w:szCs w:val="18"/>
                <w:color w:val="auto"/>
              </w:rPr>
              <w:t>25,150</w:t>
            </w:r>
            <w:r>
              <w:rPr>
                <w:rFonts w:ascii="Arial" w:cs="Arial" w:eastAsia="Arial" w:hAnsi="Arial"/>
                <w:sz w:val="26"/>
                <w:szCs w:val="26"/>
                <w:color w:val="auto"/>
                <w:vertAlign w:val="superscript"/>
              </w:rPr>
              <w:t>(7)</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207,236</w:t>
            </w:r>
          </w:p>
        </w:tc>
      </w:tr>
      <w:tr>
        <w:trPr>
          <w:trHeight w:val="236"/>
        </w:trPr>
        <w:tc>
          <w:tcPr>
            <w:tcW w:w="3480" w:type="dxa"/>
            <w:vAlign w:val="bottom"/>
            <w:tcBorders>
              <w:left w:val="single" w:sz="8" w:color="434F69"/>
              <w:bottom w:val="single" w:sz="8" w:color="434F69"/>
              <w:right w:val="single" w:sz="8" w:color="434F69"/>
            </w:tcBorders>
          </w:tcPr>
          <w:p>
            <w:pPr>
              <w:spacing w:after="0"/>
              <w:rPr>
                <w:sz w:val="20"/>
                <w:szCs w:val="20"/>
                <w:color w:val="auto"/>
              </w:rPr>
            </w:pPr>
          </w:p>
        </w:tc>
        <w:tc>
          <w:tcPr>
            <w:tcW w:w="1240" w:type="dxa"/>
            <w:vAlign w:val="bottom"/>
            <w:tcBorders>
              <w:bottom w:val="single" w:sz="8" w:color="434F69"/>
              <w:right w:val="single" w:sz="8" w:color="434F69"/>
            </w:tcBorders>
          </w:tcPr>
          <w:p>
            <w:pPr>
              <w:jc w:val="right"/>
              <w:ind w:right="93"/>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6"/>
                <w:szCs w:val="26"/>
                <w:color w:val="auto"/>
                <w:vertAlign w:val="superscript"/>
              </w:rPr>
              <w:t>(8)</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2,060,000</w:t>
            </w:r>
          </w:p>
        </w:tc>
        <w:tc>
          <w:tcPr>
            <w:tcW w:w="1220" w:type="dxa"/>
            <w:vAlign w:val="bottom"/>
            <w:tcBorders>
              <w:bottom w:val="single" w:sz="8" w:color="434F69"/>
              <w:right w:val="single" w:sz="8" w:color="434F69"/>
            </w:tcBorders>
          </w:tcPr>
          <w:p>
            <w:pPr>
              <w:jc w:val="right"/>
              <w:ind w:right="95"/>
              <w:spacing w:after="0" w:line="236" w:lineRule="exact"/>
              <w:rPr>
                <w:sz w:val="20"/>
                <w:szCs w:val="20"/>
                <w:color w:val="auto"/>
              </w:rPr>
            </w:pPr>
            <w:r>
              <w:rPr>
                <w:rFonts w:ascii="Arial" w:cs="Arial" w:eastAsia="Arial" w:hAnsi="Arial"/>
                <w:sz w:val="18"/>
                <w:szCs w:val="18"/>
                <w:color w:val="auto"/>
              </w:rPr>
              <w:t>250,000</w:t>
            </w:r>
            <w:r>
              <w:rPr>
                <w:rFonts w:ascii="Arial" w:cs="Arial" w:eastAsia="Arial" w:hAnsi="Arial"/>
                <w:sz w:val="26"/>
                <w:szCs w:val="26"/>
                <w:color w:val="auto"/>
                <w:vertAlign w:val="superscript"/>
              </w:rPr>
              <w:t>(8)</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2,060,000</w:t>
            </w:r>
          </w:p>
        </w:tc>
      </w:tr>
      <w:tr>
        <w:trPr>
          <w:trHeight w:val="237"/>
        </w:trPr>
        <w:tc>
          <w:tcPr>
            <w:tcW w:w="3480" w:type="dxa"/>
            <w:vAlign w:val="bottom"/>
            <w:tcBorders>
              <w:left w:val="single" w:sz="8" w:color="434F69"/>
              <w:bottom w:val="single" w:sz="8" w:color="434F69"/>
              <w:right w:val="single" w:sz="8" w:color="434F69"/>
            </w:tcBorders>
          </w:tcPr>
          <w:p>
            <w:pPr>
              <w:spacing w:after="0"/>
              <w:rPr>
                <w:sz w:val="20"/>
                <w:szCs w:val="20"/>
                <w:color w:val="auto"/>
              </w:rPr>
            </w:pPr>
          </w:p>
        </w:tc>
        <w:tc>
          <w:tcPr>
            <w:tcW w:w="1240" w:type="dxa"/>
            <w:vAlign w:val="bottom"/>
            <w:tcBorders>
              <w:bottom w:val="single" w:sz="8" w:color="434F69"/>
              <w:right w:val="single" w:sz="8" w:color="434F69"/>
            </w:tcBorders>
          </w:tcPr>
          <w:p>
            <w:pPr>
              <w:jc w:val="right"/>
              <w:ind w:right="13"/>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(13)</w:t>
            </w:r>
          </w:p>
        </w:tc>
        <w:tc>
          <w:tcPr>
            <w:tcW w:w="1060" w:type="dxa"/>
            <w:vAlign w:val="bottom"/>
            <w:tcBorders>
              <w:bottom w:val="single" w:sz="8" w:color="434F69"/>
              <w:right w:val="single" w:sz="8" w:color="434F69"/>
            </w:tcBorders>
          </w:tcPr>
          <w:p>
            <w:pPr>
              <w:jc w:val="right"/>
              <w:ind w:right="94"/>
              <w:spacing w:after="0"/>
              <w:rPr>
                <w:sz w:val="20"/>
                <w:szCs w:val="20"/>
                <w:color w:val="auto"/>
              </w:rPr>
            </w:pPr>
            <w:r>
              <w:rPr>
                <w:rFonts w:ascii="Arial" w:cs="Arial" w:eastAsia="Arial" w:hAnsi="Arial"/>
                <w:sz w:val="18"/>
                <w:szCs w:val="18"/>
                <w:color w:val="auto"/>
              </w:rPr>
              <w:t>619,566</w:t>
            </w:r>
          </w:p>
        </w:tc>
        <w:tc>
          <w:tcPr>
            <w:tcW w:w="1220" w:type="dxa"/>
            <w:vAlign w:val="bottom"/>
            <w:tcBorders>
              <w:bottom w:val="single" w:sz="8" w:color="434F69"/>
              <w:right w:val="single" w:sz="8" w:color="434F69"/>
            </w:tcBorders>
          </w:tcPr>
          <w:p>
            <w:pPr>
              <w:jc w:val="right"/>
              <w:ind w:right="15"/>
              <w:spacing w:after="0" w:line="236" w:lineRule="exact"/>
              <w:rPr>
                <w:sz w:val="20"/>
                <w:szCs w:val="20"/>
                <w:color w:val="auto"/>
              </w:rPr>
            </w:pPr>
            <w:r>
              <w:rPr>
                <w:rFonts w:ascii="Arial" w:cs="Arial" w:eastAsia="Arial" w:hAnsi="Arial"/>
                <w:sz w:val="18"/>
                <w:szCs w:val="18"/>
                <w:color w:val="auto"/>
              </w:rPr>
              <w:t>75,190</w:t>
            </w:r>
            <w:r>
              <w:rPr>
                <w:rFonts w:ascii="Arial" w:cs="Arial" w:eastAsia="Arial" w:hAnsi="Arial"/>
                <w:sz w:val="26"/>
                <w:szCs w:val="26"/>
                <w:color w:val="auto"/>
                <w:vertAlign w:val="superscript"/>
              </w:rPr>
              <w:t>(14)</w:t>
            </w:r>
          </w:p>
        </w:tc>
        <w:tc>
          <w:tcPr>
            <w:tcW w:w="1220" w:type="dxa"/>
            <w:vAlign w:val="bottom"/>
            <w:tcBorders>
              <w:bottom w:val="single" w:sz="8" w:color="434F69"/>
              <w:right w:val="single" w:sz="8" w:color="434F69"/>
            </w:tcBorders>
          </w:tcPr>
          <w:p>
            <w:pPr>
              <w:jc w:val="right"/>
              <w:ind w:right="135"/>
              <w:spacing w:after="0"/>
              <w:rPr>
                <w:sz w:val="20"/>
                <w:szCs w:val="20"/>
                <w:color w:val="auto"/>
              </w:rPr>
            </w:pPr>
            <w:r>
              <w:rPr>
                <w:rFonts w:ascii="Arial" w:cs="Arial" w:eastAsia="Arial" w:hAnsi="Arial"/>
                <w:sz w:val="18"/>
                <w:szCs w:val="18"/>
                <w:color w:val="auto"/>
              </w:rPr>
              <w:t>619,566</w:t>
            </w: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hanging="360"/>
        <w:spacing w:after="0" w:line="253" w:lineRule="auto"/>
        <w:tabs>
          <w:tab w:leader="none" w:pos="162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Market value of phantom units reported in these columns is calculated by multiplying the closing market price ($8.24) of PAA’s common units at December 31, 2020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($8.45) of PAGP’s Class A shares at December 31, 2020 (the last trading day of the fiscal year).</w:t>
      </w:r>
    </w:p>
    <w:p>
      <w:pPr>
        <w:spacing w:after="0" w:line="115" w:lineRule="exact"/>
        <w:rPr>
          <w:rFonts w:ascii="Arial" w:cs="Arial" w:eastAsia="Arial" w:hAnsi="Arial"/>
          <w:sz w:val="26"/>
          <w:szCs w:val="26"/>
          <w:color w:val="auto"/>
          <w:vertAlign w:val="superscript"/>
        </w:rPr>
      </w:pPr>
    </w:p>
    <w:p>
      <w:pPr>
        <w:ind w:left="1620" w:right="419" w:hanging="360"/>
        <w:spacing w:after="0" w:line="226"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originally granted to Mr. Chiang in 2015. All of these AAP Management Units have been earned, but have not yet vested; accordingly, they remain subject to a call right in the event Mr. Chiang’s employment is terminated under certain circumstances prior to December 31, 2022.</w:t>
      </w:r>
    </w:p>
    <w:p>
      <w:pPr>
        <w:spacing w:after="0" w:line="135" w:lineRule="exact"/>
        <w:rPr>
          <w:rFonts w:ascii="Arial" w:cs="Arial" w:eastAsia="Arial" w:hAnsi="Arial"/>
          <w:sz w:val="27"/>
          <w:szCs w:val="27"/>
          <w:color w:val="auto"/>
          <w:vertAlign w:val="superscript"/>
        </w:rPr>
      </w:pPr>
    </w:p>
    <w:p>
      <w:pPr>
        <w:ind w:left="1620" w:right="439" w:hanging="360"/>
        <w:spacing w:after="0" w:line="226"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in 2016 under our Long-Term Incentive Plan. These phantom units will vest on the August 2021 distribution date. Upon vesting, the phantom units are payable on a one-for-one basis in PAA common units. These phantom units have associated DERs that are currently vested and payable in cash on each distribution date.</w:t>
      </w:r>
    </w:p>
    <w:p>
      <w:pPr>
        <w:spacing w:after="0" w:line="121" w:lineRule="exact"/>
        <w:rPr>
          <w:rFonts w:ascii="Arial" w:cs="Arial" w:eastAsia="Arial" w:hAnsi="Arial"/>
          <w:sz w:val="27"/>
          <w:szCs w:val="27"/>
          <w:color w:val="auto"/>
          <w:vertAlign w:val="superscript"/>
        </w:rPr>
      </w:pPr>
    </w:p>
    <w:p>
      <w:pPr>
        <w:ind w:left="1620" w:right="779" w:hanging="360"/>
        <w:spacing w:after="0" w:line="238" w:lineRule="auto"/>
        <w:tabs>
          <w:tab w:leader="none" w:pos="162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Represents the unvested portion of phantom units granted in March 2018 under our Long-Term Incentive Plan. These phantom units will vest on the May 2021 distribution date. Upon vesting, the phantom units are payable on a one-for-one basis in PAA common units. The phantom units have associated DERs that are currently vested and payable in cash on each distribution payment date.</w:t>
      </w:r>
    </w:p>
    <w:p>
      <w:pPr>
        <w:spacing w:after="0" w:line="134" w:lineRule="exact"/>
        <w:rPr>
          <w:rFonts w:ascii="Arial" w:cs="Arial" w:eastAsia="Arial" w:hAnsi="Arial"/>
          <w:sz w:val="26"/>
          <w:szCs w:val="26"/>
          <w:color w:val="auto"/>
          <w:vertAlign w:val="superscript"/>
        </w:rPr>
      </w:pPr>
    </w:p>
    <w:p>
      <w:pPr>
        <w:ind w:left="1620" w:right="439" w:hanging="360"/>
        <w:spacing w:after="0" w:line="238" w:lineRule="auto"/>
        <w:tabs>
          <w:tab w:leader="none" w:pos="162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Represents phantom units granted to Mr. Chiang in August 2018 under our Long-Term Incentive Plan. These phantom units, which were granted in connection with Mr. Chiang’s promotion to CEO, will vest as follows: (i) 25% will vest upon the later of October 1, 2023 and the first distribution date on which PAA will have generated DCF per common unit of at least $3.00 on a trailing four quarter basis, and</w:t>
      </w:r>
    </w:p>
    <w:p>
      <w:pPr>
        <w:ind w:left="1620" w:right="439"/>
        <w:spacing w:after="0" w:line="265" w:lineRule="auto"/>
        <w:tabs>
          <w:tab w:leader="none" w:pos="1903" w:val="left"/>
        </w:tabs>
        <w:numPr>
          <w:ilvl w:val="1"/>
          <w:numId w:val="61"/>
        </w:numPr>
        <w:rPr>
          <w:rFonts w:ascii="Arial" w:cs="Arial" w:eastAsia="Arial" w:hAnsi="Arial"/>
          <w:sz w:val="17"/>
          <w:szCs w:val="17"/>
          <w:color w:val="auto"/>
        </w:rPr>
      </w:pPr>
      <w:r>
        <w:rPr>
          <w:rFonts w:ascii="Arial" w:cs="Arial" w:eastAsia="Arial" w:hAnsi="Arial"/>
          <w:sz w:val="17"/>
          <w:szCs w:val="17"/>
          <w:color w:val="auto"/>
        </w:rPr>
        <w:t>75% will vest upon the later of October 1, 2023 and the first distribution date on which PAA will have generated DCF per common unit of at least $3.50 on a trailing four quarter basis, in both cases with the initial performance-related measurement period beginning on or after January 1, 2021. Upon vesting, the phantom units are payable on a one-for-one basis in PAA common units. Any phantom units or DERs that have not vested by October 1, 2025 will expire at that time. The phantom units have associated DERs that will vest as follows: (i) 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 (ii) and</w:t>
      </w:r>
    </w:p>
    <w:p>
      <w:pPr>
        <w:spacing w:after="0" w:line="1" w:lineRule="exact"/>
        <w:rPr>
          <w:rFonts w:ascii="Arial" w:cs="Arial" w:eastAsia="Arial" w:hAnsi="Arial"/>
          <w:sz w:val="17"/>
          <w:szCs w:val="17"/>
          <w:color w:val="auto"/>
        </w:rPr>
      </w:pPr>
    </w:p>
    <w:p>
      <w:pPr>
        <w:ind w:left="1620" w:right="439"/>
        <w:spacing w:after="0" w:line="260" w:lineRule="auto"/>
        <w:tabs>
          <w:tab w:leader="none" w:pos="1956" w:val="left"/>
        </w:tabs>
        <w:numPr>
          <w:ilvl w:val="1"/>
          <w:numId w:val="61"/>
        </w:numPr>
        <w:rPr>
          <w:rFonts w:ascii="Arial" w:cs="Arial" w:eastAsia="Arial" w:hAnsi="Arial"/>
          <w:sz w:val="18"/>
          <w:szCs w:val="18"/>
          <w:color w:val="auto"/>
        </w:rPr>
      </w:pPr>
      <w:r>
        <w:rPr>
          <w:rFonts w:ascii="Arial" w:cs="Arial" w:eastAsia="Arial" w:hAnsi="Arial"/>
          <w:sz w:val="18"/>
          <w:szCs w:val="18"/>
          <w:color w:val="auto"/>
        </w:rPr>
        <w:t>immediately preceding, the applicable trailing four quarter period must begin on or after January 1, 2020.</w:t>
      </w:r>
    </w:p>
    <w:p>
      <w:pPr>
        <w:spacing w:after="0" w:line="104" w:lineRule="exact"/>
        <w:rPr>
          <w:rFonts w:ascii="Arial" w:cs="Arial" w:eastAsia="Arial" w:hAnsi="Arial"/>
          <w:sz w:val="18"/>
          <w:szCs w:val="18"/>
          <w:color w:val="auto"/>
        </w:rPr>
      </w:pPr>
    </w:p>
    <w:p>
      <w:pPr>
        <w:ind w:left="1620" w:right="419" w:hanging="360"/>
        <w:spacing w:after="0" w:line="207"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August 2022 distribution date. The associated DERs vested on the August 2020 distribution date.</w:t>
      </w:r>
    </w:p>
    <w:p>
      <w:pPr>
        <w:spacing w:after="0" w:line="134" w:lineRule="exact"/>
        <w:rPr>
          <w:rFonts w:ascii="Arial" w:cs="Arial" w:eastAsia="Arial" w:hAnsi="Arial"/>
          <w:sz w:val="27"/>
          <w:szCs w:val="27"/>
          <w:color w:val="auto"/>
          <w:vertAlign w:val="superscript"/>
        </w:rPr>
      </w:pPr>
    </w:p>
    <w:p>
      <w:pPr>
        <w:ind w:left="1620" w:right="479" w:hanging="360"/>
        <w:spacing w:after="0" w:line="238" w:lineRule="auto"/>
        <w:tabs>
          <w:tab w:leader="none" w:pos="1620" w:val="left"/>
        </w:tabs>
        <w:numPr>
          <w:ilvl w:val="0"/>
          <w:numId w:val="61"/>
        </w:numPr>
        <w:rPr>
          <w:rFonts w:ascii="Arial" w:cs="Arial" w:eastAsia="Arial" w:hAnsi="Arial"/>
          <w:sz w:val="26"/>
          <w:szCs w:val="26"/>
          <w:color w:val="auto"/>
          <w:vertAlign w:val="superscript"/>
        </w:rPr>
      </w:pPr>
      <w:r>
        <w:rPr>
          <w:rFonts w:ascii="Arial" w:cs="Arial" w:eastAsia="Arial" w:hAnsi="Arial"/>
          <w:sz w:val="17"/>
          <w:szCs w:val="17"/>
          <w:color w:val="auto"/>
        </w:rPr>
        <w:t>Represents 50% of phantom units granted in August 2019 that will vest on the later of the August 2022 distribution date and the first distribution date following PAA’s achievement of DCF per common unit of at least $2.65 on a trailing four quarter basis. The applicable trailing four quarter period for determining whether the requisite DCF per common unit has been achieved for vesting of</w:t>
      </w:r>
    </w:p>
    <w:p>
      <w:pPr>
        <w:ind w:left="1620" w:right="479"/>
        <w:spacing w:after="0" w:line="255" w:lineRule="auto"/>
        <w:rPr>
          <w:rFonts w:ascii="Arial" w:cs="Arial" w:eastAsia="Arial" w:hAnsi="Arial"/>
          <w:sz w:val="26"/>
          <w:szCs w:val="26"/>
          <w:color w:val="auto"/>
          <w:vertAlign w:val="superscript"/>
        </w:rPr>
      </w:pPr>
      <w:r>
        <w:rPr>
          <w:rFonts w:ascii="Arial" w:cs="Arial" w:eastAsia="Arial" w:hAnsi="Arial"/>
          <w:sz w:val="18"/>
          <w:szCs w:val="18"/>
          <w:color w:val="auto"/>
        </w:rPr>
        <w:t>phantom units may not begin until after December 31, 2020. The associated DERs will vest on the first distribution date following January 1, 2021 on which PAA achieves DCF per common unit of at least $2.50 on a trailing four quarter basis.</w:t>
      </w:r>
    </w:p>
    <w:p>
      <w:pPr>
        <w:spacing w:after="0" w:line="122" w:lineRule="exact"/>
        <w:rPr>
          <w:rFonts w:ascii="Arial" w:cs="Arial" w:eastAsia="Arial" w:hAnsi="Arial"/>
          <w:sz w:val="26"/>
          <w:szCs w:val="26"/>
          <w:color w:val="auto"/>
          <w:vertAlign w:val="superscript"/>
        </w:rPr>
      </w:pPr>
    </w:p>
    <w:p>
      <w:pPr>
        <w:ind w:left="1620" w:right="519" w:hanging="360"/>
        <w:spacing w:after="0" w:line="230"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the applicable portion of phantom units granted in November 2019. These phantom units will vest (i) 50% on the August 2026 distribution date, (ii) 25% on the later of the August 2026 distribution date and the first distribution date following PAA’s achievement of DCF per common unit and common unit equivalent of at least $2.80 on a trailing four quarter basis, and (iii) 25% on the later of</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68" w:lineRule="auto"/>
        <w:rPr>
          <w:sz w:val="20"/>
          <w:szCs w:val="20"/>
          <w:color w:val="auto"/>
        </w:rPr>
      </w:pPr>
      <w:r>
        <w:rPr>
          <w:rFonts w:ascii="Arial" w:cs="Arial" w:eastAsia="Arial" w:hAnsi="Arial"/>
          <w:sz w:val="17"/>
          <w:szCs w:val="17"/>
          <w:color w:val="auto"/>
        </w:rPr>
        <w:t>the August 2026 distribution date and the first distribution date following PAA’s achievement of DCF per common unit and common unit equivalent of at least $3.15 on a trailing four quarter basis. The associated DERs will vest (i) 20% each on the August 2020, August 2021 and August 2022 distribution dates (60% total), (ii) 20% on the first distribution date following PAA’s achievement of DCF per common unit and common unit equivalent of at least $2.70 on a trailing four quarter basis, and</w:t>
      </w:r>
    </w:p>
    <w:p>
      <w:pPr>
        <w:spacing w:after="0" w:line="3" w:lineRule="exact"/>
        <w:rPr>
          <w:sz w:val="20"/>
          <w:szCs w:val="20"/>
          <w:color w:val="auto"/>
        </w:rPr>
      </w:pPr>
    </w:p>
    <w:p>
      <w:pPr>
        <w:ind w:left="1620" w:right="599"/>
        <w:spacing w:after="0" w:line="252" w:lineRule="auto"/>
        <w:rPr>
          <w:sz w:val="20"/>
          <w:szCs w:val="20"/>
          <w:color w:val="auto"/>
        </w:rPr>
      </w:pPr>
      <w:r>
        <w:rPr>
          <w:rFonts w:ascii="Arial" w:cs="Arial" w:eastAsia="Arial" w:hAnsi="Arial"/>
          <w:sz w:val="18"/>
          <w:szCs w:val="18"/>
          <w:color w:val="auto"/>
        </w:rPr>
        <w:t>(iii) 20% on the first distribution date following PAA’s achievement of DCF per common unit and common unit equivalent of at least $2.90 on a trailing four quarter basis. The applicable trailing four quarter period for determining whether the requisite DCF per common unit and common unit equivalent has been achieved for vesting of phantom units and DERs may not begin until on or after January 1, 2020. Any phantom units that have not vested by the August 2028 distribution date will be forfeited.</w:t>
      </w:r>
    </w:p>
    <w:p>
      <w:pPr>
        <w:spacing w:after="0" w:line="112" w:lineRule="exact"/>
        <w:rPr>
          <w:sz w:val="20"/>
          <w:szCs w:val="20"/>
          <w:color w:val="auto"/>
        </w:rPr>
      </w:pPr>
    </w:p>
    <w:p>
      <w:pPr>
        <w:ind w:left="1620" w:right="419" w:hanging="360"/>
        <w:spacing w:after="0" w:line="233"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phantom units granted to Mr. Chandler in May 2018, consisting of one tranche for 75,000 phantom units and a second tranche for 135,000 phantom units. One-half of the 75,000 unit tranche vested during 2019; the other half will vest on the May 2021 distribution date. One-third of the 135,000 unit tranche vested in May 2020; the other two-thirds will vest one-third each on the May 2021 and May 2022 distribution dates. The phantom units have associated DERs that are currently vested and payable in cash on each distribution payment date.</w:t>
      </w:r>
    </w:p>
    <w:p>
      <w:pPr>
        <w:spacing w:after="0" w:line="138" w:lineRule="exact"/>
        <w:rPr>
          <w:rFonts w:ascii="Arial" w:cs="Arial" w:eastAsia="Arial" w:hAnsi="Arial"/>
          <w:sz w:val="27"/>
          <w:szCs w:val="27"/>
          <w:color w:val="auto"/>
          <w:vertAlign w:val="superscript"/>
        </w:rPr>
      </w:pPr>
    </w:p>
    <w:p>
      <w:pPr>
        <w:ind w:left="1620" w:right="439" w:hanging="360"/>
        <w:spacing w:after="0" w:line="207"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granted to Mr. McGee in 2013. All of these AAP Management Units vested on January 1, 2021.</w:t>
      </w:r>
    </w:p>
    <w:p>
      <w:pPr>
        <w:spacing w:after="0" w:line="134" w:lineRule="exact"/>
        <w:rPr>
          <w:rFonts w:ascii="Arial" w:cs="Arial" w:eastAsia="Arial" w:hAnsi="Arial"/>
          <w:sz w:val="27"/>
          <w:szCs w:val="27"/>
          <w:color w:val="auto"/>
          <w:vertAlign w:val="superscript"/>
        </w:rPr>
      </w:pPr>
    </w:p>
    <w:p>
      <w:pPr>
        <w:ind w:left="1620" w:right="579" w:hanging="360"/>
        <w:spacing w:after="0" w:line="226"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granted to Mr. Goebel in July 2015. All of these AAP Management Units have been earned, but have not yet vested; accordingly, they remain subject to a call right in the event Mr. Goebel’s employment is terminated prior to December 31, 2022.</w:t>
      </w:r>
    </w:p>
    <w:p>
      <w:pPr>
        <w:spacing w:after="0" w:line="121" w:lineRule="exact"/>
        <w:rPr>
          <w:rFonts w:ascii="Arial" w:cs="Arial" w:eastAsia="Arial" w:hAnsi="Arial"/>
          <w:sz w:val="27"/>
          <w:szCs w:val="27"/>
          <w:color w:val="auto"/>
          <w:vertAlign w:val="superscript"/>
        </w:rPr>
      </w:pPr>
    </w:p>
    <w:p>
      <w:pPr>
        <w:ind w:left="1620" w:right="539" w:hanging="360"/>
        <w:spacing w:after="0" w:line="220" w:lineRule="exact"/>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to Mr. Goebel in December 2017. One</w:t>
      </w:r>
      <w:r>
        <w:rPr>
          <w:rFonts w:ascii="MS PGothic" w:cs="MS PGothic" w:eastAsia="MS PGothic" w:hAnsi="MS PGothic"/>
          <w:sz w:val="18"/>
          <w:szCs w:val="18"/>
          <w:color w:val="auto"/>
        </w:rPr>
        <w:t>‑</w:t>
      </w:r>
      <w:r>
        <w:rPr>
          <w:rFonts w:ascii="Arial" w:cs="Arial" w:eastAsia="Arial" w:hAnsi="Arial"/>
          <w:sz w:val="18"/>
          <w:szCs w:val="18"/>
          <w:color w:val="auto"/>
        </w:rPr>
        <w:t>third of these phantom units vested on January 1, 2021, and the balance will vest in 30,000 unit increments on January 1, 2022 and January 1, 2023. The phantom units have associated DERs that are currently vested and payable in cash on each distribution payment date.</w:t>
      </w:r>
    </w:p>
    <w:p>
      <w:pPr>
        <w:spacing w:after="0" w:line="135" w:lineRule="exact"/>
        <w:rPr>
          <w:rFonts w:ascii="Arial" w:cs="Arial" w:eastAsia="Arial" w:hAnsi="Arial"/>
          <w:sz w:val="27"/>
          <w:szCs w:val="27"/>
          <w:color w:val="auto"/>
          <w:vertAlign w:val="superscript"/>
        </w:rPr>
      </w:pPr>
    </w:p>
    <w:p>
      <w:pPr>
        <w:ind w:left="1620" w:right="419" w:hanging="360"/>
        <w:spacing w:after="0" w:line="226"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2020 that will vest on the August 2023 distribution date. The associated DERs will accrue for the first year and such accrued amount will be paid in cash in a lump sum on the August 2021 distribution date; beginning in November 2021, DERs will be paid quarterly until the phantom units vest.</w:t>
      </w:r>
    </w:p>
    <w:p>
      <w:pPr>
        <w:spacing w:after="0" w:line="135" w:lineRule="exact"/>
        <w:rPr>
          <w:rFonts w:ascii="Arial" w:cs="Arial" w:eastAsia="Arial" w:hAnsi="Arial"/>
          <w:sz w:val="27"/>
          <w:szCs w:val="27"/>
          <w:color w:val="auto"/>
          <w:vertAlign w:val="superscript"/>
        </w:rPr>
      </w:pPr>
    </w:p>
    <w:p>
      <w:pPr>
        <w:ind w:left="1620" w:right="439" w:hanging="360"/>
        <w:spacing w:after="0" w:line="254" w:lineRule="auto"/>
        <w:tabs>
          <w:tab w:leader="none" w:pos="1620" w:val="left"/>
        </w:tabs>
        <w:numPr>
          <w:ilvl w:val="0"/>
          <w:numId w:val="62"/>
        </w:numPr>
        <w:rPr>
          <w:rFonts w:ascii="Arial" w:cs="Arial" w:eastAsia="Arial" w:hAnsi="Arial"/>
          <w:sz w:val="26"/>
          <w:szCs w:val="26"/>
          <w:color w:val="auto"/>
          <w:vertAlign w:val="superscript"/>
        </w:rPr>
      </w:pPr>
      <w:r>
        <w:rPr>
          <w:rFonts w:ascii="Arial" w:cs="Arial" w:eastAsia="Arial" w:hAnsi="Arial"/>
          <w:sz w:val="17"/>
          <w:szCs w:val="17"/>
          <w:color w:val="auto"/>
        </w:rPr>
        <w:t>Represents 50% of phantom units granted in August 2020 that will potentially vest on the August 2023 distribution date at a scaled payout range of between 0% and 200% based on: (i) with respect to 25% of the August 2020 award, PAA’s TSR over the three-year period ending June 30, 2023 compared to the TSR of the TSR Comparator Group (payout may be reduced if absolute TSR is negative); and (ii) with respect to the other 25% of the August 2020 award, PAA achieving cumulative DCF per common unit equivalent of $6.00 over the three-year period ending June 30, 2023 (payout may be decreased or increased (but not above 200%) based on PAA’s leverage ratio as of June 30, 2023 compared to the target leverage ratio set forth in PAA’s multi-year plan as of August 2020). DERs will accrue during the three-year vesting period and be paid in cash in a lump sum on the August 2023 distribution date with respect to the number of phantom units, if any, that vest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148" w:lineRule="exact"/>
        <w:rPr>
          <w:sz w:val="20"/>
          <w:szCs w:val="20"/>
          <w:color w:val="auto"/>
        </w:rPr>
      </w:pPr>
    </w:p>
    <w:p>
      <w:pPr>
        <w:jc w:val="both"/>
        <w:ind w:left="1260" w:right="579" w:firstLine="360"/>
        <w:spacing w:after="0" w:line="259" w:lineRule="auto"/>
        <w:rPr>
          <w:sz w:val="20"/>
          <w:szCs w:val="20"/>
          <w:color w:val="auto"/>
        </w:rPr>
      </w:pPr>
      <w:r>
        <w:rPr>
          <w:rFonts w:ascii="Arial" w:cs="Arial" w:eastAsia="Arial" w:hAnsi="Arial"/>
          <w:sz w:val="18"/>
          <w:szCs w:val="18"/>
          <w:color w:val="auto"/>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2020 with respect to our Named Executive Officers.</w:t>
      </w:r>
    </w:p>
    <w:p>
      <w:pPr>
        <w:spacing w:after="0" w:line="174" w:lineRule="exact"/>
        <w:rPr>
          <w:sz w:val="20"/>
          <w:szCs w:val="20"/>
          <w:color w:val="auto"/>
        </w:rPr>
      </w:pPr>
    </w:p>
    <w:tbl>
      <w:tblPr>
        <w:tblLayout w:type="fixed"/>
        <w:tblInd w:w="1270" w:type="dxa"/>
        <w:tblCellMar>
          <w:top w:w="0" w:type="dxa"/>
          <w:left w:w="0" w:type="dxa"/>
          <w:bottom w:w="0" w:type="dxa"/>
          <w:right w:w="0" w:type="dxa"/>
        </w:tblCellMar>
      </w:tblPr>
      <w:tr>
        <w:trPr>
          <w:trHeight w:val="248"/>
        </w:trPr>
        <w:tc>
          <w:tcPr>
            <w:tcW w:w="5920" w:type="dxa"/>
            <w:vAlign w:val="bottom"/>
            <w:tcBorders>
              <w:left w:val="single" w:sz="8" w:color="434F69"/>
              <w:bottom w:val="single" w:sz="8" w:color="434F69"/>
              <w:right w:val="single" w:sz="8" w:color="434F69"/>
            </w:tcBorders>
            <w:shd w:val="clear" w:color="auto" w:fill="434F69"/>
          </w:tcPr>
          <w:p>
            <w:pPr>
              <w:spacing w:after="0"/>
              <w:rPr>
                <w:sz w:val="21"/>
                <w:szCs w:val="21"/>
                <w:color w:val="auto"/>
              </w:rPr>
            </w:pPr>
          </w:p>
        </w:tc>
        <w:tc>
          <w:tcPr>
            <w:tcW w:w="2300" w:type="dxa"/>
            <w:vAlign w:val="bottom"/>
            <w:tcBorders>
              <w:bottom w:val="single" w:sz="8" w:color="434F69"/>
              <w:right w:val="single" w:sz="8" w:color="434F69"/>
            </w:tcBorders>
            <w:gridSpan w:val="2"/>
            <w:shd w:val="clear" w:color="auto" w:fill="434F69"/>
          </w:tcPr>
          <w:p>
            <w:pPr>
              <w:jc w:val="right"/>
              <w:ind w:right="694"/>
              <w:spacing w:after="0"/>
              <w:rPr>
                <w:sz w:val="20"/>
                <w:szCs w:val="20"/>
                <w:color w:val="auto"/>
              </w:rPr>
            </w:pPr>
            <w:r>
              <w:rPr>
                <w:rFonts w:ascii="Arial" w:cs="Arial" w:eastAsia="Arial" w:hAnsi="Arial"/>
                <w:sz w:val="14"/>
                <w:szCs w:val="14"/>
                <w:b w:val="1"/>
                <w:bCs w:val="1"/>
                <w:color w:val="FFFFFF"/>
              </w:rPr>
              <w:t>Unit Awards</w:t>
            </w:r>
          </w:p>
        </w:tc>
      </w:tr>
      <w:tr>
        <w:trPr>
          <w:trHeight w:val="160"/>
        </w:trPr>
        <w:tc>
          <w:tcPr>
            <w:tcW w:w="5920" w:type="dxa"/>
            <w:vAlign w:val="bottom"/>
            <w:tcBorders>
              <w:top w:val="single" w:sz="8" w:color="434F69"/>
              <w:left w:val="single" w:sz="8" w:color="434F69"/>
              <w:right w:val="single" w:sz="8" w:color="434F69"/>
            </w:tcBorders>
            <w:shd w:val="clear" w:color="auto" w:fill="434F69"/>
          </w:tcPr>
          <w:p>
            <w:pPr>
              <w:spacing w:after="0"/>
              <w:rPr>
                <w:sz w:val="13"/>
                <w:szCs w:val="13"/>
                <w:color w:val="auto"/>
              </w:rPr>
            </w:pPr>
          </w:p>
        </w:tc>
        <w:tc>
          <w:tcPr>
            <w:tcW w:w="1220" w:type="dxa"/>
            <w:vAlign w:val="bottom"/>
            <w:tcBorders>
              <w:top w:val="single" w:sz="8" w:color="auto"/>
              <w:right w:val="single" w:sz="8" w:color="434F69"/>
            </w:tcBorders>
            <w:shd w:val="clear" w:color="auto" w:fill="434F69"/>
          </w:tcPr>
          <w:p>
            <w:pPr>
              <w:jc w:val="center"/>
              <w:spacing w:after="0" w:line="160" w:lineRule="exact"/>
              <w:rPr>
                <w:sz w:val="20"/>
                <w:szCs w:val="20"/>
                <w:color w:val="auto"/>
              </w:rPr>
            </w:pPr>
            <w:r>
              <w:rPr>
                <w:rFonts w:ascii="Arial" w:cs="Arial" w:eastAsia="Arial" w:hAnsi="Arial"/>
                <w:sz w:val="14"/>
                <w:szCs w:val="14"/>
                <w:b w:val="1"/>
                <w:bCs w:val="1"/>
                <w:color w:val="FFFFFF"/>
                <w:w w:val="89"/>
              </w:rPr>
              <w:t>Number of Units</w:t>
            </w:r>
          </w:p>
        </w:tc>
        <w:tc>
          <w:tcPr>
            <w:tcW w:w="1080" w:type="dxa"/>
            <w:vAlign w:val="bottom"/>
            <w:tcBorders>
              <w:top w:val="single" w:sz="8" w:color="auto"/>
              <w:right w:val="single" w:sz="8" w:color="434F69"/>
            </w:tcBorders>
            <w:shd w:val="clear" w:color="auto" w:fill="434F69"/>
          </w:tcPr>
          <w:p>
            <w:pPr>
              <w:spacing w:after="0"/>
              <w:rPr>
                <w:sz w:val="13"/>
                <w:szCs w:val="13"/>
                <w:color w:val="auto"/>
              </w:rPr>
            </w:pPr>
          </w:p>
        </w:tc>
      </w:tr>
      <w:tr>
        <w:trPr>
          <w:trHeight w:val="158"/>
        </w:trPr>
        <w:tc>
          <w:tcPr>
            <w:tcW w:w="5920" w:type="dxa"/>
            <w:vAlign w:val="bottom"/>
            <w:tcBorders>
              <w:left w:val="single" w:sz="8" w:color="434F69"/>
              <w:right w:val="single" w:sz="8" w:color="434F69"/>
            </w:tcBorders>
            <w:shd w:val="clear" w:color="auto" w:fill="434F69"/>
          </w:tcPr>
          <w:p>
            <w:pPr>
              <w:spacing w:after="0"/>
              <w:rPr>
                <w:sz w:val="13"/>
                <w:szCs w:val="13"/>
                <w:color w:val="auto"/>
              </w:rPr>
            </w:pPr>
          </w:p>
        </w:tc>
        <w:tc>
          <w:tcPr>
            <w:tcW w:w="122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0"/>
              </w:rPr>
              <w:t>Acquired on</w:t>
            </w:r>
          </w:p>
        </w:tc>
        <w:tc>
          <w:tcPr>
            <w:tcW w:w="1080" w:type="dxa"/>
            <w:vAlign w:val="bottom"/>
            <w:tcBorders>
              <w:right w:val="single" w:sz="8" w:color="434F69"/>
            </w:tcBorders>
            <w:shd w:val="clear" w:color="auto" w:fill="434F69"/>
          </w:tcPr>
          <w:p>
            <w:pPr>
              <w:jc w:val="right"/>
              <w:ind w:right="34"/>
              <w:spacing w:after="0" w:line="158" w:lineRule="exact"/>
              <w:rPr>
                <w:sz w:val="20"/>
                <w:szCs w:val="20"/>
                <w:color w:val="auto"/>
              </w:rPr>
            </w:pPr>
            <w:r>
              <w:rPr>
                <w:rFonts w:ascii="Arial" w:cs="Arial" w:eastAsia="Arial" w:hAnsi="Arial"/>
                <w:sz w:val="14"/>
                <w:szCs w:val="14"/>
                <w:b w:val="1"/>
                <w:bCs w:val="1"/>
                <w:color w:val="FFFFFF"/>
                <w:w w:val="95"/>
              </w:rPr>
              <w:t>Value Realized</w:t>
            </w:r>
          </w:p>
        </w:tc>
      </w:tr>
      <w:tr>
        <w:trPr>
          <w:trHeight w:val="243"/>
        </w:trPr>
        <w:tc>
          <w:tcPr>
            <w:tcW w:w="5920" w:type="dxa"/>
            <w:vAlign w:val="bottom"/>
            <w:tcBorders>
              <w:left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22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5"/>
              </w:rPr>
              <w:t>Vesting (#)</w:t>
            </w:r>
            <w:r>
              <w:rPr>
                <w:rFonts w:ascii="Arial" w:cs="Arial" w:eastAsia="Arial" w:hAnsi="Arial"/>
                <w:sz w:val="21"/>
                <w:szCs w:val="21"/>
                <w:b w:val="1"/>
                <w:bCs w:val="1"/>
                <w:color w:val="FFFFFF"/>
                <w:w w:val="85"/>
                <w:vertAlign w:val="superscript"/>
              </w:rPr>
              <w:t>(1)</w:t>
            </w:r>
          </w:p>
        </w:tc>
        <w:tc>
          <w:tcPr>
            <w:tcW w:w="1080" w:type="dxa"/>
            <w:vAlign w:val="bottom"/>
            <w:tcBorders>
              <w:right w:val="single" w:sz="8" w:color="434F69"/>
            </w:tcBorders>
            <w:shd w:val="clear" w:color="auto" w:fill="434F69"/>
          </w:tcPr>
          <w:p>
            <w:pPr>
              <w:jc w:val="right"/>
              <w:ind w:right="34"/>
              <w:spacing w:after="0"/>
              <w:rPr>
                <w:sz w:val="20"/>
                <w:szCs w:val="20"/>
                <w:color w:val="auto"/>
              </w:rPr>
            </w:pPr>
            <w:r>
              <w:rPr>
                <w:rFonts w:ascii="Arial" w:cs="Arial" w:eastAsia="Arial" w:hAnsi="Arial"/>
                <w:sz w:val="14"/>
                <w:szCs w:val="14"/>
                <w:b w:val="1"/>
                <w:bCs w:val="1"/>
                <w:color w:val="FFFFFF"/>
              </w:rPr>
              <w:t>on Vesting ($)</w:t>
            </w:r>
          </w:p>
        </w:tc>
      </w:tr>
      <w:tr>
        <w:trPr>
          <w:trHeight w:val="256"/>
        </w:trPr>
        <w:tc>
          <w:tcPr>
            <w:tcW w:w="59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Willie Chiang</w:t>
            </w:r>
          </w:p>
        </w:tc>
        <w:tc>
          <w:tcPr>
            <w:tcW w:w="1220" w:type="dxa"/>
            <w:vAlign w:val="bottom"/>
            <w:tcBorders>
              <w:bottom w:val="single" w:sz="8" w:color="434F69"/>
              <w:right w:val="single" w:sz="8" w:color="434F69"/>
            </w:tcBorders>
          </w:tcPr>
          <w:p>
            <w:pPr>
              <w:jc w:val="right"/>
              <w:ind w:right="297"/>
              <w:spacing w:after="0"/>
              <w:rPr>
                <w:sz w:val="20"/>
                <w:szCs w:val="20"/>
                <w:color w:val="auto"/>
              </w:rPr>
            </w:pPr>
            <w:r>
              <w:rPr>
                <w:rFonts w:ascii="Arial" w:cs="Arial" w:eastAsia="Arial" w:hAnsi="Arial"/>
                <w:sz w:val="18"/>
                <w:szCs w:val="18"/>
                <w:color w:val="auto"/>
              </w:rPr>
              <w:t>63,500</w:t>
            </w:r>
          </w:p>
        </w:tc>
        <w:tc>
          <w:tcPr>
            <w:tcW w:w="1080" w:type="dxa"/>
            <w:vAlign w:val="bottom"/>
            <w:tcBorders>
              <w:bottom w:val="single" w:sz="8" w:color="434F69"/>
              <w:right w:val="single" w:sz="8" w:color="434F69"/>
            </w:tcBorders>
          </w:tcPr>
          <w:p>
            <w:pPr>
              <w:jc w:val="right"/>
              <w:spacing w:after="0" w:line="256" w:lineRule="exact"/>
              <w:rPr>
                <w:sz w:val="20"/>
                <w:szCs w:val="20"/>
                <w:color w:val="auto"/>
              </w:rPr>
            </w:pPr>
            <w:r>
              <w:rPr>
                <w:rFonts w:ascii="Arial" w:cs="Arial" w:eastAsia="Arial" w:hAnsi="Arial"/>
                <w:sz w:val="18"/>
                <w:szCs w:val="18"/>
                <w:color w:val="auto"/>
              </w:rPr>
              <w:t>506,095</w:t>
            </w:r>
            <w:r>
              <w:rPr>
                <w:rFonts w:ascii="Arial" w:cs="Arial" w:eastAsia="Arial" w:hAnsi="Arial"/>
                <w:sz w:val="26"/>
                <w:szCs w:val="26"/>
                <w:color w:val="auto"/>
                <w:vertAlign w:val="superscript"/>
              </w:rPr>
              <w:t>(2)</w:t>
            </w:r>
          </w:p>
        </w:tc>
      </w:tr>
      <w:tr>
        <w:trPr>
          <w:trHeight w:val="304"/>
        </w:trPr>
        <w:tc>
          <w:tcPr>
            <w:tcW w:w="59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08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44"/>
        </w:trPr>
        <w:tc>
          <w:tcPr>
            <w:tcW w:w="59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1220" w:type="dxa"/>
            <w:vAlign w:val="bottom"/>
            <w:tcBorders>
              <w:bottom w:val="single" w:sz="8" w:color="434F69"/>
              <w:right w:val="single" w:sz="8" w:color="434F69"/>
            </w:tcBorders>
          </w:tcPr>
          <w:p>
            <w:pPr>
              <w:jc w:val="right"/>
              <w:ind w:right="29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w:t>
            </w:r>
          </w:p>
        </w:tc>
      </w:tr>
      <w:tr>
        <w:trPr>
          <w:trHeight w:val="310"/>
        </w:trPr>
        <w:tc>
          <w:tcPr>
            <w:tcW w:w="59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08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9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1220" w:type="dxa"/>
            <w:vAlign w:val="bottom"/>
            <w:tcBorders>
              <w:bottom w:val="single" w:sz="8" w:color="434F69"/>
              <w:right w:val="single" w:sz="8" w:color="434F69"/>
            </w:tcBorders>
          </w:tcPr>
          <w:p>
            <w:pPr>
              <w:jc w:val="right"/>
              <w:ind w:right="297"/>
              <w:spacing w:after="0"/>
              <w:rPr>
                <w:sz w:val="20"/>
                <w:szCs w:val="20"/>
                <w:color w:val="auto"/>
              </w:rPr>
            </w:pPr>
            <w:r>
              <w:rPr>
                <w:rFonts w:ascii="Arial" w:cs="Arial" w:eastAsia="Arial" w:hAnsi="Arial"/>
                <w:sz w:val="18"/>
                <w:szCs w:val="18"/>
                <w:color w:val="auto"/>
              </w:rPr>
              <w:t>23,000</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183,310</w:t>
            </w:r>
            <w:r>
              <w:rPr>
                <w:rFonts w:ascii="Arial" w:cs="Arial" w:eastAsia="Arial" w:hAnsi="Arial"/>
                <w:sz w:val="26"/>
                <w:szCs w:val="26"/>
                <w:color w:val="auto"/>
                <w:vertAlign w:val="superscript"/>
              </w:rPr>
              <w:t>(2)</w:t>
            </w:r>
          </w:p>
        </w:tc>
      </w:tr>
      <w:tr>
        <w:trPr>
          <w:trHeight w:val="304"/>
        </w:trPr>
        <w:tc>
          <w:tcPr>
            <w:tcW w:w="59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08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9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220" w:type="dxa"/>
            <w:vAlign w:val="bottom"/>
            <w:tcBorders>
              <w:bottom w:val="single" w:sz="8" w:color="434F69"/>
              <w:right w:val="single" w:sz="8" w:color="434F69"/>
            </w:tcBorders>
          </w:tcPr>
          <w:p>
            <w:pPr>
              <w:jc w:val="right"/>
              <w:ind w:right="297"/>
              <w:spacing w:after="0"/>
              <w:rPr>
                <w:sz w:val="20"/>
                <w:szCs w:val="20"/>
                <w:color w:val="auto"/>
              </w:rPr>
            </w:pPr>
            <w:r>
              <w:rPr>
                <w:rFonts w:ascii="Arial" w:cs="Arial" w:eastAsia="Arial" w:hAnsi="Arial"/>
                <w:sz w:val="18"/>
                <w:szCs w:val="18"/>
                <w:color w:val="auto"/>
              </w:rPr>
              <w:t>23,000</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183,310</w:t>
            </w:r>
            <w:r>
              <w:rPr>
                <w:rFonts w:ascii="Arial" w:cs="Arial" w:eastAsia="Arial" w:hAnsi="Arial"/>
                <w:sz w:val="26"/>
                <w:szCs w:val="26"/>
                <w:color w:val="auto"/>
                <w:vertAlign w:val="superscript"/>
              </w:rPr>
              <w:t>(2)</w:t>
            </w:r>
          </w:p>
        </w:tc>
      </w:tr>
      <w:tr>
        <w:trPr>
          <w:trHeight w:val="304"/>
        </w:trPr>
        <w:tc>
          <w:tcPr>
            <w:tcW w:w="59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08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9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1220" w:type="dxa"/>
            <w:vAlign w:val="bottom"/>
            <w:tcBorders>
              <w:bottom w:val="single" w:sz="8" w:color="434F69"/>
              <w:right w:val="single" w:sz="8" w:color="434F69"/>
            </w:tcBorders>
          </w:tcPr>
          <w:p>
            <w:pPr>
              <w:jc w:val="right"/>
              <w:ind w:right="297"/>
              <w:spacing w:after="0"/>
              <w:rPr>
                <w:sz w:val="20"/>
                <w:szCs w:val="20"/>
                <w:color w:val="auto"/>
              </w:rPr>
            </w:pPr>
            <w:r>
              <w:rPr>
                <w:rFonts w:ascii="Arial" w:cs="Arial" w:eastAsia="Arial" w:hAnsi="Arial"/>
                <w:sz w:val="18"/>
                <w:szCs w:val="18"/>
                <w:color w:val="auto"/>
              </w:rPr>
              <w:t>45,000</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366,750</w:t>
            </w:r>
            <w:r>
              <w:rPr>
                <w:rFonts w:ascii="Arial" w:cs="Arial" w:eastAsia="Arial" w:hAnsi="Arial"/>
                <w:sz w:val="26"/>
                <w:szCs w:val="26"/>
                <w:color w:val="auto"/>
                <w:vertAlign w:val="superscript"/>
              </w:rPr>
              <w:t>(3)</w:t>
            </w:r>
          </w:p>
        </w:tc>
      </w:tr>
      <w:tr>
        <w:trPr>
          <w:trHeight w:val="304"/>
        </w:trPr>
        <w:tc>
          <w:tcPr>
            <w:tcW w:w="5920" w:type="dxa"/>
            <w:vAlign w:val="bottom"/>
            <w:tcBorders>
              <w:left w:val="single" w:sz="8" w:color="434F69"/>
              <w:bottom w:val="single" w:sz="8" w:color="434F69"/>
              <w:right w:val="single" w:sz="8" w:color="434F69"/>
            </w:tcBorders>
            <w:shd w:val="clear" w:color="auto" w:fill="D9DCE1"/>
          </w:tcPr>
          <w:p>
            <w:pPr>
              <w:spacing w:after="0"/>
              <w:rPr>
                <w:sz w:val="24"/>
                <w:szCs w:val="24"/>
                <w:color w:val="auto"/>
              </w:rPr>
            </w:pPr>
          </w:p>
        </w:tc>
        <w:tc>
          <w:tcPr>
            <w:tcW w:w="1220" w:type="dxa"/>
            <w:vAlign w:val="bottom"/>
            <w:tcBorders>
              <w:bottom w:val="single" w:sz="8" w:color="434F69"/>
              <w:right w:val="single" w:sz="8" w:color="434F69"/>
            </w:tcBorders>
            <w:shd w:val="clear" w:color="auto" w:fill="D9DCE1"/>
          </w:tcPr>
          <w:p>
            <w:pPr>
              <w:spacing w:after="0"/>
              <w:rPr>
                <w:sz w:val="24"/>
                <w:szCs w:val="24"/>
                <w:color w:val="auto"/>
              </w:rPr>
            </w:pPr>
          </w:p>
        </w:tc>
        <w:tc>
          <w:tcPr>
            <w:tcW w:w="108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250"/>
        </w:trPr>
        <w:tc>
          <w:tcPr>
            <w:tcW w:w="592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220" w:type="dxa"/>
            <w:vAlign w:val="bottom"/>
            <w:tcBorders>
              <w:bottom w:val="single" w:sz="8" w:color="434F69"/>
              <w:right w:val="single" w:sz="8" w:color="434F69"/>
            </w:tcBorders>
          </w:tcPr>
          <w:p>
            <w:pPr>
              <w:jc w:val="right"/>
              <w:ind w:right="297"/>
              <w:spacing w:after="0"/>
              <w:rPr>
                <w:sz w:val="20"/>
                <w:szCs w:val="20"/>
                <w:color w:val="auto"/>
              </w:rPr>
            </w:pPr>
            <w:r>
              <w:rPr>
                <w:rFonts w:ascii="Arial" w:cs="Arial" w:eastAsia="Arial" w:hAnsi="Arial"/>
                <w:sz w:val="18"/>
                <w:szCs w:val="18"/>
                <w:color w:val="auto"/>
              </w:rPr>
              <w:t>15,167</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120,881</w:t>
            </w:r>
            <w:r>
              <w:rPr>
                <w:rFonts w:ascii="Arial" w:cs="Arial" w:eastAsia="Arial" w:hAnsi="Arial"/>
                <w:sz w:val="26"/>
                <w:szCs w:val="26"/>
                <w:color w:val="auto"/>
                <w:vertAlign w:val="superscript"/>
              </w:rPr>
              <w:t>(2)</w:t>
            </w:r>
          </w:p>
        </w:tc>
      </w:tr>
      <w:tr>
        <w:trPr>
          <w:trHeight w:val="250"/>
        </w:trPr>
        <w:tc>
          <w:tcPr>
            <w:tcW w:w="5920" w:type="dxa"/>
            <w:vAlign w:val="bottom"/>
            <w:tcBorders>
              <w:left w:val="single" w:sz="8" w:color="434F69"/>
              <w:bottom w:val="single" w:sz="8" w:color="434F69"/>
              <w:right w:val="single" w:sz="8" w:color="434F69"/>
            </w:tcBorders>
          </w:tcPr>
          <w:p>
            <w:pPr>
              <w:spacing w:after="0"/>
              <w:rPr>
                <w:sz w:val="21"/>
                <w:szCs w:val="21"/>
                <w:color w:val="auto"/>
              </w:rPr>
            </w:pPr>
          </w:p>
        </w:tc>
        <w:tc>
          <w:tcPr>
            <w:tcW w:w="1220" w:type="dxa"/>
            <w:vAlign w:val="bottom"/>
            <w:tcBorders>
              <w:bottom w:val="single" w:sz="8" w:color="434F69"/>
              <w:right w:val="single" w:sz="8" w:color="434F69"/>
            </w:tcBorders>
          </w:tcPr>
          <w:p>
            <w:pPr>
              <w:jc w:val="right"/>
              <w:ind w:right="297"/>
              <w:spacing w:after="0"/>
              <w:rPr>
                <w:sz w:val="20"/>
                <w:szCs w:val="20"/>
                <w:color w:val="auto"/>
              </w:rPr>
            </w:pPr>
            <w:r>
              <w:rPr>
                <w:rFonts w:ascii="Arial" w:cs="Arial" w:eastAsia="Arial" w:hAnsi="Arial"/>
                <w:sz w:val="18"/>
                <w:szCs w:val="18"/>
                <w:color w:val="auto"/>
              </w:rPr>
              <w:t>30,000</w:t>
            </w:r>
          </w:p>
        </w:tc>
        <w:tc>
          <w:tcPr>
            <w:tcW w:w="10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551,700</w:t>
            </w:r>
            <w:r>
              <w:rPr>
                <w:rFonts w:ascii="Arial" w:cs="Arial" w:eastAsia="Arial" w:hAnsi="Arial"/>
                <w:sz w:val="26"/>
                <w:szCs w:val="26"/>
                <w:color w:val="auto"/>
                <w:vertAlign w:val="superscript"/>
              </w:rPr>
              <w:t>(4)</w:t>
            </w:r>
          </w:p>
        </w:tc>
      </w:tr>
    </w:tbl>
    <w:p>
      <w:pPr>
        <w:spacing w:after="0" w:line="53" w:lineRule="exact"/>
        <w:rPr>
          <w:sz w:val="20"/>
          <w:szCs w:val="20"/>
          <w:color w:val="auto"/>
        </w:rPr>
      </w:pPr>
    </w:p>
    <w:p>
      <w:pPr>
        <w:ind w:left="1620" w:right="639" w:hanging="360"/>
        <w:spacing w:after="0" w:line="277"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gross number of phantom units that vested during the year ended December 31, 2020. The actual number of units delivered was net of income tax withholding.</w:t>
      </w:r>
    </w:p>
    <w:p>
      <w:pPr>
        <w:spacing w:after="0" w:line="21" w:lineRule="exact"/>
        <w:rPr>
          <w:rFonts w:ascii="Arial" w:cs="Arial" w:eastAsia="Arial" w:hAnsi="Arial"/>
          <w:sz w:val="18"/>
          <w:szCs w:val="18"/>
          <w:color w:val="auto"/>
        </w:rPr>
      </w:pPr>
    </w:p>
    <w:p>
      <w:pPr>
        <w:ind w:left="1620" w:right="559" w:hanging="360"/>
        <w:spacing w:after="0" w:line="263"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Consistent with the terms of the applicable Long-Term Incentive Plan, the value realized upon vesting is computed by multiplying the closing market price ($7.97) of PAA’s common units on August 13, 2020 (the date preceding the vesting date) by the number of units that vested.</w:t>
      </w:r>
    </w:p>
    <w:p>
      <w:pPr>
        <w:spacing w:after="0" w:line="35" w:lineRule="exact"/>
        <w:rPr>
          <w:rFonts w:ascii="Arial" w:cs="Arial" w:eastAsia="Arial" w:hAnsi="Arial"/>
          <w:sz w:val="18"/>
          <w:szCs w:val="18"/>
          <w:color w:val="auto"/>
        </w:rPr>
      </w:pPr>
    </w:p>
    <w:p>
      <w:pPr>
        <w:jc w:val="both"/>
        <w:ind w:left="1620" w:right="559" w:hanging="360"/>
        <w:spacing w:after="0" w:line="263"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Consistent with the terms of the applicable Long-Term Incentive Plan, the value realized upon vesting is computed by multiplying the closing market price ($8.15) of PAA’s common units on May 14, 2020 (the date preceding the vesting date) by the number of units that vested.</w:t>
      </w:r>
    </w:p>
    <w:p>
      <w:pPr>
        <w:spacing w:after="0" w:line="48" w:lineRule="exact"/>
        <w:rPr>
          <w:rFonts w:ascii="Arial" w:cs="Arial" w:eastAsia="Arial" w:hAnsi="Arial"/>
          <w:sz w:val="18"/>
          <w:szCs w:val="18"/>
          <w:color w:val="auto"/>
        </w:rPr>
      </w:pPr>
    </w:p>
    <w:p>
      <w:pPr>
        <w:ind w:left="1620" w:right="459" w:hanging="360"/>
        <w:spacing w:after="0" w:line="263"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Consistent with the terms of the applicable Long-Term Incentive Plan, the value realized upon vesting is computed by multiplying the closing market price ($18.39) of PAA’s common units on December 31, 2019 (the date preceding the vesting date) by the number of units that vested.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GP LLC sponsors a 401(k) plan that is available to all U.S. employees. We do not maintain any pension or defined benefit programs in which any of our employees, including the Named Executive Officers, participate.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62"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48"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The following table sets forth potential amounts payable to the Named Executive Officers upon termination of employment under various circumstances, and as if terminated on December 31, 2020.</w:t>
      </w:r>
    </w:p>
    <w:p>
      <w:pPr>
        <w:spacing w:after="0" w:line="134"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2320" w:type="dxa"/>
            <w:vAlign w:val="bottom"/>
            <w:tcBorders>
              <w:left w:val="single" w:sz="8" w:color="434F69"/>
              <w:right w:val="single" w:sz="8" w:color="434F69"/>
            </w:tcBorders>
            <w:shd w:val="clear" w:color="auto" w:fill="434F69"/>
          </w:tcPr>
          <w:p>
            <w:pPr>
              <w:spacing w:after="0"/>
              <w:rPr>
                <w:sz w:val="16"/>
                <w:szCs w:val="16"/>
                <w:color w:val="auto"/>
              </w:rPr>
            </w:pPr>
          </w:p>
        </w:tc>
        <w:tc>
          <w:tcPr>
            <w:tcW w:w="1180" w:type="dxa"/>
            <w:vAlign w:val="bottom"/>
            <w:tcBorders>
              <w:right w:val="single" w:sz="8" w:color="434F69"/>
            </w:tcBorders>
            <w:shd w:val="clear" w:color="auto" w:fill="434F69"/>
          </w:tcPr>
          <w:p>
            <w:pPr>
              <w:spacing w:after="0"/>
              <w:rPr>
                <w:sz w:val="16"/>
                <w:szCs w:val="16"/>
                <w:color w:val="auto"/>
              </w:rPr>
            </w:pPr>
          </w:p>
        </w:tc>
        <w:tc>
          <w:tcPr>
            <w:tcW w:w="1180" w:type="dxa"/>
            <w:vAlign w:val="bottom"/>
            <w:tcBorders>
              <w:right w:val="single" w:sz="8" w:color="434F69"/>
            </w:tcBorders>
            <w:shd w:val="clear" w:color="auto" w:fill="434F69"/>
          </w:tcPr>
          <w:p>
            <w:pPr>
              <w:spacing w:after="0"/>
              <w:rPr>
                <w:sz w:val="16"/>
                <w:szCs w:val="16"/>
                <w:color w:val="auto"/>
              </w:rPr>
            </w:pP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By</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By</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In Connection</w:t>
            </w:r>
          </w:p>
        </w:tc>
      </w:tr>
      <w:tr>
        <w:trPr>
          <w:trHeight w:val="162"/>
        </w:trPr>
        <w:tc>
          <w:tcPr>
            <w:tcW w:w="2320" w:type="dxa"/>
            <w:vAlign w:val="bottom"/>
            <w:tcBorders>
              <w:left w:val="single" w:sz="8" w:color="434F69"/>
              <w:right w:val="single" w:sz="8" w:color="434F69"/>
            </w:tcBorders>
            <w:shd w:val="clear" w:color="auto" w:fill="434F69"/>
          </w:tcPr>
          <w:p>
            <w:pPr>
              <w:spacing w:after="0"/>
              <w:rPr>
                <w:sz w:val="14"/>
                <w:szCs w:val="14"/>
                <w:color w:val="auto"/>
              </w:rPr>
            </w:pP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By</w:t>
            </w: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By</w:t>
            </w: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Company</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Executive</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with a</w:t>
            </w:r>
          </w:p>
        </w:tc>
      </w:tr>
      <w:tr>
        <w:trPr>
          <w:trHeight w:val="162"/>
        </w:trPr>
        <w:tc>
          <w:tcPr>
            <w:tcW w:w="2320" w:type="dxa"/>
            <w:vAlign w:val="bottom"/>
            <w:tcBorders>
              <w:left w:val="single" w:sz="8" w:color="434F69"/>
              <w:right w:val="single" w:sz="8" w:color="434F69"/>
            </w:tcBorders>
            <w:shd w:val="clear" w:color="auto" w:fill="434F69"/>
          </w:tcPr>
          <w:p>
            <w:pPr>
              <w:spacing w:after="0"/>
              <w:rPr>
                <w:sz w:val="14"/>
                <w:szCs w:val="14"/>
                <w:color w:val="auto"/>
              </w:rPr>
            </w:pP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Reason of</w:t>
            </w: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Reason of</w:t>
            </w: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without</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with Good</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Change In</w:t>
            </w:r>
          </w:p>
        </w:tc>
      </w:tr>
      <w:tr>
        <w:trPr>
          <w:trHeight w:val="162"/>
        </w:trPr>
        <w:tc>
          <w:tcPr>
            <w:tcW w:w="2320" w:type="dxa"/>
            <w:vAlign w:val="bottom"/>
            <w:tcBorders>
              <w:left w:val="single" w:sz="8" w:color="434F69"/>
              <w:right w:val="single" w:sz="8" w:color="434F69"/>
            </w:tcBorders>
            <w:shd w:val="clear" w:color="auto" w:fill="434F69"/>
          </w:tcPr>
          <w:p>
            <w:pPr>
              <w:spacing w:after="0"/>
              <w:rPr>
                <w:sz w:val="14"/>
                <w:szCs w:val="14"/>
                <w:color w:val="auto"/>
              </w:rPr>
            </w:pP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Death</w:t>
            </w: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Disability</w:t>
            </w: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Cause</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2"/>
              </w:rPr>
              <w:t>Reason</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Control</w:t>
            </w:r>
          </w:p>
        </w:tc>
      </w:tr>
      <w:tr>
        <w:trPr>
          <w:trHeight w:val="205"/>
        </w:trPr>
        <w:tc>
          <w:tcPr>
            <w:tcW w:w="2320" w:type="dxa"/>
            <w:vAlign w:val="bottom"/>
            <w:tcBorders>
              <w:left w:val="single" w:sz="8" w:color="434F69"/>
              <w:bottom w:val="single" w:sz="8" w:color="434F69"/>
              <w:right w:val="single" w:sz="8" w:color="434F69"/>
            </w:tcBorders>
            <w:shd w:val="clear" w:color="auto" w:fill="434F69"/>
          </w:tcPr>
          <w:p>
            <w:pPr>
              <w:spacing w:after="0"/>
              <w:rPr>
                <w:sz w:val="17"/>
                <w:szCs w:val="17"/>
                <w:color w:val="auto"/>
              </w:rPr>
            </w:pPr>
          </w:p>
        </w:tc>
        <w:tc>
          <w:tcPr>
            <w:tcW w:w="118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18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18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1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20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Willie Chiang</w:t>
            </w:r>
            <w:r>
              <w:rPr>
                <w:rFonts w:ascii="Arial" w:cs="Arial" w:eastAsia="Arial" w:hAnsi="Arial"/>
                <w:sz w:val="26"/>
                <w:szCs w:val="26"/>
                <w:b w:val="1"/>
                <w:bCs w:val="1"/>
                <w:color w:val="auto"/>
                <w:vertAlign w:val="superscript"/>
              </w:rPr>
              <w:t>(9)</w:t>
            </w: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6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Equity Compensation</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5,588,698</w:t>
            </w:r>
            <w:r>
              <w:rPr>
                <w:rFonts w:ascii="Arial" w:cs="Arial" w:eastAsia="Arial" w:hAnsi="Arial"/>
                <w:sz w:val="26"/>
                <w:szCs w:val="26"/>
                <w:color w:val="auto"/>
                <w:vertAlign w:val="superscript"/>
              </w:rPr>
              <w:t>(1)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5,588,698</w:t>
            </w:r>
            <w:r>
              <w:rPr>
                <w:rFonts w:ascii="Arial" w:cs="Arial" w:eastAsia="Arial" w:hAnsi="Arial"/>
                <w:sz w:val="26"/>
                <w:szCs w:val="26"/>
                <w:color w:val="auto"/>
                <w:vertAlign w:val="superscript"/>
              </w:rPr>
              <w:t>(1)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3,940,698</w:t>
            </w:r>
            <w:r>
              <w:rPr>
                <w:rFonts w:ascii="Arial" w:cs="Arial" w:eastAsia="Arial" w:hAnsi="Arial"/>
                <w:sz w:val="26"/>
                <w:szCs w:val="26"/>
                <w:color w:val="auto"/>
                <w:vertAlign w:val="superscript"/>
              </w:rPr>
              <w:t>(2)</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8,686,443</w:t>
            </w:r>
            <w:r>
              <w:rPr>
                <w:rFonts w:ascii="Arial" w:cs="Arial" w:eastAsia="Arial" w:hAnsi="Arial"/>
                <w:sz w:val="26"/>
                <w:szCs w:val="26"/>
                <w:color w:val="auto"/>
                <w:vertAlign w:val="superscript"/>
              </w:rPr>
              <w:t>(3)</w:t>
            </w: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AAP Management Units</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2,240,237</w:t>
            </w:r>
            <w:r>
              <w:rPr>
                <w:rFonts w:ascii="Arial" w:cs="Arial" w:eastAsia="Arial" w:hAnsi="Arial"/>
                <w:sz w:val="26"/>
                <w:szCs w:val="26"/>
                <w:color w:val="auto"/>
                <w:vertAlign w:val="superscript"/>
              </w:rPr>
              <w:t>(10)</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2,240,237</w:t>
            </w:r>
            <w:r>
              <w:rPr>
                <w:rFonts w:ascii="Arial" w:cs="Arial" w:eastAsia="Arial" w:hAnsi="Arial"/>
                <w:sz w:val="26"/>
                <w:szCs w:val="26"/>
                <w:color w:val="auto"/>
                <w:vertAlign w:val="superscript"/>
              </w:rPr>
              <w:t>(10)</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2,240,237</w:t>
            </w:r>
            <w:r>
              <w:rPr>
                <w:rFonts w:ascii="Arial" w:cs="Arial" w:eastAsia="Arial" w:hAnsi="Arial"/>
                <w:sz w:val="26"/>
                <w:szCs w:val="26"/>
                <w:color w:val="auto"/>
                <w:vertAlign w:val="superscript"/>
              </w:rPr>
              <w:t>(4)</w:t>
            </w:r>
          </w:p>
        </w:tc>
        <w:tc>
          <w:tcPr>
            <w:tcW w:w="116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2,240,237</w:t>
            </w:r>
            <w:r>
              <w:rPr>
                <w:rFonts w:ascii="Arial" w:cs="Arial" w:eastAsia="Arial" w:hAnsi="Arial"/>
                <w:sz w:val="26"/>
                <w:szCs w:val="26"/>
                <w:color w:val="auto"/>
                <w:vertAlign w:val="superscript"/>
              </w:rPr>
              <w:t>(4)</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2,240,237</w:t>
            </w:r>
            <w:r>
              <w:rPr>
                <w:rFonts w:ascii="Arial" w:cs="Arial" w:eastAsia="Arial" w:hAnsi="Arial"/>
                <w:sz w:val="26"/>
                <w:szCs w:val="26"/>
                <w:color w:val="auto"/>
                <w:vertAlign w:val="superscript"/>
              </w:rPr>
              <w:t>(5)</w:t>
            </w:r>
          </w:p>
        </w:tc>
      </w:tr>
      <w:tr>
        <w:trPr>
          <w:trHeight w:val="244"/>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7,828,935</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7,828,935</w:t>
            </w:r>
          </w:p>
        </w:tc>
        <w:tc>
          <w:tcPr>
            <w:tcW w:w="118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6,180,935</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2,240,237</w:t>
            </w:r>
          </w:p>
        </w:tc>
        <w:tc>
          <w:tcPr>
            <w:tcW w:w="120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10,926,680</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Harry Pefanis</w:t>
            </w:r>
            <w:r>
              <w:rPr>
                <w:rFonts w:ascii="Arial" w:cs="Arial" w:eastAsia="Arial" w:hAnsi="Arial"/>
                <w:sz w:val="26"/>
                <w:szCs w:val="26"/>
                <w:b w:val="1"/>
                <w:bCs w:val="1"/>
                <w:color w:val="auto"/>
                <w:vertAlign w:val="superscript"/>
              </w:rPr>
              <w:t>(9)</w:t>
            </w: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6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Salary and Bonus</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3,800,000</w:t>
            </w:r>
            <w:r>
              <w:rPr>
                <w:rFonts w:ascii="Arial" w:cs="Arial" w:eastAsia="Arial" w:hAnsi="Arial"/>
                <w:sz w:val="26"/>
                <w:szCs w:val="26"/>
                <w:color w:val="auto"/>
                <w:vertAlign w:val="superscript"/>
              </w:rPr>
              <w:t>(6)</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3,800,000</w:t>
            </w:r>
            <w:r>
              <w:rPr>
                <w:rFonts w:ascii="Arial" w:cs="Arial" w:eastAsia="Arial" w:hAnsi="Arial"/>
                <w:sz w:val="26"/>
                <w:szCs w:val="26"/>
                <w:color w:val="auto"/>
                <w:vertAlign w:val="superscript"/>
              </w:rPr>
              <w:t>(6)</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3,800,000</w:t>
            </w:r>
            <w:r>
              <w:rPr>
                <w:rFonts w:ascii="Arial" w:cs="Arial" w:eastAsia="Arial" w:hAnsi="Arial"/>
                <w:sz w:val="26"/>
                <w:szCs w:val="26"/>
                <w:color w:val="auto"/>
                <w:vertAlign w:val="superscript"/>
              </w:rPr>
              <w:t>(6)</w:t>
            </w:r>
          </w:p>
        </w:tc>
        <w:tc>
          <w:tcPr>
            <w:tcW w:w="116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3,800,000</w:t>
            </w:r>
            <w:r>
              <w:rPr>
                <w:rFonts w:ascii="Arial" w:cs="Arial" w:eastAsia="Arial" w:hAnsi="Arial"/>
                <w:sz w:val="26"/>
                <w:szCs w:val="26"/>
                <w:color w:val="auto"/>
                <w:vertAlign w:val="superscript"/>
              </w:rPr>
              <w:t>(6)</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5,700,000</w:t>
            </w:r>
            <w:r>
              <w:rPr>
                <w:rFonts w:ascii="Arial" w:cs="Arial" w:eastAsia="Arial" w:hAnsi="Arial"/>
                <w:sz w:val="26"/>
                <w:szCs w:val="26"/>
                <w:color w:val="auto"/>
                <w:vertAlign w:val="superscript"/>
              </w:rPr>
              <w:t>(7)</w:t>
            </w: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Health Benefits</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41,224</w:t>
            </w:r>
            <w:r>
              <w:rPr>
                <w:rFonts w:ascii="Arial" w:cs="Arial" w:eastAsia="Arial" w:hAnsi="Arial"/>
                <w:sz w:val="26"/>
                <w:szCs w:val="26"/>
                <w:color w:val="auto"/>
                <w:vertAlign w:val="superscript"/>
              </w:rPr>
              <w:t>(8)</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41,224</w:t>
            </w:r>
            <w:r>
              <w:rPr>
                <w:rFonts w:ascii="Arial" w:cs="Arial" w:eastAsia="Arial" w:hAnsi="Arial"/>
                <w:sz w:val="26"/>
                <w:szCs w:val="26"/>
                <w:color w:val="auto"/>
                <w:vertAlign w:val="superscript"/>
              </w:rPr>
              <w:t>(8)</w:t>
            </w:r>
          </w:p>
        </w:tc>
        <w:tc>
          <w:tcPr>
            <w:tcW w:w="116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41,224</w:t>
            </w:r>
            <w:r>
              <w:rPr>
                <w:rFonts w:ascii="Arial" w:cs="Arial" w:eastAsia="Arial" w:hAnsi="Arial"/>
                <w:sz w:val="26"/>
                <w:szCs w:val="26"/>
                <w:color w:val="auto"/>
                <w:vertAlign w:val="superscript"/>
              </w:rPr>
              <w:t>(8)</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41,224</w:t>
            </w:r>
            <w:r>
              <w:rPr>
                <w:rFonts w:ascii="Arial" w:cs="Arial" w:eastAsia="Arial" w:hAnsi="Arial"/>
                <w:sz w:val="26"/>
                <w:szCs w:val="26"/>
                <w:color w:val="auto"/>
                <w:vertAlign w:val="superscript"/>
              </w:rPr>
              <w:t>(8)</w:t>
            </w:r>
          </w:p>
        </w:tc>
      </w:tr>
      <w:tr>
        <w:trPr>
          <w:trHeight w:val="244"/>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3,800,000</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3,841,224</w:t>
            </w:r>
          </w:p>
        </w:tc>
        <w:tc>
          <w:tcPr>
            <w:tcW w:w="118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3,841,224</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3,841,224</w:t>
            </w:r>
          </w:p>
        </w:tc>
        <w:tc>
          <w:tcPr>
            <w:tcW w:w="120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5,741,224</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Al Swanson</w:t>
            </w:r>
            <w:r>
              <w:rPr>
                <w:rFonts w:ascii="Arial" w:cs="Arial" w:eastAsia="Arial" w:hAnsi="Arial"/>
                <w:sz w:val="26"/>
                <w:szCs w:val="26"/>
                <w:b w:val="1"/>
                <w:bCs w:val="1"/>
                <w:color w:val="auto"/>
                <w:vertAlign w:val="superscript"/>
              </w:rPr>
              <w:t>(9)</w:t>
            </w: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6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Equity Compensation</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727,592</w:t>
            </w:r>
            <w:r>
              <w:rPr>
                <w:rFonts w:ascii="Arial" w:cs="Arial" w:eastAsia="Arial" w:hAnsi="Arial"/>
                <w:sz w:val="26"/>
                <w:szCs w:val="26"/>
                <w:color w:val="auto"/>
                <w:vertAlign w:val="superscript"/>
              </w:rPr>
              <w:t>(1)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727,592</w:t>
            </w:r>
            <w:r>
              <w:rPr>
                <w:rFonts w:ascii="Arial" w:cs="Arial" w:eastAsia="Arial" w:hAnsi="Arial"/>
                <w:sz w:val="26"/>
                <w:szCs w:val="26"/>
                <w:color w:val="auto"/>
                <w:vertAlign w:val="superscript"/>
              </w:rPr>
              <w:t>(1)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727,592</w:t>
            </w:r>
            <w:r>
              <w:rPr>
                <w:rFonts w:ascii="Arial" w:cs="Arial" w:eastAsia="Arial" w:hAnsi="Arial"/>
                <w:sz w:val="26"/>
                <w:szCs w:val="26"/>
                <w:color w:val="auto"/>
                <w:vertAlign w:val="superscript"/>
              </w:rPr>
              <w:t>(2)</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1,966,723</w:t>
            </w:r>
            <w:r>
              <w:rPr>
                <w:rFonts w:ascii="Arial" w:cs="Arial" w:eastAsia="Arial" w:hAnsi="Arial"/>
                <w:sz w:val="26"/>
                <w:szCs w:val="26"/>
                <w:color w:val="auto"/>
                <w:vertAlign w:val="superscript"/>
              </w:rPr>
              <w:t>(3)</w:t>
            </w:r>
          </w:p>
        </w:tc>
      </w:tr>
      <w:tr>
        <w:trPr>
          <w:trHeight w:val="244"/>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727,592</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727,592</w:t>
            </w:r>
          </w:p>
        </w:tc>
        <w:tc>
          <w:tcPr>
            <w:tcW w:w="118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727,592</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1,966,723</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Richard McGee</w:t>
            </w:r>
            <w:r>
              <w:rPr>
                <w:rFonts w:ascii="Arial" w:cs="Arial" w:eastAsia="Arial" w:hAnsi="Arial"/>
                <w:sz w:val="26"/>
                <w:szCs w:val="26"/>
                <w:b w:val="1"/>
                <w:bCs w:val="1"/>
                <w:color w:val="auto"/>
                <w:vertAlign w:val="superscript"/>
              </w:rPr>
              <w:t>(9)</w:t>
            </w: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6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Equity Compensation</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706,992</w:t>
            </w:r>
            <w:r>
              <w:rPr>
                <w:rFonts w:ascii="Arial" w:cs="Arial" w:eastAsia="Arial" w:hAnsi="Arial"/>
                <w:sz w:val="26"/>
                <w:szCs w:val="26"/>
                <w:color w:val="auto"/>
                <w:vertAlign w:val="superscript"/>
              </w:rPr>
              <w:t>(1)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706,992</w:t>
            </w:r>
            <w:r>
              <w:rPr>
                <w:rFonts w:ascii="Arial" w:cs="Arial" w:eastAsia="Arial" w:hAnsi="Arial"/>
                <w:sz w:val="26"/>
                <w:szCs w:val="26"/>
                <w:color w:val="auto"/>
                <w:vertAlign w:val="superscript"/>
              </w:rPr>
              <w:t>(1)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706,992</w:t>
            </w:r>
            <w:r>
              <w:rPr>
                <w:rFonts w:ascii="Arial" w:cs="Arial" w:eastAsia="Arial" w:hAnsi="Arial"/>
                <w:sz w:val="26"/>
                <w:szCs w:val="26"/>
                <w:color w:val="auto"/>
                <w:vertAlign w:val="superscript"/>
              </w:rPr>
              <w:t>(2)</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1,946,123</w:t>
            </w:r>
            <w:r>
              <w:rPr>
                <w:rFonts w:ascii="Arial" w:cs="Arial" w:eastAsia="Arial" w:hAnsi="Arial"/>
                <w:sz w:val="26"/>
                <w:szCs w:val="26"/>
                <w:color w:val="auto"/>
                <w:vertAlign w:val="superscript"/>
              </w:rPr>
              <w:t>(3)</w:t>
            </w: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AAP Management Units</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486,589</w:t>
            </w:r>
            <w:r>
              <w:rPr>
                <w:rFonts w:ascii="Arial" w:cs="Arial" w:eastAsia="Arial" w:hAnsi="Arial"/>
                <w:sz w:val="26"/>
                <w:szCs w:val="26"/>
                <w:color w:val="auto"/>
                <w:vertAlign w:val="superscript"/>
              </w:rPr>
              <w:t>(4)</w:t>
            </w:r>
          </w:p>
        </w:tc>
        <w:tc>
          <w:tcPr>
            <w:tcW w:w="116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486,589</w:t>
            </w:r>
            <w:r>
              <w:rPr>
                <w:rFonts w:ascii="Arial" w:cs="Arial" w:eastAsia="Arial" w:hAnsi="Arial"/>
                <w:sz w:val="26"/>
                <w:szCs w:val="26"/>
                <w:color w:val="auto"/>
                <w:vertAlign w:val="superscript"/>
              </w:rPr>
              <w:t>(4)</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486,589</w:t>
            </w:r>
            <w:r>
              <w:rPr>
                <w:rFonts w:ascii="Arial" w:cs="Arial" w:eastAsia="Arial" w:hAnsi="Arial"/>
                <w:sz w:val="26"/>
                <w:szCs w:val="26"/>
                <w:color w:val="auto"/>
                <w:vertAlign w:val="superscript"/>
              </w:rPr>
              <w:t>(5)</w:t>
            </w:r>
          </w:p>
        </w:tc>
      </w:tr>
      <w:tr>
        <w:trPr>
          <w:trHeight w:val="243"/>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706,992</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706,992</w:t>
            </w:r>
          </w:p>
        </w:tc>
        <w:tc>
          <w:tcPr>
            <w:tcW w:w="118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1,193,581</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486,589</w:t>
            </w:r>
          </w:p>
        </w:tc>
        <w:tc>
          <w:tcPr>
            <w:tcW w:w="120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2,432,712</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Chris Chandler</w:t>
            </w:r>
            <w:r>
              <w:rPr>
                <w:rFonts w:ascii="Arial" w:cs="Arial" w:eastAsia="Arial" w:hAnsi="Arial"/>
                <w:sz w:val="26"/>
                <w:szCs w:val="26"/>
                <w:b w:val="1"/>
                <w:bCs w:val="1"/>
                <w:color w:val="auto"/>
                <w:vertAlign w:val="superscript"/>
              </w:rPr>
              <w:t>(9)</w:t>
            </w: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6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Equity Compensation</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1,465,072</w:t>
            </w:r>
            <w:r>
              <w:rPr>
                <w:rFonts w:ascii="Arial" w:cs="Arial" w:eastAsia="Arial" w:hAnsi="Arial"/>
                <w:sz w:val="26"/>
                <w:szCs w:val="26"/>
                <w:color w:val="auto"/>
                <w:vertAlign w:val="superscript"/>
              </w:rPr>
              <w:t>(1)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1,465,072</w:t>
            </w:r>
            <w:r>
              <w:rPr>
                <w:rFonts w:ascii="Arial" w:cs="Arial" w:eastAsia="Arial" w:hAnsi="Arial"/>
                <w:sz w:val="26"/>
                <w:szCs w:val="26"/>
                <w:color w:val="auto"/>
                <w:vertAlign w:val="superscript"/>
              </w:rPr>
              <w:t>(1)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2,289,072</w:t>
            </w:r>
            <w:r>
              <w:rPr>
                <w:rFonts w:ascii="Arial" w:cs="Arial" w:eastAsia="Arial" w:hAnsi="Arial"/>
                <w:sz w:val="26"/>
                <w:szCs w:val="26"/>
                <w:color w:val="auto"/>
                <w:vertAlign w:val="superscript"/>
              </w:rPr>
              <w:t>(2)</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6,824,203</w:t>
            </w:r>
            <w:r>
              <w:rPr>
                <w:rFonts w:ascii="Arial" w:cs="Arial" w:eastAsia="Arial" w:hAnsi="Arial"/>
                <w:sz w:val="26"/>
                <w:szCs w:val="26"/>
                <w:color w:val="auto"/>
                <w:vertAlign w:val="superscript"/>
              </w:rPr>
              <w:t>(3)</w:t>
            </w:r>
          </w:p>
        </w:tc>
      </w:tr>
      <w:tr>
        <w:trPr>
          <w:trHeight w:val="244"/>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1,465,072</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1,465,072</w:t>
            </w:r>
          </w:p>
        </w:tc>
        <w:tc>
          <w:tcPr>
            <w:tcW w:w="118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2,289,072</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6,824,203</w:t>
            </w:r>
          </w:p>
        </w:tc>
      </w:tr>
      <w:tr>
        <w:trPr>
          <w:trHeight w:val="270"/>
        </w:trPr>
        <w:tc>
          <w:tcPr>
            <w:tcW w:w="2320" w:type="dxa"/>
            <w:vAlign w:val="bottom"/>
            <w:tcBorders>
              <w:left w:val="single" w:sz="8" w:color="434F69"/>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b w:val="1"/>
                <w:bCs w:val="1"/>
                <w:color w:val="auto"/>
              </w:rPr>
              <w:t>Jeremy Goebel</w:t>
            </w:r>
            <w:r>
              <w:rPr>
                <w:rFonts w:ascii="Arial" w:cs="Arial" w:eastAsia="Arial" w:hAnsi="Arial"/>
                <w:sz w:val="26"/>
                <w:szCs w:val="26"/>
                <w:b w:val="1"/>
                <w:bCs w:val="1"/>
                <w:color w:val="auto"/>
                <w:vertAlign w:val="superscript"/>
              </w:rPr>
              <w:t>(9)</w:t>
            </w: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80" w:type="dxa"/>
            <w:vAlign w:val="bottom"/>
            <w:tcBorders>
              <w:bottom w:val="single" w:sz="8" w:color="434F69"/>
              <w:right w:val="single" w:sz="8" w:color="434F69"/>
            </w:tcBorders>
            <w:shd w:val="clear" w:color="auto" w:fill="D9DCE1"/>
          </w:tcPr>
          <w:p>
            <w:pPr>
              <w:spacing w:after="0"/>
              <w:rPr>
                <w:sz w:val="23"/>
                <w:szCs w:val="23"/>
                <w:color w:val="auto"/>
              </w:rPr>
            </w:pPr>
          </w:p>
        </w:tc>
        <w:tc>
          <w:tcPr>
            <w:tcW w:w="1160" w:type="dxa"/>
            <w:vAlign w:val="bottom"/>
            <w:tcBorders>
              <w:bottom w:val="single" w:sz="8" w:color="434F69"/>
              <w:right w:val="single" w:sz="8" w:color="434F69"/>
            </w:tcBorders>
            <w:shd w:val="clear" w:color="auto" w:fill="D9DCE1"/>
          </w:tcPr>
          <w:p>
            <w:pPr>
              <w:spacing w:after="0"/>
              <w:rPr>
                <w:sz w:val="23"/>
                <w:szCs w:val="23"/>
                <w:color w:val="auto"/>
              </w:rPr>
            </w:pPr>
          </w:p>
        </w:tc>
        <w:tc>
          <w:tcPr>
            <w:tcW w:w="1200" w:type="dxa"/>
            <w:vAlign w:val="bottom"/>
            <w:tcBorders>
              <w:bottom w:val="single" w:sz="8" w:color="434F69"/>
              <w:right w:val="single" w:sz="8" w:color="434F69"/>
            </w:tcBorders>
            <w:shd w:val="clear" w:color="auto" w:fill="D9DCE1"/>
          </w:tcPr>
          <w:p>
            <w:pPr>
              <w:spacing w:after="0"/>
              <w:rPr>
                <w:sz w:val="23"/>
                <w:szCs w:val="23"/>
                <w:color w:val="auto"/>
              </w:rPr>
            </w:pP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Equity Compensation</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1,314,008</w:t>
            </w:r>
            <w:r>
              <w:rPr>
                <w:rFonts w:ascii="Arial" w:cs="Arial" w:eastAsia="Arial" w:hAnsi="Arial"/>
                <w:sz w:val="26"/>
                <w:szCs w:val="26"/>
                <w:color w:val="auto"/>
                <w:vertAlign w:val="superscript"/>
              </w:rPr>
              <w:t>(1)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1,314,008</w:t>
            </w:r>
            <w:r>
              <w:rPr>
                <w:rFonts w:ascii="Arial" w:cs="Arial" w:eastAsia="Arial" w:hAnsi="Arial"/>
                <w:sz w:val="26"/>
                <w:szCs w:val="26"/>
                <w:color w:val="auto"/>
                <w:vertAlign w:val="superscript"/>
              </w:rPr>
              <w:t>(1)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2,138,008</w:t>
            </w:r>
            <w:r>
              <w:rPr>
                <w:rFonts w:ascii="Arial" w:cs="Arial" w:eastAsia="Arial" w:hAnsi="Arial"/>
                <w:sz w:val="26"/>
                <w:szCs w:val="26"/>
                <w:color w:val="auto"/>
                <w:vertAlign w:val="superscript"/>
              </w:rPr>
              <w:t>(2)</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6,673,139</w:t>
            </w:r>
            <w:r>
              <w:rPr>
                <w:rFonts w:ascii="Arial" w:cs="Arial" w:eastAsia="Arial" w:hAnsi="Arial"/>
                <w:sz w:val="26"/>
                <w:szCs w:val="26"/>
                <w:color w:val="auto"/>
                <w:vertAlign w:val="superscript"/>
              </w:rPr>
              <w:t>(3)</w:t>
            </w:r>
          </w:p>
        </w:tc>
      </w:tr>
      <w:tr>
        <w:trPr>
          <w:trHeight w:val="250"/>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AAP Management Units</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(11)</w:t>
            </w:r>
          </w:p>
        </w:tc>
        <w:tc>
          <w:tcPr>
            <w:tcW w:w="118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74,677</w:t>
            </w:r>
            <w:r>
              <w:rPr>
                <w:rFonts w:ascii="Arial" w:cs="Arial" w:eastAsia="Arial" w:hAnsi="Arial"/>
                <w:sz w:val="26"/>
                <w:szCs w:val="26"/>
                <w:color w:val="auto"/>
                <w:vertAlign w:val="superscript"/>
              </w:rPr>
              <w:t>(4)</w:t>
            </w:r>
          </w:p>
        </w:tc>
        <w:tc>
          <w:tcPr>
            <w:tcW w:w="116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74,677</w:t>
            </w:r>
            <w:r>
              <w:rPr>
                <w:rFonts w:ascii="Arial" w:cs="Arial" w:eastAsia="Arial" w:hAnsi="Arial"/>
                <w:sz w:val="26"/>
                <w:szCs w:val="26"/>
                <w:color w:val="auto"/>
                <w:vertAlign w:val="superscript"/>
              </w:rPr>
              <w:t>(4)</w:t>
            </w:r>
          </w:p>
        </w:tc>
        <w:tc>
          <w:tcPr>
            <w:tcW w:w="1200" w:type="dxa"/>
            <w:vAlign w:val="bottom"/>
            <w:tcBorders>
              <w:bottom w:val="single" w:sz="8" w:color="434F69"/>
              <w:right w:val="single" w:sz="8" w:color="434F69"/>
            </w:tcBorders>
          </w:tcPr>
          <w:p>
            <w:pPr>
              <w:jc w:val="right"/>
              <w:spacing w:after="0" w:line="250" w:lineRule="exact"/>
              <w:rPr>
                <w:sz w:val="20"/>
                <w:szCs w:val="20"/>
                <w:color w:val="auto"/>
              </w:rPr>
            </w:pPr>
            <w:r>
              <w:rPr>
                <w:rFonts w:ascii="Arial" w:cs="Arial" w:eastAsia="Arial" w:hAnsi="Arial"/>
                <w:sz w:val="18"/>
                <w:szCs w:val="18"/>
                <w:color w:val="auto"/>
              </w:rPr>
              <w:t>74,677</w:t>
            </w:r>
            <w:r>
              <w:rPr>
                <w:rFonts w:ascii="Arial" w:cs="Arial" w:eastAsia="Arial" w:hAnsi="Arial"/>
                <w:sz w:val="26"/>
                <w:szCs w:val="26"/>
                <w:color w:val="auto"/>
                <w:vertAlign w:val="superscript"/>
              </w:rPr>
              <w:t>(5)</w:t>
            </w:r>
          </w:p>
        </w:tc>
      </w:tr>
      <w:tr>
        <w:trPr>
          <w:trHeight w:val="244"/>
        </w:trPr>
        <w:tc>
          <w:tcPr>
            <w:tcW w:w="2320" w:type="dxa"/>
            <w:vAlign w:val="bottom"/>
            <w:tcBorders>
              <w:left w:val="single" w:sz="8" w:color="434F69"/>
              <w:bottom w:val="single" w:sz="8" w:color="434F69"/>
              <w:right w:val="single" w:sz="8" w:color="434F69"/>
            </w:tcBorders>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1,314,008</w:t>
            </w:r>
          </w:p>
        </w:tc>
        <w:tc>
          <w:tcPr>
            <w:tcW w:w="1180" w:type="dxa"/>
            <w:vAlign w:val="bottom"/>
            <w:tcBorders>
              <w:bottom w:val="single" w:sz="8" w:color="434F69"/>
              <w:right w:val="single" w:sz="8" w:color="434F69"/>
            </w:tcBorders>
          </w:tcPr>
          <w:p>
            <w:pPr>
              <w:jc w:val="right"/>
              <w:ind w:right="157"/>
              <w:spacing w:after="0"/>
              <w:rPr>
                <w:sz w:val="20"/>
                <w:szCs w:val="20"/>
                <w:color w:val="auto"/>
              </w:rPr>
            </w:pPr>
            <w:r>
              <w:rPr>
                <w:rFonts w:ascii="Arial" w:cs="Arial" w:eastAsia="Arial" w:hAnsi="Arial"/>
                <w:sz w:val="18"/>
                <w:szCs w:val="18"/>
                <w:color w:val="auto"/>
              </w:rPr>
              <w:t>1,314,008</w:t>
            </w:r>
          </w:p>
        </w:tc>
        <w:tc>
          <w:tcPr>
            <w:tcW w:w="118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2,212,685</w:t>
            </w:r>
          </w:p>
        </w:tc>
        <w:tc>
          <w:tcPr>
            <w:tcW w:w="116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74,677</w:t>
            </w:r>
          </w:p>
        </w:tc>
        <w:tc>
          <w:tcPr>
            <w:tcW w:w="1200" w:type="dxa"/>
            <w:vAlign w:val="bottom"/>
            <w:tcBorders>
              <w:bottom w:val="single" w:sz="8" w:color="434F69"/>
              <w:right w:val="single" w:sz="8" w:color="434F69"/>
            </w:tcBorders>
          </w:tcPr>
          <w:p>
            <w:pPr>
              <w:jc w:val="right"/>
              <w:ind w:right="134"/>
              <w:spacing w:after="0"/>
              <w:rPr>
                <w:sz w:val="20"/>
                <w:szCs w:val="20"/>
                <w:color w:val="auto"/>
              </w:rPr>
            </w:pPr>
            <w:r>
              <w:rPr>
                <w:rFonts w:ascii="Arial" w:cs="Arial" w:eastAsia="Arial" w:hAnsi="Arial"/>
                <w:sz w:val="18"/>
                <w:szCs w:val="18"/>
                <w:color w:val="auto"/>
              </w:rPr>
              <w:t>6,747,816</w:t>
            </w:r>
          </w:p>
        </w:tc>
      </w:tr>
    </w:tbl>
    <w:p>
      <w:pPr>
        <w:spacing w:after="0" w:line="67" w:lineRule="exact"/>
        <w:rPr>
          <w:sz w:val="20"/>
          <w:szCs w:val="20"/>
          <w:color w:val="auto"/>
        </w:rPr>
      </w:pPr>
    </w:p>
    <w:p>
      <w:pPr>
        <w:ind w:left="1620" w:right="459" w:hanging="360"/>
        <w:spacing w:after="0" w:line="247" w:lineRule="auto"/>
        <w:tabs>
          <w:tab w:leader="none" w:pos="1620" w:val="left"/>
        </w:tabs>
        <w:numPr>
          <w:ilvl w:val="0"/>
          <w:numId w:val="64"/>
        </w:numPr>
        <w:rPr>
          <w:rFonts w:ascii="Arial" w:cs="Arial" w:eastAsia="Arial" w:hAnsi="Arial"/>
          <w:sz w:val="26"/>
          <w:szCs w:val="26"/>
          <w:color w:val="auto"/>
          <w:vertAlign w:val="superscript"/>
        </w:rPr>
      </w:pPr>
      <w:r>
        <w:rPr>
          <w:rFonts w:ascii="Arial" w:cs="Arial" w:eastAsia="Arial" w:hAnsi="Arial"/>
          <w:sz w:val="17"/>
          <w:szCs w:val="17"/>
          <w:color w:val="auto"/>
        </w:rPr>
        <w:t>The letters evidencing the 2016 phantom unit grants awarded to Messrs. Chiang, Swanson, McGee and Goebel, and the letter evidencing the August 2018 phantom unit grant to Mr. Chiang provide that in the event of their death or disability after the second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49" w:lineRule="exact"/>
        <w:rPr>
          <w:rFonts w:ascii="Arial" w:cs="Arial" w:eastAsia="Arial" w:hAnsi="Arial"/>
          <w:sz w:val="26"/>
          <w:szCs w:val="26"/>
          <w:color w:val="auto"/>
          <w:vertAlign w:val="superscript"/>
        </w:rPr>
      </w:pPr>
    </w:p>
    <w:p>
      <w:pPr>
        <w:ind w:left="1620" w:right="439"/>
        <w:spacing w:after="0" w:line="254" w:lineRule="auto"/>
        <w:rPr>
          <w:rFonts w:ascii="Arial" w:cs="Arial" w:eastAsia="Arial" w:hAnsi="Arial"/>
          <w:sz w:val="26"/>
          <w:szCs w:val="26"/>
          <w:color w:val="auto"/>
          <w:vertAlign w:val="superscript"/>
        </w:rPr>
      </w:pPr>
      <w:r>
        <w:rPr>
          <w:rFonts w:ascii="Arial" w:cs="Arial" w:eastAsia="Arial" w:hAnsi="Arial"/>
          <w:sz w:val="18"/>
          <w:szCs w:val="18"/>
          <w:color w:val="auto"/>
        </w:rPr>
        <w:t>The letters evidencing the March 2018 phantom unit grants awarded to Messrs. Chiang, Swanson, McGee and Goebel, the August 2019 and August 2020 phantom unit grants awarded to Messrs. Chiang, Swanson, McGee, Chandler and Goebel and the May 2018 grant of 75,000 phantom units awarded to Mr. Chandler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43" w:lineRule="exact"/>
        <w:rPr>
          <w:rFonts w:ascii="Arial" w:cs="Arial" w:eastAsia="Arial" w:hAnsi="Arial"/>
          <w:sz w:val="26"/>
          <w:szCs w:val="26"/>
          <w:color w:val="auto"/>
          <w:vertAlign w:val="superscript"/>
        </w:rPr>
      </w:pPr>
    </w:p>
    <w:p>
      <w:pPr>
        <w:ind w:left="1620"/>
        <w:spacing w:after="0"/>
        <w:rPr>
          <w:rFonts w:ascii="Arial" w:cs="Arial" w:eastAsia="Arial" w:hAnsi="Arial"/>
          <w:sz w:val="26"/>
          <w:szCs w:val="26"/>
          <w:color w:val="auto"/>
          <w:vertAlign w:val="superscript"/>
        </w:rPr>
      </w:pPr>
      <w:r>
        <w:rPr>
          <w:rFonts w:ascii="Arial" w:cs="Arial" w:eastAsia="Arial" w:hAnsi="Arial"/>
          <w:sz w:val="18"/>
          <w:szCs w:val="18"/>
          <w:color w:val="auto"/>
        </w:rPr>
        <w:t>The letters evidencing the December 2017 phantom unit grant awarded to Mr. Goebel, and the</w:t>
      </w:r>
    </w:p>
    <w:p>
      <w:pPr>
        <w:spacing w:after="0" w:line="23" w:lineRule="exact"/>
        <w:rPr>
          <w:rFonts w:ascii="Arial" w:cs="Arial" w:eastAsia="Arial" w:hAnsi="Arial"/>
          <w:sz w:val="26"/>
          <w:szCs w:val="26"/>
          <w:color w:val="auto"/>
          <w:vertAlign w:val="superscript"/>
        </w:rPr>
      </w:pPr>
    </w:p>
    <w:p>
      <w:pPr>
        <w:ind w:left="1620" w:right="659"/>
        <w:spacing w:after="0" w:line="255" w:lineRule="auto"/>
        <w:rPr>
          <w:rFonts w:ascii="Arial" w:cs="Arial" w:eastAsia="Arial" w:hAnsi="Arial"/>
          <w:sz w:val="26"/>
          <w:szCs w:val="26"/>
          <w:color w:val="auto"/>
          <w:vertAlign w:val="superscript"/>
        </w:rPr>
      </w:pPr>
      <w:r>
        <w:rPr>
          <w:rFonts w:ascii="Arial" w:cs="Arial" w:eastAsia="Arial" w:hAnsi="Arial"/>
          <w:sz w:val="18"/>
          <w:szCs w:val="18"/>
          <w:color w:val="auto"/>
        </w:rPr>
        <w:t>May 2018 grant of 135,000 phantom units awarded to Mr. Chandler provide that in the event of their death or disability, all of their then outstanding phantom units awarded under such grants will be deemed</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499"/>
        <w:spacing w:after="0" w:line="248" w:lineRule="auto"/>
        <w:rPr>
          <w:sz w:val="20"/>
          <w:szCs w:val="20"/>
          <w:color w:val="auto"/>
        </w:rPr>
      </w:pPr>
      <w:r>
        <w:rPr>
          <w:rFonts w:ascii="Arial" w:cs="Arial" w:eastAsia="Arial" w:hAnsi="Arial"/>
          <w:sz w:val="18"/>
          <w:szCs w:val="18"/>
          <w:color w:val="auto"/>
        </w:rPr>
        <w:t>nonforfeitable and will vest on the next following distribution date (and any associated DERs shall not be forfeited but shall vest, be payable and expire according to the terms of the applicable phantom unit grant letter).</w:t>
      </w:r>
    </w:p>
    <w:p>
      <w:pPr>
        <w:spacing w:after="0" w:line="33" w:lineRule="exact"/>
        <w:rPr>
          <w:sz w:val="20"/>
          <w:szCs w:val="20"/>
          <w:color w:val="auto"/>
        </w:rPr>
      </w:pPr>
    </w:p>
    <w:p>
      <w:pPr>
        <w:ind w:left="1620" w:right="499"/>
        <w:spacing w:after="0" w:line="257" w:lineRule="auto"/>
        <w:rPr>
          <w:sz w:val="20"/>
          <w:szCs w:val="20"/>
          <w:color w:val="auto"/>
        </w:rPr>
      </w:pPr>
      <w:r>
        <w:rPr>
          <w:rFonts w:ascii="Arial" w:cs="Arial" w:eastAsia="Arial" w:hAnsi="Arial"/>
          <w:sz w:val="17"/>
          <w:szCs w:val="17"/>
          <w:color w:val="auto"/>
        </w:rPr>
        <w:t>The letters evidencing the November 2019 phantom unit grants awarded to Messrs. Chandler and Goebel provide that in the event of their death or disability after the second anniversary of the date of grant, all of their then outstanding phantom units awarded under such grants and associated DERs will be deemed nonforfeitable, and (i) 50% will vest on the next distribution date and (ii) any remaining unvested phantom units that had satisfied all of the vesting criteria as of the date of his termination but for the passage of time would also vest on the next following distribution date.</w:t>
      </w:r>
    </w:p>
    <w:p>
      <w:pPr>
        <w:spacing w:after="0" w:line="27" w:lineRule="exact"/>
        <w:rPr>
          <w:sz w:val="20"/>
          <w:szCs w:val="20"/>
          <w:color w:val="auto"/>
        </w:rPr>
      </w:pPr>
    </w:p>
    <w:p>
      <w:pPr>
        <w:ind w:left="1620" w:right="1159"/>
        <w:spacing w:after="0" w:line="248" w:lineRule="auto"/>
        <w:rPr>
          <w:sz w:val="20"/>
          <w:szCs w:val="20"/>
          <w:color w:val="auto"/>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spacing w:after="0" w:line="4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Assuming death or disability occurred on December 31, 2020, (A) all of the phantom units and</w:t>
      </w:r>
    </w:p>
    <w:p>
      <w:pPr>
        <w:spacing w:after="0" w:line="1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associated DERs held by Messrs. Chiang, Swanson, McGee and Goebel pursuant to their 2016 and</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March 2018 grant letters, all of the phantom units and associated DERs held by Messrs. Chiang,</w:t>
      </w:r>
    </w:p>
    <w:p>
      <w:pPr>
        <w:ind w:left="1620"/>
        <w:spacing w:after="0" w:line="234" w:lineRule="auto"/>
        <w:rPr>
          <w:sz w:val="20"/>
          <w:szCs w:val="20"/>
          <w:color w:val="auto"/>
        </w:rPr>
      </w:pPr>
      <w:r>
        <w:rPr>
          <w:rFonts w:ascii="Arial" w:cs="Arial" w:eastAsia="Arial" w:hAnsi="Arial"/>
          <w:sz w:val="18"/>
          <w:szCs w:val="18"/>
          <w:color w:val="auto"/>
        </w:rPr>
        <w:t>Swanson, McGee, Chandler and Goebel pursuant to their August 2019 grant letters, all of the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phantom units and associated DERs held by Mr. Chandler pursuant to his May 2018 grant letters, all of</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phantom units and associated DERs held by Mr. Chiang pursuant to his August 2018 grant letter,</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and all of the phantom units and associated DERs held by Mr. Goebel pursuant to his 2017 grant letter</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would have become nonforfeitable as of such date and would have vested on the February 2021</w:t>
      </w:r>
    </w:p>
    <w:p>
      <w:pPr>
        <w:ind w:left="1620"/>
        <w:spacing w:after="0" w:line="234" w:lineRule="auto"/>
        <w:rPr>
          <w:sz w:val="20"/>
          <w:szCs w:val="20"/>
          <w:color w:val="auto"/>
        </w:rPr>
      </w:pPr>
      <w:r>
        <w:rPr>
          <w:rFonts w:ascii="Arial" w:cs="Arial" w:eastAsia="Arial" w:hAnsi="Arial"/>
          <w:sz w:val="18"/>
          <w:szCs w:val="18"/>
          <w:color w:val="auto"/>
        </w:rPr>
        <w:t>distribution date, and (B) all of the phantom units and associated DERs held by Messrs. Chiang,</w:t>
      </w:r>
    </w:p>
    <w:p>
      <w:pPr>
        <w:ind w:left="1620"/>
        <w:spacing w:after="0" w:line="235" w:lineRule="auto"/>
        <w:rPr>
          <w:sz w:val="20"/>
          <w:szCs w:val="20"/>
          <w:color w:val="auto"/>
        </w:rPr>
      </w:pPr>
      <w:r>
        <w:rPr>
          <w:rFonts w:ascii="Arial" w:cs="Arial" w:eastAsia="Arial" w:hAnsi="Arial"/>
          <w:sz w:val="18"/>
          <w:szCs w:val="18"/>
          <w:color w:val="auto"/>
        </w:rPr>
        <w:t>Swanson, McGee, Chandler and Goebel pursuant to their August 2020 grant letters and all of the</w:t>
      </w:r>
    </w:p>
    <w:p>
      <w:pPr>
        <w:ind w:left="1620"/>
        <w:spacing w:after="0" w:line="235" w:lineRule="auto"/>
        <w:rPr>
          <w:sz w:val="20"/>
          <w:szCs w:val="20"/>
          <w:color w:val="auto"/>
        </w:rPr>
      </w:pPr>
      <w:r>
        <w:rPr>
          <w:rFonts w:ascii="Arial" w:cs="Arial" w:eastAsia="Arial" w:hAnsi="Arial"/>
          <w:sz w:val="18"/>
          <w:szCs w:val="18"/>
          <w:color w:val="auto"/>
        </w:rPr>
        <w:t>phantom units and associated DERs held by Messrs. Chandler and Goebel pursuant to their</w:t>
      </w:r>
    </w:p>
    <w:p>
      <w:pPr>
        <w:ind w:left="1620"/>
        <w:spacing w:after="0"/>
        <w:rPr>
          <w:sz w:val="20"/>
          <w:szCs w:val="20"/>
          <w:color w:val="auto"/>
        </w:rPr>
      </w:pPr>
      <w:r>
        <w:rPr>
          <w:rFonts w:ascii="Arial" w:cs="Arial" w:eastAsia="Arial" w:hAnsi="Arial"/>
          <w:sz w:val="17"/>
          <w:szCs w:val="17"/>
          <w:color w:val="auto"/>
        </w:rPr>
        <w:t>November 2019 grant letters would have been forfeited. The dollar value given is based on the market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value of PAA’s common units on December 31, 2020 ($8.24 per unit).</w:t>
      </w:r>
    </w:p>
    <w:p>
      <w:pPr>
        <w:spacing w:after="0" w:line="47" w:lineRule="exact"/>
        <w:rPr>
          <w:sz w:val="20"/>
          <w:szCs w:val="20"/>
          <w:color w:val="auto"/>
        </w:rPr>
      </w:pPr>
    </w:p>
    <w:p>
      <w:pPr>
        <w:ind w:left="1620" w:right="559" w:hanging="360"/>
        <w:spacing w:after="0" w:line="230" w:lineRule="auto"/>
        <w:tabs>
          <w:tab w:leader="none" w:pos="16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56" w:lineRule="exact"/>
        <w:rPr>
          <w:rFonts w:ascii="Arial" w:cs="Arial" w:eastAsia="Arial" w:hAnsi="Arial"/>
          <w:sz w:val="27"/>
          <w:szCs w:val="27"/>
          <w:color w:val="auto"/>
          <w:vertAlign w:val="superscript"/>
        </w:rPr>
      </w:pPr>
    </w:p>
    <w:p>
      <w:pPr>
        <w:ind w:left="1620" w:right="519"/>
        <w:spacing w:after="0" w:line="257" w:lineRule="auto"/>
        <w:rPr>
          <w:rFonts w:ascii="Arial" w:cs="Arial" w:eastAsia="Arial" w:hAnsi="Arial"/>
          <w:sz w:val="27"/>
          <w:szCs w:val="27"/>
          <w:color w:val="auto"/>
          <w:vertAlign w:val="superscript"/>
        </w:rPr>
      </w:pPr>
      <w:r>
        <w:rPr>
          <w:rFonts w:ascii="Arial" w:cs="Arial" w:eastAsia="Arial" w:hAnsi="Arial"/>
          <w:sz w:val="17"/>
          <w:szCs w:val="17"/>
          <w:color w:val="auto"/>
        </w:rPr>
        <w:t>The phantom units granted to Messrs. Chandler and Goebel in November 2019 provide that if their employment is terminated other than for cause (as defined in footnote 3 below), a portion of the unvested phantom units will be deemed nonforfeitable and will vest on the next following distribution date, with the size of the portion starting at 20% for a termination prior to November 20, 2021, and increasing by 20% per year thereafter such that 100% of the unvested phantom units would be deemed nonforfeitable following a termination other than for cause on or after November 20, 2024.</w:t>
      </w:r>
    </w:p>
    <w:p>
      <w:pPr>
        <w:spacing w:after="0" w:line="26" w:lineRule="exact"/>
        <w:rPr>
          <w:rFonts w:ascii="Arial" w:cs="Arial" w:eastAsia="Arial" w:hAnsi="Arial"/>
          <w:sz w:val="27"/>
          <w:szCs w:val="27"/>
          <w:color w:val="auto"/>
          <w:vertAlign w:val="superscript"/>
        </w:rPr>
      </w:pPr>
    </w:p>
    <w:p>
      <w:pPr>
        <w:ind w:left="1620" w:right="419"/>
        <w:spacing w:after="0"/>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Chiang, Swanson, McGee, Chandler and Goebel in August 2020 provide that if their employment is terminated other than for cause prior to August 2021, all of their unvested phantom units will be forfeited as of the date of such termination. If such termination occurs after August 2021, a pro rata portion of the unvested phantom units (based on the portion of the three-year vesting period that has elapsed since the grant date) will be deemed nonforfeitable and will vest on the next following distribution date.</w:t>
      </w:r>
    </w:p>
    <w:p>
      <w:pPr>
        <w:spacing w:after="0" w:line="54" w:lineRule="exact"/>
        <w:rPr>
          <w:rFonts w:ascii="Arial" w:cs="Arial" w:eastAsia="Arial" w:hAnsi="Arial"/>
          <w:sz w:val="27"/>
          <w:szCs w:val="27"/>
          <w:color w:val="auto"/>
          <w:vertAlign w:val="superscript"/>
        </w:rPr>
      </w:pPr>
    </w:p>
    <w:p>
      <w:pPr>
        <w:ind w:left="1620" w:right="479"/>
        <w:spacing w:after="0" w:line="252" w:lineRule="auto"/>
        <w:rPr>
          <w:rFonts w:ascii="Arial" w:cs="Arial" w:eastAsia="Arial" w:hAnsi="Arial"/>
          <w:sz w:val="27"/>
          <w:szCs w:val="27"/>
          <w:color w:val="auto"/>
          <w:vertAlign w:val="superscript"/>
        </w:rPr>
      </w:pPr>
      <w:r>
        <w:rPr>
          <w:rFonts w:ascii="Arial" w:cs="Arial" w:eastAsia="Arial" w:hAnsi="Arial"/>
          <w:sz w:val="17"/>
          <w:szCs w:val="17"/>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 Assuming our Named Executive Officers were terminated without cause on December 31, 2020, (i) all of the phantom units covered by the 2016 and March 2018 phantom unit grants held by Messrs. Chiang, Swanson, McGee and Goebel, all of the phantom units covered by the August 2019 phantom unit grants held by Messrs. Chiang, Swanson, McGee, Chandler and Goebel, all of the phantom units covered by the December 2017 phantom unit grant held by Mr. Goebel, all of the phantom units covered by the May 2018 phantom unit grants held by Mr. Chandler, 20% of the</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phantom units covered by the November 2019 phantom unit grants held by Messrs. Chandler and</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Goebel and 60% of the phantom units covered by the August 2018 phantom unit grant held by</w:t>
      </w:r>
    </w:p>
    <w:p>
      <w:pPr>
        <w:ind w:left="1620"/>
        <w:spacing w:after="0" w:line="234" w:lineRule="auto"/>
        <w:rPr>
          <w:sz w:val="20"/>
          <w:szCs w:val="20"/>
          <w:color w:val="auto"/>
        </w:rPr>
      </w:pPr>
      <w:r>
        <w:rPr>
          <w:rFonts w:ascii="Arial" w:cs="Arial" w:eastAsia="Arial" w:hAnsi="Arial"/>
          <w:sz w:val="18"/>
          <w:szCs w:val="18"/>
          <w:color w:val="auto"/>
        </w:rPr>
        <w:t>Mr. Chiang would have vested on the February 2021 distribution date, and (ii) all remaining</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phantom units held by our Named Executive Officers would have become automatically forfeited as of</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such date of termination. The dollar value given is based on the market value of PAA’s common units</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 December 31, 2020 ($8.24 per unit).</w:t>
      </w:r>
    </w:p>
    <w:p>
      <w:pPr>
        <w:spacing w:after="0" w:line="47" w:lineRule="exact"/>
        <w:rPr>
          <w:sz w:val="20"/>
          <w:szCs w:val="20"/>
          <w:color w:val="auto"/>
        </w:rPr>
      </w:pPr>
    </w:p>
    <w:p>
      <w:pPr>
        <w:ind w:left="1620" w:right="439" w:hanging="360"/>
        <w:spacing w:after="0" w:line="239" w:lineRule="auto"/>
        <w:tabs>
          <w:tab w:leader="none" w:pos="162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provide that in the event of a change in status (as defined below),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2020, all outstanding phantom units awarded under such grants and the associated DERs would have become nonforfeitable as of December 31, 2020, and such phantom units would vest on the February 2021 distribution date. The dollar value given is based on the market value of PAA’s common units on December 31, 2020 ($8.24 per unit).</w:t>
      </w:r>
    </w:p>
    <w:p>
      <w:pPr>
        <w:spacing w:after="0" w:line="53" w:lineRule="exact"/>
        <w:rPr>
          <w:rFonts w:ascii="Arial" w:cs="Arial" w:eastAsia="Arial" w:hAnsi="Arial"/>
          <w:sz w:val="27"/>
          <w:szCs w:val="27"/>
          <w:color w:val="auto"/>
          <w:vertAlign w:val="superscript"/>
        </w:rPr>
      </w:pPr>
    </w:p>
    <w:p>
      <w:pPr>
        <w:ind w:left="1620" w:right="439"/>
        <w:spacing w:after="0" w:line="253" w:lineRule="auto"/>
        <w:rPr>
          <w:rFonts w:ascii="Arial" w:cs="Arial" w:eastAsia="Arial" w:hAnsi="Arial"/>
          <w:sz w:val="27"/>
          <w:szCs w:val="27"/>
          <w:color w:val="auto"/>
          <w:vertAlign w:val="superscript"/>
        </w:rPr>
      </w:pPr>
      <w:r>
        <w:rPr>
          <w:rFonts w:ascii="Arial" w:cs="Arial" w:eastAsia="Arial" w:hAnsi="Arial"/>
          <w:sz w:val="17"/>
          <w:szCs w:val="17"/>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(B) the termination of employment by the Named Executive Officer due to the occurrence, without the Named Executive Officer’s written consent, of any material diminution in the Named Executive Officer’s authority, duties or responsibilities, (ii) any material reduction in the Named Executive Officer’s base salary or (iii) any other action or inaction that would constitute a material breach of the agreement by GP LLC, or, in the case of phantom unit grants awarded after 2016, (C) the termination of employment as a result of retirement on terms and timing that are approved by the CEO (or the Board in the case of the CEO).</w:t>
      </w:r>
    </w:p>
    <w:p>
      <w:pPr>
        <w:spacing w:after="0" w:line="31" w:lineRule="exact"/>
        <w:rPr>
          <w:rFonts w:ascii="Arial" w:cs="Arial" w:eastAsia="Arial" w:hAnsi="Arial"/>
          <w:sz w:val="27"/>
          <w:szCs w:val="27"/>
          <w:color w:val="auto"/>
          <w:vertAlign w:val="superscript"/>
        </w:rPr>
      </w:pPr>
    </w:p>
    <w:p>
      <w:pPr>
        <w:ind w:left="1620" w:right="439"/>
        <w:spacing w:after="0" w:line="251" w:lineRule="auto"/>
        <w:rPr>
          <w:rFonts w:ascii="Arial" w:cs="Arial" w:eastAsia="Arial" w:hAnsi="Arial"/>
          <w:sz w:val="27"/>
          <w:szCs w:val="27"/>
          <w:color w:val="auto"/>
          <w:vertAlign w:val="superscript"/>
        </w:rPr>
      </w:pPr>
      <w:r>
        <w:rPr>
          <w:rFonts w:ascii="Arial" w:cs="Arial" w:eastAsia="Arial" w:hAnsi="Arial"/>
          <w:sz w:val="17"/>
          <w:szCs w:val="17"/>
          <w:color w:val="auto"/>
        </w:rPr>
        <w:t xml:space="preserve">The phrase “change of control” is defined in phantom unit grants awarded in 2016, 2017 and March 2018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i w:val="1"/>
          <w:iCs w:val="1"/>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52" w:lineRule="exact"/>
        <w:rPr>
          <w:rFonts w:ascii="Arial" w:cs="Arial" w:eastAsia="Arial" w:hAnsi="Arial"/>
          <w:sz w:val="27"/>
          <w:szCs w:val="27"/>
          <w:color w:val="auto"/>
          <w:vertAlign w:val="superscript"/>
        </w:rPr>
      </w:pPr>
    </w:p>
    <w:p>
      <w:pPr>
        <w:ind w:left="1620" w:right="459"/>
        <w:spacing w:after="0" w:line="236" w:lineRule="auto"/>
        <w:rPr>
          <w:rFonts w:ascii="Arial" w:cs="Arial" w:eastAsia="Arial" w:hAnsi="Arial"/>
          <w:sz w:val="27"/>
          <w:szCs w:val="27"/>
          <w:color w:val="auto"/>
          <w:vertAlign w:val="superscript"/>
        </w:rPr>
      </w:pPr>
      <w:r>
        <w:rPr>
          <w:rFonts w:ascii="Arial" w:cs="Arial" w:eastAsia="Arial" w:hAnsi="Arial"/>
          <w:sz w:val="18"/>
          <w:szCs w:val="18"/>
          <w:color w:val="auto"/>
        </w:rPr>
        <w:t>The phrase “change of control” is defined in the phantom unit grants awarded in 2019, 2020 and to Mr. Chiang in August 2018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Exchange Act.</w:t>
      </w: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72" w:lineRule="auto"/>
        <w:rPr>
          <w:sz w:val="20"/>
          <w:szCs w:val="20"/>
          <w:color w:val="auto"/>
        </w:rPr>
      </w:pPr>
      <w:r>
        <w:rPr>
          <w:rFonts w:ascii="Arial" w:cs="Arial" w:eastAsia="Arial" w:hAnsi="Arial"/>
          <w:sz w:val="17"/>
          <w:szCs w:val="17"/>
          <w:color w:val="auto"/>
        </w:rPr>
        <w:t>“Cause” is defined in the 2016, 2017, 2018, 2019 and 2020 phantom unit grant agreements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29" w:lineRule="exact"/>
        <w:rPr>
          <w:sz w:val="20"/>
          <w:szCs w:val="20"/>
          <w:color w:val="auto"/>
        </w:rPr>
      </w:pPr>
    </w:p>
    <w:p>
      <w:pPr>
        <w:ind w:left="1620" w:right="419" w:hanging="360"/>
        <w:spacing w:after="0" w:line="261" w:lineRule="auto"/>
        <w:tabs>
          <w:tab w:leader="none" w:pos="1620" w:val="left"/>
        </w:tabs>
        <w:numPr>
          <w:ilvl w:val="0"/>
          <w:numId w:val="67"/>
        </w:numPr>
        <w:rPr>
          <w:rFonts w:ascii="Arial" w:cs="Arial" w:eastAsia="Arial" w:hAnsi="Arial"/>
          <w:sz w:val="26"/>
          <w:szCs w:val="26"/>
          <w:color w:val="auto"/>
          <w:vertAlign w:val="superscript"/>
        </w:rPr>
      </w:pPr>
      <w:r>
        <w:rPr>
          <w:rFonts w:ascii="Arial" w:cs="Arial" w:eastAsia="Arial" w:hAnsi="Arial"/>
          <w:sz w:val="17"/>
          <w:szCs w:val="17"/>
          <w:color w:val="auto"/>
        </w:rPr>
        <w:t>Pursuant to the AAP Management Unit grant agreements of Messrs. Chiang, McGee and Goebel, AAP retained a call right to purchase any earned AAP Management Units at a discount to fair market value equal to 25%, 50%, or 75% of fair market value depending on the date of exercise of the call right (which value is referred to in the AAP Management Unit grant agreements as the “Call Value” as defined below) of such AAP Management Units, which call right is exercisable upon the termination of such Named Executive Officer’s employment with GP LLC and its affiliates prior to a stated date (January 1, 2021 for Mr. McGee’s 2013 grant, and January 1, 2023 for Mr. Chiang’s and Mr. Goebel’s grants; such dates being referred to as the “Applicable Stated Date”);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termination of employment due to his death or disability. If Messrs. Chiang, McGee or Goebel are terminated without cause or terminate their employment for good reason, or if such Named Executive Officer remains employed past their Applicable Stated Date, or, in the case of Mr. Chiang, if his employment is terminated due to his death or disability, any earned AAP Management Units are no longer subject to the call right and are deemed to have “vested.” As of December 31, 2020, all of the AAP Management Units held by Messrs. Chiang, McGee and Goebel had been earned. Assuming a termination of employment without cause or for good reason on December 31, 2020, all of the AAP Management Units held by Messrs. Chiang, McGee and Goebel would become vested and would no longer be subject to the call right. Because the call right provides for a discounted purchase price relative to fair market value as described above, the applicable Named Executive Officer would “benefit” from a termination other than for cause or for good reason by virtue of the fact that such officer’s AAP Management Units could no longer be purchased by AAP at such discount. The value reflected in the table represents the implied value of such “benefit”, calculated as of December 31, 2020 by (i) assuming that the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the applicable percentage, taking the applicable discount into account, of the closing market price ($8.45) of PAGP’s Class A shares at December 31, 2020 (the last trading day of the fiscal year).</w:t>
      </w:r>
    </w:p>
    <w:p>
      <w:pPr>
        <w:spacing w:after="0" w:line="71" w:lineRule="exact"/>
        <w:rPr>
          <w:rFonts w:ascii="Arial" w:cs="Arial" w:eastAsia="Arial" w:hAnsi="Arial"/>
          <w:sz w:val="26"/>
          <w:szCs w:val="26"/>
          <w:color w:val="auto"/>
          <w:vertAlign w:val="superscript"/>
        </w:rPr>
      </w:pPr>
    </w:p>
    <w:p>
      <w:pPr>
        <w:ind w:left="1620" w:right="459"/>
        <w:spacing w:after="0" w:line="252" w:lineRule="auto"/>
        <w:rPr>
          <w:rFonts w:ascii="Arial" w:cs="Arial" w:eastAsia="Arial" w:hAnsi="Arial"/>
          <w:sz w:val="26"/>
          <w:szCs w:val="26"/>
          <w:color w:val="auto"/>
          <w:vertAlign w:val="superscript"/>
        </w:rPr>
      </w:pPr>
      <w:r>
        <w:rPr>
          <w:rFonts w:ascii="Arial" w:cs="Arial" w:eastAsia="Arial" w:hAnsi="Arial"/>
          <w:sz w:val="18"/>
          <w:szCs w:val="18"/>
          <w:color w:val="auto"/>
        </w:rPr>
        <w:t>“Cause” is defined in Mr. McGee’s and Mr. Goebel’s AAP Management Unit grant agreement as (i) a reasonable determination made in good faith by the CEO that the executive has substantially failed to perform the duties and 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 For Mr. Chiang, “Cause” is defined as (i) substantial failure to perform the duties and responsibilities of his position at an acceptable level as reasonably determined in good faith by the CEO and President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line="243" w:lineRule="auto"/>
        <w:rPr>
          <w:sz w:val="20"/>
          <w:szCs w:val="20"/>
          <w:color w:val="auto"/>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39" w:lineRule="exact"/>
        <w:rPr>
          <w:sz w:val="20"/>
          <w:szCs w:val="20"/>
          <w:color w:val="auto"/>
        </w:rPr>
      </w:pPr>
    </w:p>
    <w:p>
      <w:pPr>
        <w:ind w:left="1620" w:right="459"/>
        <w:spacing w:after="0" w:line="267" w:lineRule="auto"/>
        <w:rPr>
          <w:sz w:val="20"/>
          <w:szCs w:val="20"/>
          <w:color w:val="auto"/>
        </w:rPr>
      </w:pPr>
      <w:r>
        <w:rPr>
          <w:rFonts w:ascii="Arial" w:cs="Arial" w:eastAsia="Arial" w:hAnsi="Arial"/>
          <w:sz w:val="17"/>
          <w:szCs w:val="17"/>
          <w:color w:val="auto"/>
        </w:rPr>
        <w:t>“Call Value” is defined in the AAP Management Unit grant agreements as the product of the applicable conversion factor and the closing sales price of the PAGP Class A shares on the applicable date.</w:t>
      </w:r>
    </w:p>
    <w:p>
      <w:pPr>
        <w:spacing w:after="0" w:line="38" w:lineRule="exact"/>
        <w:rPr>
          <w:sz w:val="20"/>
          <w:szCs w:val="20"/>
          <w:color w:val="auto"/>
        </w:rPr>
      </w:pPr>
    </w:p>
    <w:p>
      <w:pPr>
        <w:ind w:left="1620" w:right="499" w:hanging="360"/>
        <w:spacing w:after="0" w:line="243" w:lineRule="auto"/>
        <w:tabs>
          <w:tab w:leader="none" w:pos="1620" w:val="left"/>
        </w:tabs>
        <w:numPr>
          <w:ilvl w:val="0"/>
          <w:numId w:val="68"/>
        </w:numPr>
        <w:rPr>
          <w:rFonts w:ascii="Arial" w:cs="Arial" w:eastAsia="Arial" w:hAnsi="Arial"/>
          <w:sz w:val="27"/>
          <w:szCs w:val="27"/>
          <w:color w:val="auto"/>
          <w:vertAlign w:val="superscript"/>
        </w:rPr>
      </w:pPr>
      <w:r>
        <w:rPr>
          <w:rFonts w:ascii="Arial" w:cs="Arial" w:eastAsia="Arial" w:hAnsi="Arial"/>
          <w:sz w:val="18"/>
          <w:szCs w:val="18"/>
          <w:color w:val="auto"/>
        </w:rPr>
        <w:t>Pursuant to the AAP Management Unit grant agreements, upon the occurrence of a Change in Control, any earned AAP Management Units become vested units. As of December 31, 2020, all of the AAP Management Units held by Messrs. Chiang, McGee and Goebel had been earned. Accordingly, assuming that a Change in Control occurred on December 31, 2020, all of the AAP Management Units held by Messrs. Chiang, McGee and Goebel would become vested and would no longer be subject to the call right. The value reflected in the table above for Messrs. Chiang, McGee and Goebel represents the implied value of such “benefit”, calculated as of December 31, 2020 by (i) assuming that such executive’s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the applicable percentage, taking the applicable discount into account, of the closing market price ($8.45) of PAGP’s Class A shares at December 31, 2020 (the last trading day of the fiscal year).</w:t>
      </w:r>
    </w:p>
    <w:p>
      <w:pPr>
        <w:spacing w:after="0" w:line="53" w:lineRule="exact"/>
        <w:rPr>
          <w:sz w:val="20"/>
          <w:szCs w:val="20"/>
          <w:color w:val="auto"/>
        </w:rPr>
      </w:pPr>
    </w:p>
    <w:p>
      <w:pPr>
        <w:ind w:left="1620" w:right="439"/>
        <w:spacing w:after="0" w:line="251" w:lineRule="auto"/>
        <w:rPr>
          <w:sz w:val="20"/>
          <w:szCs w:val="20"/>
          <w:color w:val="auto"/>
        </w:rPr>
      </w:pPr>
      <w:r>
        <w:rPr>
          <w:rFonts w:ascii="Arial" w:cs="Arial" w:eastAsia="Arial" w:hAnsi="Arial"/>
          <w:sz w:val="17"/>
          <w:szCs w:val="17"/>
          <w:color w:val="auto"/>
        </w:rPr>
        <w:t xml:space="preserve">“Change in Control” means the determination by the Board that one of the following events has occurred: (i) the Persons who own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i w:val="1"/>
          <w:iCs w:val="1"/>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40" w:lineRule="exact"/>
        <w:rPr>
          <w:sz w:val="20"/>
          <w:szCs w:val="20"/>
          <w:color w:val="auto"/>
        </w:rPr>
      </w:pPr>
    </w:p>
    <w:p>
      <w:pPr>
        <w:ind w:left="1620" w:right="439" w:hanging="360"/>
        <w:spacing w:after="0" w:line="238" w:lineRule="auto"/>
        <w:tabs>
          <w:tab w:leader="none" w:pos="1620" w:val="left"/>
        </w:tabs>
        <w:numPr>
          <w:ilvl w:val="0"/>
          <w:numId w:val="69"/>
        </w:numPr>
        <w:rPr>
          <w:rFonts w:ascii="Arial" w:cs="Arial" w:eastAsia="Arial" w:hAnsi="Arial"/>
          <w:sz w:val="26"/>
          <w:szCs w:val="26"/>
          <w:color w:val="auto"/>
          <w:vertAlign w:val="superscript"/>
        </w:rPr>
      </w:pPr>
      <w:r>
        <w:rPr>
          <w:rFonts w:ascii="Arial" w:cs="Arial" w:eastAsia="Arial" w:hAnsi="Arial"/>
          <w:sz w:val="17"/>
          <w:szCs w:val="17"/>
          <w:color w:val="auto"/>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 cause (as defined below), he is entitled to a lump-sum amount equal to the product of (1) the sum of his</w:t>
      </w:r>
    </w:p>
    <w:p>
      <w:pPr>
        <w:ind w:left="1620" w:right="419"/>
        <w:spacing w:after="0" w:line="252" w:lineRule="auto"/>
        <w:rPr>
          <w:rFonts w:ascii="Arial" w:cs="Arial" w:eastAsia="Arial" w:hAnsi="Arial"/>
          <w:sz w:val="26"/>
          <w:szCs w:val="26"/>
          <w:color w:val="auto"/>
          <w:vertAlign w:val="superscript"/>
        </w:rPr>
      </w:pPr>
      <w:r>
        <w:rPr>
          <w:rFonts w:ascii="Arial" w:cs="Arial" w:eastAsia="Arial" w:hAnsi="Arial"/>
          <w:sz w:val="18"/>
          <w:szCs w:val="18"/>
          <w:color w:val="auto"/>
        </w:rPr>
        <w:t>(a) highest annual base salary paid prior to his date of termination and (b) 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2020 with two years remaining on the term of his agreement, and also assumes a highest annual base salary of $400,000 and highest annual bonus of $1,500,000.</w:t>
      </w:r>
    </w:p>
    <w:p>
      <w:pPr>
        <w:spacing w:after="0" w:line="4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Mr. Pefanis’ employment agreement defines “cause” as (i) willfully engaging in gross misconduct, or</w:t>
      </w:r>
    </w:p>
    <w:p>
      <w:pPr>
        <w:spacing w:after="0" w:line="23" w:lineRule="exact"/>
        <w:rPr>
          <w:sz w:val="20"/>
          <w:szCs w:val="20"/>
          <w:color w:val="auto"/>
        </w:rPr>
      </w:pPr>
    </w:p>
    <w:p>
      <w:pPr>
        <w:ind w:left="1620" w:right="439"/>
        <w:spacing w:after="0" w:line="236" w:lineRule="auto"/>
        <w:tabs>
          <w:tab w:leader="none" w:pos="1903"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 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50" w:lineRule="auto"/>
        <w:rPr>
          <w:sz w:val="20"/>
          <w:szCs w:val="20"/>
          <w:color w:val="auto"/>
        </w:rPr>
      </w:pPr>
      <w:r>
        <w:rPr>
          <w:rFonts w:ascii="Arial" w:cs="Arial" w:eastAsia="Arial" w:hAnsi="Arial"/>
          <w:sz w:val="17"/>
          <w:szCs w:val="17"/>
          <w:color w:val="auto"/>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 -board salary reductions for all executive officers of GP LLC) unless such reduction reduces his base salary to less than 85% of his current base salary, (b) 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w:t>
      </w:r>
    </w:p>
    <w:p>
      <w:pPr>
        <w:spacing w:after="0" w:line="5" w:lineRule="exact"/>
        <w:rPr>
          <w:sz w:val="20"/>
          <w:szCs w:val="20"/>
          <w:color w:val="auto"/>
        </w:rPr>
      </w:pPr>
    </w:p>
    <w:p>
      <w:pPr>
        <w:ind w:left="1620" w:right="599"/>
        <w:spacing w:after="0" w:line="239" w:lineRule="auto"/>
        <w:tabs>
          <w:tab w:leader="none" w:pos="190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40" w:lineRule="exact"/>
        <w:rPr>
          <w:rFonts w:ascii="Arial" w:cs="Arial" w:eastAsia="Arial" w:hAnsi="Arial"/>
          <w:sz w:val="18"/>
          <w:szCs w:val="18"/>
          <w:color w:val="auto"/>
        </w:rPr>
      </w:pPr>
    </w:p>
    <w:p>
      <w:pPr>
        <w:ind w:left="1620" w:right="419" w:hanging="360"/>
        <w:spacing w:after="0" w:line="235"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2020, and also assumes a highest annual base salary of $400,000 and highest annual bonus of $1,500,000.</w:t>
      </w:r>
    </w:p>
    <w:p>
      <w:pPr>
        <w:spacing w:after="0" w:line="59" w:lineRule="exact"/>
        <w:rPr>
          <w:rFonts w:ascii="Arial" w:cs="Arial" w:eastAsia="Arial" w:hAnsi="Arial"/>
          <w:sz w:val="27"/>
          <w:szCs w:val="27"/>
          <w:color w:val="auto"/>
          <w:vertAlign w:val="superscript"/>
        </w:rPr>
      </w:pPr>
    </w:p>
    <w:p>
      <w:pPr>
        <w:ind w:left="1620" w:right="439"/>
        <w:spacing w:after="0" w:line="266" w:lineRule="auto"/>
        <w:rPr>
          <w:rFonts w:ascii="Arial" w:cs="Arial" w:eastAsia="Arial" w:hAnsi="Arial"/>
          <w:sz w:val="27"/>
          <w:szCs w:val="27"/>
          <w:color w:val="auto"/>
          <w:vertAlign w:val="superscript"/>
        </w:rPr>
      </w:pPr>
      <w:r>
        <w:rPr>
          <w:rFonts w:ascii="Arial" w:cs="Arial" w:eastAsia="Arial" w:hAnsi="Arial"/>
          <w:sz w:val="17"/>
          <w:szCs w:val="17"/>
          <w:color w:val="auto"/>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(the “Exchange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w:t>
      </w:r>
    </w:p>
    <w:p>
      <w:pPr>
        <w:spacing w:after="0" w:line="6" w:lineRule="exact"/>
        <w:rPr>
          <w:rFonts w:ascii="Arial" w:cs="Arial" w:eastAsia="Arial" w:hAnsi="Arial"/>
          <w:sz w:val="27"/>
          <w:szCs w:val="27"/>
          <w:color w:val="auto"/>
          <w:vertAlign w:val="superscript"/>
        </w:rPr>
      </w:pPr>
    </w:p>
    <w:p>
      <w:pPr>
        <w:ind w:left="1620" w:right="439"/>
        <w:spacing w:after="0" w:line="251" w:lineRule="auto"/>
        <w:tabs>
          <w:tab w:leader="none" w:pos="1956" w:val="left"/>
        </w:tabs>
        <w:numPr>
          <w:ilvl w:val="1"/>
          <w:numId w:val="72"/>
        </w:numPr>
        <w:rPr>
          <w:rFonts w:ascii="Arial" w:cs="Arial" w:eastAsia="Arial" w:hAnsi="Arial"/>
          <w:sz w:val="18"/>
          <w:szCs w:val="18"/>
          <w:color w:val="auto"/>
        </w:rPr>
      </w:pPr>
      <w:r>
        <w:rPr>
          <w:rFonts w:ascii="Arial" w:cs="Arial" w:eastAsia="Arial" w:hAnsi="Arial"/>
          <w:sz w:val="18"/>
          <w:szCs w:val="18"/>
          <w:color w:val="auto"/>
        </w:rPr>
        <w:t>PAGP ceases to beneficially own, directly or indirectly, more than 50% of the membership interest in GP LLC; (iv) 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62" w:lineRule="exact"/>
        <w:rPr>
          <w:rFonts w:ascii="Arial" w:cs="Arial" w:eastAsia="Arial" w:hAnsi="Arial"/>
          <w:sz w:val="18"/>
          <w:szCs w:val="18"/>
          <w:color w:val="auto"/>
        </w:rPr>
      </w:pPr>
    </w:p>
    <w:p>
      <w:pPr>
        <w:ind w:left="1620" w:right="499" w:hanging="360"/>
        <w:spacing w:after="0" w:line="250" w:lineRule="auto"/>
        <w:tabs>
          <w:tab w:leader="none" w:pos="162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Pursuant to his employment agreement, if Mr. Pefanis is terminated other than (i) for cause (as defined in footnote 6 above), (ii) by reason of death or (iii) by resignation (unless such resignation is due to a disability or for good reason (each as defined in footnote 6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2020 with two years remaining on the term of his agreement.</w:t>
      </w:r>
    </w:p>
    <w:p>
      <w:pPr>
        <w:spacing w:after="0" w:line="46" w:lineRule="exact"/>
        <w:rPr>
          <w:rFonts w:ascii="Arial" w:cs="Arial" w:eastAsia="Arial" w:hAnsi="Arial"/>
          <w:sz w:val="26"/>
          <w:szCs w:val="26"/>
          <w:color w:val="auto"/>
          <w:vertAlign w:val="superscript"/>
        </w:rPr>
      </w:pPr>
    </w:p>
    <w:p>
      <w:pPr>
        <w:ind w:left="1620" w:right="539" w:hanging="360"/>
        <w:spacing w:after="0" w:line="219"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If Messrs. Chiang, Pefanis, Swanson, McGee, Chandler or Goebel were terminated for cause, GP LLC would be obligated to pay base salary through the date of termination, with no other payment obligation triggered by the termination under any employment arrangement.</w:t>
      </w:r>
    </w:p>
    <w:p>
      <w:pPr>
        <w:spacing w:after="0" w:line="54" w:lineRule="exact"/>
        <w:rPr>
          <w:rFonts w:ascii="Arial" w:cs="Arial" w:eastAsia="Arial" w:hAnsi="Arial"/>
          <w:sz w:val="27"/>
          <w:szCs w:val="27"/>
          <w:color w:val="auto"/>
          <w:vertAlign w:val="superscript"/>
        </w:rPr>
      </w:pPr>
    </w:p>
    <w:p>
      <w:pPr>
        <w:ind w:left="1620" w:right="519" w:hanging="360"/>
        <w:spacing w:after="0" w:line="226"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Mr. Chiang’s AAP Management Unit grant agreement provides that in the event of his death or disability, AAP will not have a call right and all of his earned AAP Management Units will vest. As of December 31, 2020, all of Mr. Chiang’s AAP Management Units had been earned. The dollar value given</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line="268" w:lineRule="auto"/>
        <w:rPr>
          <w:sz w:val="20"/>
          <w:szCs w:val="20"/>
          <w:color w:val="auto"/>
        </w:rPr>
      </w:pPr>
      <w:r>
        <w:rPr>
          <w:rFonts w:ascii="Arial" w:cs="Arial" w:eastAsia="Arial" w:hAnsi="Arial"/>
          <w:sz w:val="17"/>
          <w:szCs w:val="17"/>
          <w:color w:val="auto"/>
        </w:rPr>
        <w:t>assumes Mr. Chiang’s death or disability on December 31, 2020 and represents the implied value of such “benefit,” calculated as of December 31, 2020 by (i) assuming that Mr. Chiang’s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w:t>
      </w:r>
    </w:p>
    <w:p>
      <w:pPr>
        <w:spacing w:after="0" w:line="3" w:lineRule="exact"/>
        <w:rPr>
          <w:sz w:val="20"/>
          <w:szCs w:val="20"/>
          <w:color w:val="auto"/>
        </w:rPr>
      </w:pPr>
    </w:p>
    <w:p>
      <w:pPr>
        <w:ind w:left="1620" w:right="559"/>
        <w:spacing w:after="0" w:line="259" w:lineRule="auto"/>
        <w:rPr>
          <w:sz w:val="20"/>
          <w:szCs w:val="20"/>
          <w:color w:val="auto"/>
        </w:rPr>
      </w:pPr>
      <w:r>
        <w:rPr>
          <w:rFonts w:ascii="Arial" w:cs="Arial" w:eastAsia="Arial" w:hAnsi="Arial"/>
          <w:sz w:val="18"/>
          <w:szCs w:val="18"/>
          <w:color w:val="auto"/>
        </w:rPr>
        <w:t>(iii) multiplying such resulting number of PAGP Class A shares by the closing market price ($8.45) of PAGP’s Class A shares at December 31, 2020 (the last trading day of the fiscal year).</w:t>
      </w:r>
    </w:p>
    <w:p>
      <w:pPr>
        <w:spacing w:after="0" w:line="38" w:lineRule="exact"/>
        <w:rPr>
          <w:sz w:val="20"/>
          <w:szCs w:val="20"/>
          <w:color w:val="auto"/>
        </w:rPr>
      </w:pPr>
    </w:p>
    <w:p>
      <w:pPr>
        <w:ind w:left="1620" w:right="839" w:hanging="360"/>
        <w:spacing w:after="0" w:line="207" w:lineRule="auto"/>
        <w:tabs>
          <w:tab w:leader="none" w:pos="16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Under the AAP Management Unit grant agreements for Messrs. McGee and Goebel, their death or disability would trigger AAP’s call right, which is assumed to be exercised.</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62"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4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2020:</w:t>
      </w:r>
    </w:p>
    <w:p>
      <w:pPr>
        <w:spacing w:after="0" w:line="79" w:lineRule="exact"/>
        <w:rPr>
          <w:sz w:val="20"/>
          <w:szCs w:val="20"/>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2020 was approximately $4,290,000.</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2020 was approximately $109,000.</w:t>
      </w:r>
    </w:p>
    <w:p>
      <w:pPr>
        <w:spacing w:after="0" w:line="117"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ratio of Mr. Chiang’s pay to the pay of our median employee for 2020 was approximately 39 to 1.</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PAA’s median employee was identified as of December 31, 2020 using the following methodology:</w:t>
      </w:r>
    </w:p>
    <w:p>
      <w:pPr>
        <w:spacing w:after="0" w:line="117" w:lineRule="exact"/>
        <w:rPr>
          <w:sz w:val="20"/>
          <w:szCs w:val="20"/>
          <w:color w:val="auto"/>
        </w:rPr>
      </w:pPr>
    </w:p>
    <w:p>
      <w:pPr>
        <w:ind w:left="1800" w:right="125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2020. We included all U.S. and Canadian employees.</w:t>
      </w:r>
    </w:p>
    <w:p>
      <w:pPr>
        <w:spacing w:after="0" w:line="62" w:lineRule="exact"/>
        <w:rPr>
          <w:rFonts w:ascii="Arial" w:cs="Arial" w:eastAsia="Arial" w:hAnsi="Arial"/>
          <w:sz w:val="18"/>
          <w:szCs w:val="18"/>
          <w:color w:val="auto"/>
        </w:rPr>
      </w:pPr>
    </w:p>
    <w:p>
      <w:pPr>
        <w:ind w:left="1800" w:right="439" w:hanging="180"/>
        <w:spacing w:after="0" w:line="25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Basic wage data for each U.S. employee was extracted from Form W-2 information provided to the Internal Revenue Service for calendar year 2020. Basic wage data for each Canadian employee was extracted from Form T4 information provided to the Canada Revenue Agency for calendar year 2020 and converted to U.S. dollars. This information was then sorted and the median employee was identified.</w:t>
      </w:r>
    </w:p>
    <w:p>
      <w:pPr>
        <w:spacing w:after="0" w:line="120"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The median employee’s annual total compensation for 2020 was determined using the same methodology we used for determining the annual total compensation for the Named Executive Officers as set forth in the 2020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48"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color w:val="auto"/>
        </w:rPr>
        <w:t>The following table sets forth a summary of the compensation paid to each person who served as a director of PAGP GP in 2020 (other than Messrs. Chiang and Pefanis who were not compensated as directors and whose compensation is set forth in the Summary Compensation Table above):</w:t>
      </w:r>
    </w:p>
    <w:p>
      <w:pPr>
        <w:spacing w:after="0" w:line="153"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60" w:type="dxa"/>
            <w:vAlign w:val="bottom"/>
            <w:tcBorders>
              <w:left w:val="single" w:sz="8" w:color="434F69"/>
            </w:tcBorders>
            <w:shd w:val="clear" w:color="auto" w:fill="434F69"/>
          </w:tcPr>
          <w:p>
            <w:pPr>
              <w:spacing w:after="0"/>
              <w:rPr>
                <w:sz w:val="16"/>
                <w:szCs w:val="16"/>
                <w:color w:val="auto"/>
              </w:rPr>
            </w:pPr>
          </w:p>
        </w:tc>
        <w:tc>
          <w:tcPr>
            <w:tcW w:w="4280" w:type="dxa"/>
            <w:vAlign w:val="bottom"/>
            <w:tcBorders>
              <w:right w:val="single" w:sz="8" w:color="434F69"/>
            </w:tcBorders>
            <w:shd w:val="clear" w:color="auto" w:fill="434F69"/>
          </w:tcPr>
          <w:p>
            <w:pPr>
              <w:spacing w:after="0"/>
              <w:rPr>
                <w:sz w:val="16"/>
                <w:szCs w:val="16"/>
                <w:color w:val="auto"/>
              </w:rPr>
            </w:pPr>
          </w:p>
        </w:tc>
        <w:tc>
          <w:tcPr>
            <w:tcW w:w="8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1"/>
              </w:rPr>
              <w:t>Fees</w:t>
            </w:r>
          </w:p>
        </w:tc>
        <w:tc>
          <w:tcPr>
            <w:tcW w:w="980" w:type="dxa"/>
            <w:vAlign w:val="bottom"/>
            <w:tcBorders>
              <w:right w:val="single" w:sz="8" w:color="434F69"/>
            </w:tcBorders>
            <w:shd w:val="clear" w:color="auto" w:fill="434F69"/>
          </w:tcPr>
          <w:p>
            <w:pPr>
              <w:spacing w:after="0"/>
              <w:rPr>
                <w:sz w:val="16"/>
                <w:szCs w:val="16"/>
                <w:color w:val="auto"/>
              </w:rPr>
            </w:pPr>
          </w:p>
        </w:tc>
        <w:tc>
          <w:tcPr>
            <w:tcW w:w="1260" w:type="dxa"/>
            <w:vAlign w:val="bottom"/>
            <w:tcBorders>
              <w:right w:val="single" w:sz="8" w:color="434F69"/>
            </w:tcBorders>
            <w:shd w:val="clear" w:color="auto" w:fill="434F69"/>
          </w:tcPr>
          <w:p>
            <w:pPr>
              <w:spacing w:after="0"/>
              <w:rPr>
                <w:sz w:val="16"/>
                <w:szCs w:val="16"/>
                <w:color w:val="auto"/>
              </w:rPr>
            </w:pPr>
          </w:p>
        </w:tc>
        <w:tc>
          <w:tcPr>
            <w:tcW w:w="780" w:type="dxa"/>
            <w:vAlign w:val="bottom"/>
            <w:tcBorders>
              <w:right w:val="single" w:sz="8" w:color="434F69"/>
            </w:tcBorders>
            <w:shd w:val="clear" w:color="auto" w:fill="434F6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 w:type="dxa"/>
            <w:vAlign w:val="bottom"/>
            <w:tcBorders>
              <w:left w:val="single" w:sz="8" w:color="434F69"/>
            </w:tcBorders>
            <w:shd w:val="clear" w:color="auto" w:fill="434F69"/>
          </w:tcPr>
          <w:p>
            <w:pPr>
              <w:spacing w:after="0"/>
              <w:rPr>
                <w:sz w:val="14"/>
                <w:szCs w:val="14"/>
                <w:color w:val="auto"/>
              </w:rPr>
            </w:pPr>
          </w:p>
        </w:tc>
        <w:tc>
          <w:tcPr>
            <w:tcW w:w="4280" w:type="dxa"/>
            <w:vAlign w:val="bottom"/>
            <w:tcBorders>
              <w:right w:val="single" w:sz="8" w:color="434F69"/>
            </w:tcBorders>
            <w:shd w:val="clear" w:color="auto" w:fill="434F69"/>
          </w:tcPr>
          <w:p>
            <w:pPr>
              <w:spacing w:after="0"/>
              <w:rPr>
                <w:sz w:val="14"/>
                <w:szCs w:val="14"/>
                <w:color w:val="auto"/>
              </w:rPr>
            </w:pPr>
          </w:p>
        </w:tc>
        <w:tc>
          <w:tcPr>
            <w:tcW w:w="8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Earned or</w:t>
            </w:r>
          </w:p>
        </w:tc>
        <w:tc>
          <w:tcPr>
            <w:tcW w:w="98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spacing w:after="0"/>
              <w:rPr>
                <w:sz w:val="14"/>
                <w:szCs w:val="14"/>
                <w:color w:val="auto"/>
              </w:rPr>
            </w:pPr>
          </w:p>
        </w:tc>
        <w:tc>
          <w:tcPr>
            <w:tcW w:w="780" w:type="dxa"/>
            <w:vAlign w:val="bottom"/>
            <w:tcBorders>
              <w:right w:val="single" w:sz="8" w:color="434F69"/>
            </w:tcBorders>
            <w:shd w:val="clear" w:color="auto" w:fill="434F6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Borders>
              <w:left w:val="single" w:sz="8" w:color="434F69"/>
            </w:tcBorders>
            <w:shd w:val="clear" w:color="auto" w:fill="434F69"/>
          </w:tcPr>
          <w:p>
            <w:pPr>
              <w:spacing w:after="0"/>
              <w:rPr>
                <w:sz w:val="14"/>
                <w:szCs w:val="14"/>
                <w:color w:val="auto"/>
              </w:rPr>
            </w:pPr>
          </w:p>
        </w:tc>
        <w:tc>
          <w:tcPr>
            <w:tcW w:w="4280" w:type="dxa"/>
            <w:vAlign w:val="bottom"/>
            <w:tcBorders>
              <w:right w:val="single" w:sz="8" w:color="434F69"/>
            </w:tcBorders>
            <w:shd w:val="clear" w:color="auto" w:fill="434F69"/>
          </w:tcPr>
          <w:p>
            <w:pPr>
              <w:spacing w:after="0"/>
              <w:rPr>
                <w:sz w:val="14"/>
                <w:szCs w:val="14"/>
                <w:color w:val="auto"/>
              </w:rPr>
            </w:pPr>
          </w:p>
        </w:tc>
        <w:tc>
          <w:tcPr>
            <w:tcW w:w="8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Paid in</w:t>
            </w:r>
          </w:p>
        </w:tc>
        <w:tc>
          <w:tcPr>
            <w:tcW w:w="980" w:type="dxa"/>
            <w:vAlign w:val="bottom"/>
            <w:tcBorders>
              <w:right w:val="single" w:sz="8" w:color="434F69"/>
            </w:tcBorders>
            <w:vMerge w:val="restart"/>
            <w:shd w:val="clear" w:color="auto" w:fill="434F69"/>
          </w:tcPr>
          <w:p>
            <w:pPr>
              <w:jc w:val="right"/>
              <w:ind w:right="33"/>
              <w:spacing w:after="0"/>
              <w:rPr>
                <w:sz w:val="20"/>
                <w:szCs w:val="20"/>
                <w:color w:val="auto"/>
              </w:rPr>
            </w:pPr>
            <w:r>
              <w:rPr>
                <w:rFonts w:ascii="Arial" w:cs="Arial" w:eastAsia="Arial" w:hAnsi="Arial"/>
                <w:sz w:val="14"/>
                <w:szCs w:val="14"/>
                <w:b w:val="1"/>
                <w:bCs w:val="1"/>
                <w:color w:val="FFFFFF"/>
              </w:rPr>
              <w:t xml:space="preserve">Stock  </w:t>
            </w:r>
            <w:r>
              <w:rPr>
                <w:rFonts w:ascii="Arial" w:cs="Arial" w:eastAsia="Arial" w:hAnsi="Arial"/>
                <w:sz w:val="21"/>
                <w:szCs w:val="21"/>
                <w:b w:val="1"/>
                <w:bCs w:val="1"/>
                <w:color w:val="FFFFFF"/>
                <w:vertAlign w:val="subscript"/>
              </w:rPr>
              <w:t>(1)</w:t>
            </w:r>
          </w:p>
        </w:tc>
        <w:tc>
          <w:tcPr>
            <w:tcW w:w="1260" w:type="dxa"/>
            <w:vAlign w:val="bottom"/>
            <w:tcBorders>
              <w:right w:val="single" w:sz="8" w:color="434F69"/>
            </w:tcBorders>
            <w:shd w:val="clear" w:color="auto" w:fill="434F69"/>
          </w:tcPr>
          <w:p>
            <w:pPr>
              <w:spacing w:after="0"/>
              <w:rPr>
                <w:sz w:val="14"/>
                <w:szCs w:val="14"/>
                <w:color w:val="auto"/>
              </w:rPr>
            </w:pPr>
          </w:p>
        </w:tc>
        <w:tc>
          <w:tcPr>
            <w:tcW w:w="780" w:type="dxa"/>
            <w:vAlign w:val="bottom"/>
            <w:tcBorders>
              <w:right w:val="single" w:sz="8" w:color="434F69"/>
            </w:tcBorders>
            <w:shd w:val="clear" w:color="auto" w:fill="434F69"/>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 w:type="dxa"/>
            <w:vAlign w:val="bottom"/>
            <w:tcBorders>
              <w:left w:val="single" w:sz="8" w:color="434F69"/>
            </w:tcBorders>
            <w:shd w:val="clear" w:color="auto" w:fill="434F69"/>
          </w:tcPr>
          <w:p>
            <w:pPr>
              <w:spacing w:after="0"/>
              <w:rPr>
                <w:sz w:val="14"/>
                <w:szCs w:val="14"/>
                <w:color w:val="auto"/>
              </w:rPr>
            </w:pPr>
          </w:p>
        </w:tc>
        <w:tc>
          <w:tcPr>
            <w:tcW w:w="4280" w:type="dxa"/>
            <w:vAlign w:val="bottom"/>
            <w:tcBorders>
              <w:right w:val="single" w:sz="8" w:color="434F69"/>
            </w:tcBorders>
            <w:vMerge w:val="restart"/>
            <w:shd w:val="clear" w:color="auto" w:fill="434F69"/>
          </w:tcPr>
          <w:p>
            <w:pPr>
              <w:spacing w:after="0"/>
              <w:rPr>
                <w:sz w:val="20"/>
                <w:szCs w:val="20"/>
                <w:color w:val="auto"/>
              </w:rPr>
            </w:pPr>
            <w:r>
              <w:rPr>
                <w:rFonts w:ascii="Arial" w:cs="Arial" w:eastAsia="Arial" w:hAnsi="Arial"/>
                <w:sz w:val="14"/>
                <w:szCs w:val="14"/>
                <w:b w:val="1"/>
                <w:bCs w:val="1"/>
                <w:color w:val="FFFFFF"/>
              </w:rPr>
              <w:t>Name</w:t>
            </w:r>
          </w:p>
        </w:tc>
        <w:tc>
          <w:tcPr>
            <w:tcW w:w="8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Cash</w:t>
            </w:r>
          </w:p>
        </w:tc>
        <w:tc>
          <w:tcPr>
            <w:tcW w:w="980" w:type="dxa"/>
            <w:vAlign w:val="bottom"/>
            <w:tcBorders>
              <w:right w:val="single" w:sz="8" w:color="434F69"/>
            </w:tcBorders>
            <w:vMerge w:val="continue"/>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right"/>
              <w:ind w:right="293"/>
              <w:spacing w:after="0"/>
              <w:rPr>
                <w:sz w:val="20"/>
                <w:szCs w:val="20"/>
                <w:color w:val="auto"/>
              </w:rPr>
            </w:pPr>
            <w:r>
              <w:rPr>
                <w:rFonts w:ascii="Arial" w:cs="Arial" w:eastAsia="Arial" w:hAnsi="Arial"/>
                <w:sz w:val="14"/>
                <w:szCs w:val="14"/>
                <w:b w:val="1"/>
                <w:bCs w:val="1"/>
                <w:color w:val="FFFFFF"/>
              </w:rPr>
              <w:t>All Other</w:t>
            </w:r>
          </w:p>
        </w:tc>
        <w:tc>
          <w:tcPr>
            <w:tcW w:w="780" w:type="dxa"/>
            <w:vAlign w:val="bottom"/>
            <w:tcBorders>
              <w:right w:val="single" w:sz="8" w:color="434F69"/>
            </w:tcBorders>
            <w:shd w:val="clear" w:color="auto" w:fill="434F69"/>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434F69"/>
              <w:bottom w:val="single" w:sz="8" w:color="434F69"/>
            </w:tcBorders>
            <w:shd w:val="clear" w:color="auto" w:fill="434F69"/>
          </w:tcPr>
          <w:p>
            <w:pPr>
              <w:spacing w:after="0"/>
              <w:rPr>
                <w:sz w:val="17"/>
                <w:szCs w:val="17"/>
                <w:color w:val="auto"/>
              </w:rPr>
            </w:pPr>
          </w:p>
        </w:tc>
        <w:tc>
          <w:tcPr>
            <w:tcW w:w="4280" w:type="dxa"/>
            <w:vAlign w:val="bottom"/>
            <w:tcBorders>
              <w:bottom w:val="single" w:sz="8" w:color="434F69"/>
              <w:right w:val="single" w:sz="8" w:color="434F69"/>
            </w:tcBorders>
            <w:vMerge w:val="continue"/>
            <w:shd w:val="clear" w:color="auto" w:fill="434F69"/>
          </w:tcPr>
          <w:p>
            <w:pPr>
              <w:spacing w:after="0"/>
              <w:rPr>
                <w:sz w:val="17"/>
                <w:szCs w:val="17"/>
                <w:color w:val="auto"/>
              </w:rPr>
            </w:pPr>
          </w:p>
        </w:tc>
        <w:tc>
          <w:tcPr>
            <w:tcW w:w="8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980" w:type="dxa"/>
            <w:vAlign w:val="bottom"/>
            <w:tcBorders>
              <w:bottom w:val="single" w:sz="8" w:color="434F69"/>
              <w:right w:val="single" w:sz="8" w:color="434F69"/>
            </w:tcBorders>
            <w:shd w:val="clear" w:color="auto" w:fill="434F69"/>
          </w:tcPr>
          <w:p>
            <w:pPr>
              <w:jc w:val="right"/>
              <w:ind w:right="153"/>
              <w:spacing w:after="0"/>
              <w:rPr>
                <w:sz w:val="20"/>
                <w:szCs w:val="20"/>
                <w:color w:val="auto"/>
              </w:rPr>
            </w:pPr>
            <w:r>
              <w:rPr>
                <w:rFonts w:ascii="Arial" w:cs="Arial" w:eastAsia="Arial" w:hAnsi="Arial"/>
                <w:sz w:val="14"/>
                <w:szCs w:val="14"/>
                <w:b w:val="1"/>
                <w:bCs w:val="1"/>
                <w:color w:val="FFFFFF"/>
              </w:rPr>
              <w:t>Awards ($)</w:t>
            </w:r>
          </w:p>
        </w:tc>
        <w:tc>
          <w:tcPr>
            <w:tcW w:w="2040" w:type="dxa"/>
            <w:vAlign w:val="bottom"/>
            <w:tcBorders>
              <w:bottom w:val="single" w:sz="8" w:color="434F69"/>
              <w:right w:val="single" w:sz="8" w:color="434F69"/>
            </w:tcBorders>
            <w:gridSpan w:val="2"/>
            <w:shd w:val="clear" w:color="auto" w:fill="434F69"/>
          </w:tcPr>
          <w:p>
            <w:pPr>
              <w:jc w:val="right"/>
              <w:ind w:right="50"/>
              <w:spacing w:after="0"/>
              <w:rPr>
                <w:sz w:val="20"/>
                <w:szCs w:val="20"/>
                <w:color w:val="auto"/>
              </w:rPr>
            </w:pPr>
            <w:r>
              <w:rPr>
                <w:rFonts w:ascii="Arial" w:cs="Arial" w:eastAsia="Arial" w:hAnsi="Arial"/>
                <w:sz w:val="14"/>
                <w:szCs w:val="14"/>
                <w:b w:val="1"/>
                <w:bCs w:val="1"/>
                <w:color w:val="FFFFFF"/>
                <w:w w:val="99"/>
              </w:rPr>
              <w:t>Compensation ($)    Total ($)</w:t>
            </w:r>
          </w:p>
        </w:tc>
        <w:tc>
          <w:tcPr>
            <w:tcW w:w="0" w:type="dxa"/>
            <w:vAlign w:val="bottom"/>
          </w:tcPr>
          <w:p>
            <w:pPr>
              <w:spacing w:after="0"/>
              <w:rPr>
                <w:sz w:val="1"/>
                <w:szCs w:val="1"/>
                <w:color w:val="auto"/>
              </w:rPr>
            </w:pPr>
          </w:p>
        </w:tc>
      </w:tr>
      <w:tr>
        <w:trPr>
          <w:trHeight w:val="270"/>
        </w:trPr>
        <w:tc>
          <w:tcPr>
            <w:tcW w:w="60" w:type="dxa"/>
            <w:vAlign w:val="bottom"/>
            <w:tcBorders>
              <w:left w:val="single" w:sz="8" w:color="434F69"/>
              <w:bottom w:val="single" w:sz="8" w:color="434F69"/>
            </w:tcBorders>
            <w:shd w:val="clear" w:color="auto" w:fill="D9DCE1"/>
          </w:tcPr>
          <w:p>
            <w:pPr>
              <w:spacing w:after="0"/>
              <w:rPr>
                <w:sz w:val="23"/>
                <w:szCs w:val="23"/>
                <w:color w:val="auto"/>
              </w:rPr>
            </w:pPr>
          </w:p>
        </w:tc>
        <w:tc>
          <w:tcPr>
            <w:tcW w:w="4280" w:type="dxa"/>
            <w:vAlign w:val="bottom"/>
            <w:tcBorders>
              <w:bottom w:val="single" w:sz="8" w:color="434F69"/>
              <w:right w:val="single" w:sz="8" w:color="434F69"/>
            </w:tcBorders>
            <w:shd w:val="clear" w:color="auto" w:fill="D9DCE1"/>
          </w:tcPr>
          <w:p>
            <w:pPr>
              <w:spacing w:after="0" w:line="270" w:lineRule="exact"/>
              <w:rPr>
                <w:sz w:val="20"/>
                <w:szCs w:val="20"/>
                <w:color w:val="auto"/>
              </w:rPr>
            </w:pPr>
            <w:r>
              <w:rPr>
                <w:rFonts w:ascii="Arial" w:cs="Arial" w:eastAsia="Arial" w:hAnsi="Arial"/>
                <w:sz w:val="18"/>
                <w:szCs w:val="18"/>
                <w:color w:val="auto"/>
              </w:rPr>
              <w:t>Greg L. Armstrong</w:t>
            </w:r>
            <w:r>
              <w:rPr>
                <w:rFonts w:ascii="Arial" w:cs="Arial" w:eastAsia="Arial" w:hAnsi="Arial"/>
                <w:sz w:val="26"/>
                <w:szCs w:val="26"/>
                <w:color w:val="auto"/>
                <w:vertAlign w:val="superscript"/>
              </w:rPr>
              <w:t>(2)</w:t>
            </w:r>
          </w:p>
        </w:tc>
        <w:tc>
          <w:tcPr>
            <w:tcW w:w="860" w:type="dxa"/>
            <w:vAlign w:val="bottom"/>
            <w:tcBorders>
              <w:bottom w:val="single" w:sz="8" w:color="434F69"/>
              <w:right w:val="single" w:sz="8" w:color="434F69"/>
            </w:tcBorders>
            <w:shd w:val="clear" w:color="auto" w:fill="D9DCE1"/>
          </w:tcPr>
          <w:p>
            <w:pPr>
              <w:jc w:val="right"/>
              <w:ind w:right="75"/>
              <w:spacing w:after="0"/>
              <w:rPr>
                <w:sz w:val="20"/>
                <w:szCs w:val="20"/>
                <w:color w:val="auto"/>
              </w:rPr>
            </w:pPr>
            <w:r>
              <w:rPr>
                <w:rFonts w:ascii="Arial" w:cs="Arial" w:eastAsia="Arial" w:hAnsi="Arial"/>
                <w:sz w:val="18"/>
                <w:szCs w:val="18"/>
                <w:color w:val="auto"/>
              </w:rPr>
              <w:t>250,000</w:t>
            </w:r>
          </w:p>
        </w:tc>
        <w:tc>
          <w:tcPr>
            <w:tcW w:w="980" w:type="dxa"/>
            <w:vAlign w:val="bottom"/>
            <w:tcBorders>
              <w:bottom w:val="single" w:sz="8" w:color="434F69"/>
              <w:right w:val="single" w:sz="8" w:color="434F69"/>
            </w:tcBorders>
            <w:shd w:val="clear" w:color="auto" w:fill="D9DCE1"/>
          </w:tcPr>
          <w:p>
            <w:pPr>
              <w:jc w:val="right"/>
              <w:ind w:right="13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434F69"/>
              <w:right w:val="single" w:sz="8" w:color="434F69"/>
            </w:tcBorders>
            <w:shd w:val="clear" w:color="auto" w:fill="D9DCE1"/>
          </w:tcPr>
          <w:p>
            <w:pPr>
              <w:jc w:val="right"/>
              <w:ind w:right="313"/>
              <w:spacing w:after="0"/>
              <w:rPr>
                <w:sz w:val="20"/>
                <w:szCs w:val="20"/>
                <w:color w:val="auto"/>
              </w:rPr>
            </w:pPr>
            <w:r>
              <w:rPr>
                <w:rFonts w:ascii="Arial" w:cs="Arial" w:eastAsia="Arial" w:hAnsi="Arial"/>
                <w:sz w:val="18"/>
                <w:szCs w:val="18"/>
                <w:color w:val="auto"/>
              </w:rPr>
              <w:t>15,960</w:t>
            </w:r>
          </w:p>
        </w:tc>
        <w:tc>
          <w:tcPr>
            <w:tcW w:w="7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265,960</w:t>
            </w:r>
          </w:p>
        </w:tc>
        <w:tc>
          <w:tcPr>
            <w:tcW w:w="0" w:type="dxa"/>
            <w:vAlign w:val="bottom"/>
          </w:tcPr>
          <w:p>
            <w:pPr>
              <w:spacing w:after="0"/>
              <w:rPr>
                <w:sz w:val="1"/>
                <w:szCs w:val="1"/>
                <w:color w:val="auto"/>
              </w:rPr>
            </w:pPr>
          </w:p>
        </w:tc>
      </w:tr>
      <w:tr>
        <w:trPr>
          <w:trHeight w:val="244"/>
        </w:trPr>
        <w:tc>
          <w:tcPr>
            <w:tcW w:w="60" w:type="dxa"/>
            <w:vAlign w:val="bottom"/>
            <w:tcBorders>
              <w:left w:val="single" w:sz="8" w:color="434F69"/>
              <w:bottom w:val="single" w:sz="8" w:color="434F69"/>
            </w:tcBorders>
          </w:tcPr>
          <w:p>
            <w:pPr>
              <w:spacing w:after="0"/>
              <w:rPr>
                <w:sz w:val="21"/>
                <w:szCs w:val="21"/>
                <w:color w:val="auto"/>
              </w:rPr>
            </w:pPr>
          </w:p>
        </w:tc>
        <w:tc>
          <w:tcPr>
            <w:tcW w:w="4280" w:type="dxa"/>
            <w:vAlign w:val="bottom"/>
            <w:tcBorders>
              <w:bottom w:val="single" w:sz="8" w:color="434F69"/>
              <w:right w:val="single" w:sz="8" w:color="434F69"/>
            </w:tcBorders>
          </w:tcPr>
          <w:p>
            <w:pPr>
              <w:spacing w:after="0"/>
              <w:rPr>
                <w:sz w:val="20"/>
                <w:szCs w:val="20"/>
                <w:color w:val="auto"/>
              </w:rPr>
            </w:pPr>
            <w:r>
              <w:rPr>
                <w:rFonts w:ascii="Arial" w:cs="Arial" w:eastAsia="Arial" w:hAnsi="Arial"/>
                <w:sz w:val="18"/>
                <w:szCs w:val="18"/>
                <w:color w:val="auto"/>
              </w:rPr>
              <w:t>Victor Burk</w:t>
            </w:r>
          </w:p>
        </w:tc>
        <w:tc>
          <w:tcPr>
            <w:tcW w:w="860" w:type="dxa"/>
            <w:vAlign w:val="bottom"/>
            <w:tcBorders>
              <w:bottom w:val="single" w:sz="8" w:color="434F69"/>
              <w:right w:val="single" w:sz="8" w:color="434F69"/>
            </w:tcBorders>
          </w:tcPr>
          <w:p>
            <w:pPr>
              <w:jc w:val="right"/>
              <w:ind w:right="75"/>
              <w:spacing w:after="0"/>
              <w:rPr>
                <w:sz w:val="20"/>
                <w:szCs w:val="20"/>
                <w:color w:val="auto"/>
              </w:rPr>
            </w:pPr>
            <w:r>
              <w:rPr>
                <w:rFonts w:ascii="Arial" w:cs="Arial" w:eastAsia="Arial" w:hAnsi="Arial"/>
                <w:sz w:val="18"/>
                <w:szCs w:val="18"/>
                <w:color w:val="auto"/>
              </w:rPr>
              <w:t>105,000</w:t>
            </w:r>
          </w:p>
        </w:tc>
        <w:tc>
          <w:tcPr>
            <w:tcW w:w="980" w:type="dxa"/>
            <w:vAlign w:val="bottom"/>
            <w:tcBorders>
              <w:bottom w:val="single" w:sz="8" w:color="434F69"/>
              <w:right w:val="single" w:sz="8" w:color="434F69"/>
            </w:tcBorders>
          </w:tcPr>
          <w:p>
            <w:pPr>
              <w:jc w:val="right"/>
              <w:ind w:right="133"/>
              <w:spacing w:after="0"/>
              <w:rPr>
                <w:sz w:val="20"/>
                <w:szCs w:val="20"/>
                <w:color w:val="auto"/>
              </w:rPr>
            </w:pPr>
            <w:r>
              <w:rPr>
                <w:rFonts w:ascii="Arial" w:cs="Arial" w:eastAsia="Arial" w:hAnsi="Arial"/>
                <w:sz w:val="18"/>
                <w:szCs w:val="18"/>
                <w:color w:val="auto"/>
              </w:rPr>
              <w:t>124,766</w:t>
            </w:r>
          </w:p>
        </w:tc>
        <w:tc>
          <w:tcPr>
            <w:tcW w:w="1260" w:type="dxa"/>
            <w:vAlign w:val="bottom"/>
            <w:tcBorders>
              <w:bottom w:val="single" w:sz="8" w:color="434F69"/>
              <w:right w:val="single" w:sz="8" w:color="434F69"/>
            </w:tcBorders>
          </w:tcPr>
          <w:p>
            <w:pPr>
              <w:jc w:val="right"/>
              <w:ind w:right="3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229,766</w:t>
            </w:r>
          </w:p>
        </w:tc>
        <w:tc>
          <w:tcPr>
            <w:tcW w:w="0" w:type="dxa"/>
            <w:vAlign w:val="bottom"/>
          </w:tcPr>
          <w:p>
            <w:pPr>
              <w:spacing w:after="0"/>
              <w:rPr>
                <w:sz w:val="1"/>
                <w:szCs w:val="1"/>
                <w:color w:val="auto"/>
              </w:rPr>
            </w:pPr>
          </w:p>
        </w:tc>
      </w:tr>
      <w:tr>
        <w:trPr>
          <w:trHeight w:val="270"/>
        </w:trPr>
        <w:tc>
          <w:tcPr>
            <w:tcW w:w="60" w:type="dxa"/>
            <w:vAlign w:val="bottom"/>
            <w:tcBorders>
              <w:left w:val="single" w:sz="8" w:color="434F69"/>
              <w:bottom w:val="single" w:sz="8" w:color="434F69"/>
            </w:tcBorders>
            <w:shd w:val="clear" w:color="auto" w:fill="D9DCE1"/>
          </w:tcPr>
          <w:p>
            <w:pPr>
              <w:spacing w:after="0"/>
              <w:rPr>
                <w:sz w:val="23"/>
                <w:szCs w:val="23"/>
                <w:color w:val="auto"/>
              </w:rPr>
            </w:pPr>
          </w:p>
        </w:tc>
        <w:tc>
          <w:tcPr>
            <w:tcW w:w="4280" w:type="dxa"/>
            <w:vAlign w:val="bottom"/>
            <w:tcBorders>
              <w:bottom w:val="single" w:sz="8" w:color="434F69"/>
              <w:right w:val="single" w:sz="8" w:color="434F69"/>
            </w:tcBorders>
            <w:shd w:val="clear" w:color="auto" w:fill="D9DCE1"/>
          </w:tcPr>
          <w:p>
            <w:pPr>
              <w:spacing w:after="0" w:line="270" w:lineRule="exact"/>
              <w:rPr>
                <w:sz w:val="20"/>
                <w:szCs w:val="20"/>
                <w:color w:val="auto"/>
              </w:rPr>
            </w:pPr>
            <w:r>
              <w:rPr>
                <w:rFonts w:ascii="Arial" w:cs="Arial" w:eastAsia="Arial" w:hAnsi="Arial"/>
                <w:sz w:val="18"/>
                <w:szCs w:val="18"/>
                <w:color w:val="auto"/>
              </w:rPr>
              <w:t>Everardo Goyanes</w:t>
            </w:r>
            <w:r>
              <w:rPr>
                <w:rFonts w:ascii="Arial" w:cs="Arial" w:eastAsia="Arial" w:hAnsi="Arial"/>
                <w:sz w:val="26"/>
                <w:szCs w:val="26"/>
                <w:color w:val="auto"/>
                <w:vertAlign w:val="superscript"/>
              </w:rPr>
              <w:t>(3)</w:t>
            </w:r>
          </w:p>
        </w:tc>
        <w:tc>
          <w:tcPr>
            <w:tcW w:w="860" w:type="dxa"/>
            <w:vAlign w:val="bottom"/>
            <w:tcBorders>
              <w:bottom w:val="single" w:sz="8" w:color="434F69"/>
              <w:right w:val="single" w:sz="8" w:color="434F69"/>
            </w:tcBorders>
            <w:shd w:val="clear" w:color="auto" w:fill="D9DCE1"/>
          </w:tcPr>
          <w:p>
            <w:pPr>
              <w:jc w:val="right"/>
              <w:ind w:right="75"/>
              <w:spacing w:after="0"/>
              <w:rPr>
                <w:sz w:val="20"/>
                <w:szCs w:val="20"/>
                <w:color w:val="auto"/>
              </w:rPr>
            </w:pPr>
            <w:r>
              <w:rPr>
                <w:rFonts w:ascii="Arial" w:cs="Arial" w:eastAsia="Arial" w:hAnsi="Arial"/>
                <w:sz w:val="18"/>
                <w:szCs w:val="18"/>
                <w:color w:val="auto"/>
              </w:rPr>
              <w:t>45,000</w:t>
            </w:r>
          </w:p>
        </w:tc>
        <w:tc>
          <w:tcPr>
            <w:tcW w:w="980" w:type="dxa"/>
            <w:vAlign w:val="bottom"/>
            <w:tcBorders>
              <w:bottom w:val="single" w:sz="8" w:color="434F69"/>
              <w:right w:val="single" w:sz="8" w:color="434F69"/>
            </w:tcBorders>
            <w:shd w:val="clear" w:color="auto" w:fill="D9DCE1"/>
          </w:tcPr>
          <w:p>
            <w:pPr>
              <w:jc w:val="right"/>
              <w:ind w:right="13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434F69"/>
              <w:right w:val="single" w:sz="8" w:color="434F69"/>
            </w:tcBorders>
            <w:shd w:val="clear" w:color="auto" w:fill="D9DCE1"/>
          </w:tcPr>
          <w:p>
            <w:pPr>
              <w:jc w:val="right"/>
              <w:ind w:right="3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63"/>
        </w:trPr>
        <w:tc>
          <w:tcPr>
            <w:tcW w:w="60" w:type="dxa"/>
            <w:vAlign w:val="bottom"/>
            <w:tcBorders>
              <w:left w:val="single" w:sz="8" w:color="434F69"/>
              <w:bottom w:val="single" w:sz="8" w:color="434F69"/>
            </w:tcBorders>
          </w:tcPr>
          <w:p>
            <w:pPr>
              <w:spacing w:after="0"/>
              <w:rPr>
                <w:sz w:val="22"/>
                <w:szCs w:val="22"/>
                <w:color w:val="auto"/>
              </w:rPr>
            </w:pPr>
          </w:p>
        </w:tc>
        <w:tc>
          <w:tcPr>
            <w:tcW w:w="4280" w:type="dxa"/>
            <w:vAlign w:val="bottom"/>
            <w:tcBorders>
              <w:bottom w:val="single" w:sz="8" w:color="434F69"/>
              <w:right w:val="single" w:sz="8" w:color="434F69"/>
            </w:tcBorders>
          </w:tcPr>
          <w:p>
            <w:pPr>
              <w:spacing w:after="0" w:line="263" w:lineRule="exact"/>
              <w:rPr>
                <w:sz w:val="20"/>
                <w:szCs w:val="20"/>
                <w:color w:val="auto"/>
              </w:rPr>
            </w:pPr>
            <w:r>
              <w:rPr>
                <w:rFonts w:ascii="Arial" w:cs="Arial" w:eastAsia="Arial" w:hAnsi="Arial"/>
                <w:sz w:val="18"/>
                <w:szCs w:val="18"/>
                <w:color w:val="auto"/>
              </w:rPr>
              <w:t>Kevin S. McCarthy</w:t>
            </w:r>
            <w:r>
              <w:rPr>
                <w:rFonts w:ascii="Arial" w:cs="Arial" w:eastAsia="Arial" w:hAnsi="Arial"/>
                <w:sz w:val="26"/>
                <w:szCs w:val="26"/>
                <w:color w:val="auto"/>
                <w:vertAlign w:val="superscript"/>
              </w:rPr>
              <w:t>(3)</w:t>
            </w:r>
          </w:p>
        </w:tc>
        <w:tc>
          <w:tcPr>
            <w:tcW w:w="860" w:type="dxa"/>
            <w:vAlign w:val="bottom"/>
            <w:tcBorders>
              <w:bottom w:val="single" w:sz="8" w:color="434F69"/>
              <w:right w:val="single" w:sz="8" w:color="434F69"/>
            </w:tcBorders>
          </w:tcPr>
          <w:p>
            <w:pPr>
              <w:jc w:val="right"/>
              <w:ind w:right="75"/>
              <w:spacing w:after="0"/>
              <w:rPr>
                <w:sz w:val="20"/>
                <w:szCs w:val="20"/>
                <w:color w:val="auto"/>
              </w:rPr>
            </w:pPr>
            <w:r>
              <w:rPr>
                <w:rFonts w:ascii="Arial" w:cs="Arial" w:eastAsia="Arial" w:hAnsi="Arial"/>
                <w:sz w:val="18"/>
                <w:szCs w:val="18"/>
                <w:color w:val="auto"/>
              </w:rPr>
              <w:t>18,750</w:t>
            </w:r>
          </w:p>
        </w:tc>
        <w:tc>
          <w:tcPr>
            <w:tcW w:w="980" w:type="dxa"/>
            <w:vAlign w:val="bottom"/>
            <w:tcBorders>
              <w:bottom w:val="single" w:sz="8" w:color="434F69"/>
              <w:right w:val="single" w:sz="8" w:color="434F69"/>
            </w:tcBorders>
          </w:tcPr>
          <w:p>
            <w:pPr>
              <w:jc w:val="right"/>
              <w:ind w:right="133"/>
              <w:spacing w:after="0"/>
              <w:rPr>
                <w:sz w:val="20"/>
                <w:szCs w:val="20"/>
                <w:color w:val="auto"/>
              </w:rPr>
            </w:pPr>
            <w:r>
              <w:rPr>
                <w:rFonts w:ascii="Arial" w:cs="Arial" w:eastAsia="Arial" w:hAnsi="Arial"/>
                <w:sz w:val="18"/>
                <w:szCs w:val="18"/>
                <w:color w:val="auto"/>
              </w:rPr>
              <w:t>79,453</w:t>
            </w:r>
          </w:p>
        </w:tc>
        <w:tc>
          <w:tcPr>
            <w:tcW w:w="1260" w:type="dxa"/>
            <w:vAlign w:val="bottom"/>
            <w:tcBorders>
              <w:bottom w:val="single" w:sz="8" w:color="434F69"/>
              <w:right w:val="single" w:sz="8" w:color="434F69"/>
            </w:tcBorders>
          </w:tcPr>
          <w:p>
            <w:pPr>
              <w:jc w:val="right"/>
              <w:ind w:right="3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98,203</w:t>
            </w:r>
          </w:p>
        </w:tc>
        <w:tc>
          <w:tcPr>
            <w:tcW w:w="0" w:type="dxa"/>
            <w:vAlign w:val="bottom"/>
          </w:tcPr>
          <w:p>
            <w:pPr>
              <w:spacing w:after="0"/>
              <w:rPr>
                <w:sz w:val="1"/>
                <w:szCs w:val="1"/>
                <w:color w:val="auto"/>
              </w:rPr>
            </w:pPr>
          </w:p>
        </w:tc>
      </w:tr>
      <w:tr>
        <w:trPr>
          <w:trHeight w:val="244"/>
        </w:trPr>
        <w:tc>
          <w:tcPr>
            <w:tcW w:w="60" w:type="dxa"/>
            <w:vAlign w:val="bottom"/>
            <w:tcBorders>
              <w:left w:val="single" w:sz="8" w:color="434F69"/>
              <w:bottom w:val="single" w:sz="8" w:color="434F69"/>
            </w:tcBorders>
            <w:shd w:val="clear" w:color="auto" w:fill="D9DCE1"/>
          </w:tcPr>
          <w:p>
            <w:pPr>
              <w:spacing w:after="0"/>
              <w:rPr>
                <w:sz w:val="21"/>
                <w:szCs w:val="21"/>
                <w:color w:val="auto"/>
              </w:rPr>
            </w:pPr>
          </w:p>
        </w:tc>
        <w:tc>
          <w:tcPr>
            <w:tcW w:w="4280" w:type="dxa"/>
            <w:vAlign w:val="bottom"/>
            <w:tcBorders>
              <w:bottom w:val="single" w:sz="8" w:color="434F69"/>
              <w:right w:val="single" w:sz="8" w:color="434F69"/>
            </w:tcBorders>
            <w:shd w:val="clear" w:color="auto" w:fill="D9DCE1"/>
          </w:tcPr>
          <w:p>
            <w:pPr>
              <w:spacing w:after="0"/>
              <w:rPr>
                <w:sz w:val="20"/>
                <w:szCs w:val="20"/>
                <w:color w:val="auto"/>
              </w:rPr>
            </w:pPr>
            <w:r>
              <w:rPr>
                <w:rFonts w:ascii="Arial" w:cs="Arial" w:eastAsia="Arial" w:hAnsi="Arial"/>
                <w:sz w:val="18"/>
                <w:szCs w:val="18"/>
                <w:color w:val="auto"/>
              </w:rPr>
              <w:t>Gary R. Petersen</w:t>
            </w:r>
          </w:p>
        </w:tc>
        <w:tc>
          <w:tcPr>
            <w:tcW w:w="860" w:type="dxa"/>
            <w:vAlign w:val="bottom"/>
            <w:tcBorders>
              <w:bottom w:val="single" w:sz="8" w:color="434F69"/>
              <w:right w:val="single" w:sz="8" w:color="434F69"/>
            </w:tcBorders>
            <w:shd w:val="clear" w:color="auto" w:fill="D9DCE1"/>
          </w:tcPr>
          <w:p>
            <w:pPr>
              <w:jc w:val="right"/>
              <w:ind w:right="75"/>
              <w:spacing w:after="0"/>
              <w:rPr>
                <w:sz w:val="20"/>
                <w:szCs w:val="20"/>
                <w:color w:val="auto"/>
              </w:rPr>
            </w:pPr>
            <w:r>
              <w:rPr>
                <w:rFonts w:ascii="Arial" w:cs="Arial" w:eastAsia="Arial" w:hAnsi="Arial"/>
                <w:sz w:val="18"/>
                <w:szCs w:val="18"/>
                <w:color w:val="auto"/>
              </w:rPr>
              <w:t>75,000</w:t>
            </w:r>
          </w:p>
        </w:tc>
        <w:tc>
          <w:tcPr>
            <w:tcW w:w="980" w:type="dxa"/>
            <w:vAlign w:val="bottom"/>
            <w:tcBorders>
              <w:bottom w:val="single" w:sz="8" w:color="434F69"/>
              <w:right w:val="single" w:sz="8" w:color="434F69"/>
            </w:tcBorders>
            <w:shd w:val="clear" w:color="auto" w:fill="D9DCE1"/>
          </w:tcPr>
          <w:p>
            <w:pPr>
              <w:jc w:val="right"/>
              <w:ind w:right="133"/>
              <w:spacing w:after="0"/>
              <w:rPr>
                <w:sz w:val="20"/>
                <w:szCs w:val="20"/>
                <w:color w:val="auto"/>
              </w:rPr>
            </w:pPr>
            <w:r>
              <w:rPr>
                <w:rFonts w:ascii="Arial" w:cs="Arial" w:eastAsia="Arial" w:hAnsi="Arial"/>
                <w:sz w:val="18"/>
                <w:szCs w:val="18"/>
                <w:color w:val="auto"/>
              </w:rPr>
              <w:t>124,766</w:t>
            </w:r>
          </w:p>
        </w:tc>
        <w:tc>
          <w:tcPr>
            <w:tcW w:w="1260" w:type="dxa"/>
            <w:vAlign w:val="bottom"/>
            <w:tcBorders>
              <w:bottom w:val="single" w:sz="8" w:color="434F69"/>
              <w:right w:val="single" w:sz="8" w:color="434F69"/>
            </w:tcBorders>
            <w:shd w:val="clear" w:color="auto" w:fill="D9DCE1"/>
          </w:tcPr>
          <w:p>
            <w:pPr>
              <w:jc w:val="right"/>
              <w:ind w:right="3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199,766</w:t>
            </w: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tcPr>
          <w:p>
            <w:pPr>
              <w:spacing w:after="0"/>
              <w:rPr>
                <w:sz w:val="21"/>
                <w:szCs w:val="21"/>
                <w:color w:val="auto"/>
              </w:rPr>
            </w:pPr>
          </w:p>
        </w:tc>
        <w:tc>
          <w:tcPr>
            <w:tcW w:w="4280" w:type="dxa"/>
            <w:vAlign w:val="bottom"/>
            <w:tcBorders>
              <w:bottom w:val="single" w:sz="8" w:color="434F69"/>
              <w:right w:val="single" w:sz="8" w:color="434F69"/>
            </w:tcBorders>
          </w:tcPr>
          <w:p>
            <w:pPr>
              <w:spacing w:after="0"/>
              <w:rPr>
                <w:sz w:val="20"/>
                <w:szCs w:val="20"/>
                <w:color w:val="auto"/>
              </w:rPr>
            </w:pPr>
            <w:r>
              <w:rPr>
                <w:rFonts w:ascii="Arial" w:cs="Arial" w:eastAsia="Arial" w:hAnsi="Arial"/>
                <w:sz w:val="18"/>
                <w:szCs w:val="18"/>
                <w:color w:val="auto"/>
              </w:rPr>
              <w:t>Alexandra D. Pruner</w:t>
            </w:r>
          </w:p>
        </w:tc>
        <w:tc>
          <w:tcPr>
            <w:tcW w:w="860" w:type="dxa"/>
            <w:vAlign w:val="bottom"/>
            <w:tcBorders>
              <w:bottom w:val="single" w:sz="8" w:color="434F69"/>
              <w:right w:val="single" w:sz="8" w:color="434F69"/>
            </w:tcBorders>
          </w:tcPr>
          <w:p>
            <w:pPr>
              <w:jc w:val="right"/>
              <w:ind w:right="75"/>
              <w:spacing w:after="0"/>
              <w:rPr>
                <w:sz w:val="20"/>
                <w:szCs w:val="20"/>
                <w:color w:val="auto"/>
              </w:rPr>
            </w:pPr>
            <w:r>
              <w:rPr>
                <w:rFonts w:ascii="Arial" w:cs="Arial" w:eastAsia="Arial" w:hAnsi="Arial"/>
                <w:sz w:val="18"/>
                <w:szCs w:val="18"/>
                <w:color w:val="auto"/>
              </w:rPr>
              <w:t>90,000</w:t>
            </w:r>
          </w:p>
        </w:tc>
        <w:tc>
          <w:tcPr>
            <w:tcW w:w="980" w:type="dxa"/>
            <w:vAlign w:val="bottom"/>
            <w:tcBorders>
              <w:bottom w:val="single" w:sz="8" w:color="434F69"/>
              <w:right w:val="single" w:sz="8" w:color="434F69"/>
            </w:tcBorders>
          </w:tcPr>
          <w:p>
            <w:pPr>
              <w:jc w:val="right"/>
              <w:ind w:right="133"/>
              <w:spacing w:after="0"/>
              <w:rPr>
                <w:sz w:val="20"/>
                <w:szCs w:val="20"/>
                <w:color w:val="auto"/>
              </w:rPr>
            </w:pPr>
            <w:r>
              <w:rPr>
                <w:rFonts w:ascii="Arial" w:cs="Arial" w:eastAsia="Arial" w:hAnsi="Arial"/>
                <w:sz w:val="18"/>
                <w:szCs w:val="18"/>
                <w:color w:val="auto"/>
              </w:rPr>
              <w:t>124,766</w:t>
            </w:r>
          </w:p>
        </w:tc>
        <w:tc>
          <w:tcPr>
            <w:tcW w:w="1260" w:type="dxa"/>
            <w:vAlign w:val="bottom"/>
            <w:tcBorders>
              <w:bottom w:val="single" w:sz="8" w:color="434F69"/>
              <w:right w:val="single" w:sz="8" w:color="434F69"/>
            </w:tcBorders>
          </w:tcPr>
          <w:p>
            <w:pPr>
              <w:jc w:val="right"/>
              <w:ind w:right="3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214,766</w:t>
            </w: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shd w:val="clear" w:color="auto" w:fill="D9DCE1"/>
          </w:tcPr>
          <w:p>
            <w:pPr>
              <w:spacing w:after="0"/>
              <w:rPr>
                <w:sz w:val="21"/>
                <w:szCs w:val="21"/>
                <w:color w:val="auto"/>
              </w:rPr>
            </w:pPr>
          </w:p>
        </w:tc>
        <w:tc>
          <w:tcPr>
            <w:tcW w:w="4280" w:type="dxa"/>
            <w:vAlign w:val="bottom"/>
            <w:tcBorders>
              <w:bottom w:val="single" w:sz="8" w:color="434F69"/>
              <w:right w:val="single" w:sz="8" w:color="434F69"/>
            </w:tcBorders>
            <w:shd w:val="clear" w:color="auto" w:fill="D9DCE1"/>
          </w:tcPr>
          <w:p>
            <w:pPr>
              <w:spacing w:after="0"/>
              <w:rPr>
                <w:sz w:val="20"/>
                <w:szCs w:val="20"/>
                <w:color w:val="auto"/>
              </w:rPr>
            </w:pPr>
            <w:r>
              <w:rPr>
                <w:rFonts w:ascii="Arial" w:cs="Arial" w:eastAsia="Arial" w:hAnsi="Arial"/>
                <w:sz w:val="18"/>
                <w:szCs w:val="18"/>
                <w:color w:val="auto"/>
              </w:rPr>
              <w:t>John T. Raymond</w:t>
            </w:r>
          </w:p>
        </w:tc>
        <w:tc>
          <w:tcPr>
            <w:tcW w:w="860" w:type="dxa"/>
            <w:vAlign w:val="bottom"/>
            <w:tcBorders>
              <w:bottom w:val="single" w:sz="8" w:color="434F69"/>
              <w:right w:val="single" w:sz="8" w:color="434F69"/>
            </w:tcBorders>
            <w:shd w:val="clear" w:color="auto" w:fill="D9DCE1"/>
          </w:tcPr>
          <w:p>
            <w:pPr>
              <w:jc w:val="right"/>
              <w:ind w:right="75"/>
              <w:spacing w:after="0"/>
              <w:rPr>
                <w:sz w:val="20"/>
                <w:szCs w:val="20"/>
                <w:color w:val="auto"/>
              </w:rPr>
            </w:pPr>
            <w:r>
              <w:rPr>
                <w:rFonts w:ascii="Arial" w:cs="Arial" w:eastAsia="Arial" w:hAnsi="Arial"/>
                <w:sz w:val="18"/>
                <w:szCs w:val="18"/>
                <w:color w:val="auto"/>
              </w:rPr>
              <w:t>81,126</w:t>
            </w:r>
          </w:p>
        </w:tc>
        <w:tc>
          <w:tcPr>
            <w:tcW w:w="980" w:type="dxa"/>
            <w:vAlign w:val="bottom"/>
            <w:tcBorders>
              <w:bottom w:val="single" w:sz="8" w:color="434F69"/>
              <w:right w:val="single" w:sz="8" w:color="434F69"/>
            </w:tcBorders>
            <w:shd w:val="clear" w:color="auto" w:fill="D9DCE1"/>
          </w:tcPr>
          <w:p>
            <w:pPr>
              <w:jc w:val="right"/>
              <w:ind w:right="133"/>
              <w:spacing w:after="0"/>
              <w:rPr>
                <w:sz w:val="20"/>
                <w:szCs w:val="20"/>
                <w:color w:val="auto"/>
              </w:rPr>
            </w:pPr>
            <w:r>
              <w:rPr>
                <w:rFonts w:ascii="Arial" w:cs="Arial" w:eastAsia="Arial" w:hAnsi="Arial"/>
                <w:sz w:val="18"/>
                <w:szCs w:val="18"/>
                <w:color w:val="auto"/>
              </w:rPr>
              <w:t>124,766</w:t>
            </w:r>
          </w:p>
        </w:tc>
        <w:tc>
          <w:tcPr>
            <w:tcW w:w="1260" w:type="dxa"/>
            <w:vAlign w:val="bottom"/>
            <w:tcBorders>
              <w:bottom w:val="single" w:sz="8" w:color="434F69"/>
              <w:right w:val="single" w:sz="8" w:color="434F69"/>
            </w:tcBorders>
            <w:shd w:val="clear" w:color="auto" w:fill="D9DCE1"/>
          </w:tcPr>
          <w:p>
            <w:pPr>
              <w:jc w:val="right"/>
              <w:ind w:right="3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205,892</w:t>
            </w: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tcPr>
          <w:p>
            <w:pPr>
              <w:spacing w:after="0"/>
              <w:rPr>
                <w:sz w:val="21"/>
                <w:szCs w:val="21"/>
                <w:color w:val="auto"/>
              </w:rPr>
            </w:pPr>
          </w:p>
        </w:tc>
        <w:tc>
          <w:tcPr>
            <w:tcW w:w="4280" w:type="dxa"/>
            <w:vAlign w:val="bottom"/>
            <w:tcBorders>
              <w:bottom w:val="single" w:sz="8" w:color="434F69"/>
              <w:right w:val="single" w:sz="8" w:color="434F69"/>
            </w:tcBorders>
          </w:tcPr>
          <w:p>
            <w:pPr>
              <w:spacing w:after="0"/>
              <w:rPr>
                <w:sz w:val="20"/>
                <w:szCs w:val="20"/>
                <w:color w:val="auto"/>
              </w:rPr>
            </w:pPr>
            <w:r>
              <w:rPr>
                <w:rFonts w:ascii="Arial" w:cs="Arial" w:eastAsia="Arial" w:hAnsi="Arial"/>
                <w:sz w:val="18"/>
                <w:szCs w:val="18"/>
                <w:color w:val="auto"/>
              </w:rPr>
              <w:t>Bobby S. Shackouls</w:t>
            </w:r>
          </w:p>
        </w:tc>
        <w:tc>
          <w:tcPr>
            <w:tcW w:w="860" w:type="dxa"/>
            <w:vAlign w:val="bottom"/>
            <w:tcBorders>
              <w:bottom w:val="single" w:sz="8" w:color="434F69"/>
              <w:right w:val="single" w:sz="8" w:color="434F69"/>
            </w:tcBorders>
          </w:tcPr>
          <w:p>
            <w:pPr>
              <w:jc w:val="right"/>
              <w:ind w:right="75"/>
              <w:spacing w:after="0"/>
              <w:rPr>
                <w:sz w:val="20"/>
                <w:szCs w:val="20"/>
                <w:color w:val="auto"/>
              </w:rPr>
            </w:pPr>
            <w:r>
              <w:rPr>
                <w:rFonts w:ascii="Arial" w:cs="Arial" w:eastAsia="Arial" w:hAnsi="Arial"/>
                <w:sz w:val="18"/>
                <w:szCs w:val="18"/>
                <w:color w:val="auto"/>
              </w:rPr>
              <w:t>120,000</w:t>
            </w:r>
          </w:p>
        </w:tc>
        <w:tc>
          <w:tcPr>
            <w:tcW w:w="980" w:type="dxa"/>
            <w:vAlign w:val="bottom"/>
            <w:tcBorders>
              <w:bottom w:val="single" w:sz="8" w:color="434F69"/>
              <w:right w:val="single" w:sz="8" w:color="434F69"/>
            </w:tcBorders>
          </w:tcPr>
          <w:p>
            <w:pPr>
              <w:jc w:val="right"/>
              <w:ind w:right="133"/>
              <w:spacing w:after="0"/>
              <w:rPr>
                <w:sz w:val="20"/>
                <w:szCs w:val="20"/>
                <w:color w:val="auto"/>
              </w:rPr>
            </w:pPr>
            <w:r>
              <w:rPr>
                <w:rFonts w:ascii="Arial" w:cs="Arial" w:eastAsia="Arial" w:hAnsi="Arial"/>
                <w:sz w:val="18"/>
                <w:szCs w:val="18"/>
                <w:color w:val="auto"/>
              </w:rPr>
              <w:t>124,766</w:t>
            </w:r>
          </w:p>
        </w:tc>
        <w:tc>
          <w:tcPr>
            <w:tcW w:w="1260" w:type="dxa"/>
            <w:vAlign w:val="bottom"/>
            <w:tcBorders>
              <w:bottom w:val="single" w:sz="8" w:color="434F69"/>
              <w:right w:val="single" w:sz="8" w:color="434F69"/>
            </w:tcBorders>
          </w:tcPr>
          <w:p>
            <w:pPr>
              <w:jc w:val="right"/>
              <w:ind w:right="3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244,766</w:t>
            </w:r>
          </w:p>
        </w:tc>
        <w:tc>
          <w:tcPr>
            <w:tcW w:w="0" w:type="dxa"/>
            <w:vAlign w:val="bottom"/>
          </w:tcPr>
          <w:p>
            <w:pPr>
              <w:spacing w:after="0"/>
              <w:rPr>
                <w:sz w:val="1"/>
                <w:szCs w:val="1"/>
                <w:color w:val="auto"/>
              </w:rPr>
            </w:pPr>
          </w:p>
        </w:tc>
      </w:tr>
      <w:tr>
        <w:trPr>
          <w:trHeight w:val="270"/>
        </w:trPr>
        <w:tc>
          <w:tcPr>
            <w:tcW w:w="60" w:type="dxa"/>
            <w:vAlign w:val="bottom"/>
            <w:tcBorders>
              <w:left w:val="single" w:sz="8" w:color="434F69"/>
              <w:bottom w:val="single" w:sz="8" w:color="434F69"/>
            </w:tcBorders>
            <w:shd w:val="clear" w:color="auto" w:fill="D9DCE1"/>
          </w:tcPr>
          <w:p>
            <w:pPr>
              <w:spacing w:after="0"/>
              <w:rPr>
                <w:sz w:val="23"/>
                <w:szCs w:val="23"/>
                <w:color w:val="auto"/>
              </w:rPr>
            </w:pPr>
          </w:p>
        </w:tc>
        <w:tc>
          <w:tcPr>
            <w:tcW w:w="4280" w:type="dxa"/>
            <w:vAlign w:val="bottom"/>
            <w:tcBorders>
              <w:bottom w:val="single" w:sz="8" w:color="434F69"/>
              <w:right w:val="single" w:sz="8" w:color="434F69"/>
            </w:tcBorders>
            <w:shd w:val="clear" w:color="auto" w:fill="D9DCE1"/>
          </w:tcPr>
          <w:p>
            <w:pPr>
              <w:spacing w:after="0" w:line="270" w:lineRule="exact"/>
              <w:rPr>
                <w:sz w:val="20"/>
                <w:szCs w:val="20"/>
                <w:color w:val="auto"/>
              </w:rPr>
            </w:pPr>
            <w:r>
              <w:rPr>
                <w:rFonts w:ascii="Arial" w:cs="Arial" w:eastAsia="Arial" w:hAnsi="Arial"/>
                <w:sz w:val="18"/>
                <w:szCs w:val="18"/>
                <w:color w:val="auto"/>
              </w:rPr>
              <w:t>Robert V. Sinnott</w:t>
            </w:r>
            <w:r>
              <w:rPr>
                <w:rFonts w:ascii="Arial" w:cs="Arial" w:eastAsia="Arial" w:hAnsi="Arial"/>
                <w:sz w:val="26"/>
                <w:szCs w:val="26"/>
                <w:color w:val="auto"/>
                <w:vertAlign w:val="superscript"/>
              </w:rPr>
              <w:t>(3)</w:t>
            </w:r>
          </w:p>
        </w:tc>
        <w:tc>
          <w:tcPr>
            <w:tcW w:w="860" w:type="dxa"/>
            <w:vAlign w:val="bottom"/>
            <w:tcBorders>
              <w:bottom w:val="single" w:sz="8" w:color="434F69"/>
              <w:right w:val="single" w:sz="8" w:color="434F69"/>
            </w:tcBorders>
            <w:shd w:val="clear" w:color="auto" w:fill="D9DCE1"/>
          </w:tcPr>
          <w:p>
            <w:pPr>
              <w:jc w:val="right"/>
              <w:ind w:right="75"/>
              <w:spacing w:after="0"/>
              <w:rPr>
                <w:sz w:val="20"/>
                <w:szCs w:val="20"/>
                <w:color w:val="auto"/>
              </w:rPr>
            </w:pPr>
            <w:r>
              <w:rPr>
                <w:rFonts w:ascii="Arial" w:cs="Arial" w:eastAsia="Arial" w:hAnsi="Arial"/>
                <w:sz w:val="18"/>
                <w:szCs w:val="18"/>
                <w:color w:val="auto"/>
              </w:rPr>
              <w:t>61,250</w:t>
            </w:r>
          </w:p>
        </w:tc>
        <w:tc>
          <w:tcPr>
            <w:tcW w:w="980" w:type="dxa"/>
            <w:vAlign w:val="bottom"/>
            <w:tcBorders>
              <w:bottom w:val="single" w:sz="8" w:color="434F69"/>
              <w:right w:val="single" w:sz="8" w:color="434F69"/>
            </w:tcBorders>
            <w:shd w:val="clear" w:color="auto" w:fill="D9DCE1"/>
          </w:tcPr>
          <w:p>
            <w:pPr>
              <w:jc w:val="right"/>
              <w:ind w:right="13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434F69"/>
              <w:right w:val="single" w:sz="8" w:color="434F69"/>
            </w:tcBorders>
            <w:shd w:val="clear" w:color="auto" w:fill="D9DCE1"/>
          </w:tcPr>
          <w:p>
            <w:pPr>
              <w:jc w:val="right"/>
              <w:ind w:right="3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61,250</w:t>
            </w:r>
          </w:p>
        </w:tc>
        <w:tc>
          <w:tcPr>
            <w:tcW w:w="0" w:type="dxa"/>
            <w:vAlign w:val="bottom"/>
          </w:tcPr>
          <w:p>
            <w:pPr>
              <w:spacing w:after="0"/>
              <w:rPr>
                <w:sz w:val="1"/>
                <w:szCs w:val="1"/>
                <w:color w:val="auto"/>
              </w:rPr>
            </w:pPr>
          </w:p>
        </w:tc>
      </w:tr>
      <w:tr>
        <w:trPr>
          <w:trHeight w:val="264"/>
        </w:trPr>
        <w:tc>
          <w:tcPr>
            <w:tcW w:w="60" w:type="dxa"/>
            <w:vAlign w:val="bottom"/>
            <w:tcBorders>
              <w:left w:val="single" w:sz="8" w:color="434F69"/>
              <w:bottom w:val="single" w:sz="8" w:color="434F69"/>
            </w:tcBorders>
          </w:tcPr>
          <w:p>
            <w:pPr>
              <w:spacing w:after="0"/>
              <w:rPr>
                <w:sz w:val="22"/>
                <w:szCs w:val="22"/>
                <w:color w:val="auto"/>
              </w:rPr>
            </w:pPr>
          </w:p>
        </w:tc>
        <w:tc>
          <w:tcPr>
            <w:tcW w:w="4280" w:type="dxa"/>
            <w:vAlign w:val="bottom"/>
            <w:tcBorders>
              <w:bottom w:val="single" w:sz="8" w:color="434F69"/>
              <w:right w:val="single" w:sz="8" w:color="434F69"/>
            </w:tcBorders>
          </w:tcPr>
          <w:p>
            <w:pPr>
              <w:spacing w:after="0" w:line="263" w:lineRule="exact"/>
              <w:rPr>
                <w:sz w:val="20"/>
                <w:szCs w:val="20"/>
                <w:color w:val="auto"/>
              </w:rPr>
            </w:pPr>
            <w:r>
              <w:rPr>
                <w:rFonts w:ascii="Arial" w:cs="Arial" w:eastAsia="Arial" w:hAnsi="Arial"/>
                <w:sz w:val="18"/>
                <w:szCs w:val="18"/>
                <w:color w:val="auto"/>
              </w:rPr>
              <w:t>J. Taft Symonds</w:t>
            </w:r>
            <w:r>
              <w:rPr>
                <w:rFonts w:ascii="Arial" w:cs="Arial" w:eastAsia="Arial" w:hAnsi="Arial"/>
                <w:sz w:val="26"/>
                <w:szCs w:val="26"/>
                <w:color w:val="auto"/>
                <w:vertAlign w:val="superscript"/>
              </w:rPr>
              <w:t>(3)</w:t>
            </w:r>
          </w:p>
        </w:tc>
        <w:tc>
          <w:tcPr>
            <w:tcW w:w="860" w:type="dxa"/>
            <w:vAlign w:val="bottom"/>
            <w:tcBorders>
              <w:bottom w:val="single" w:sz="8" w:color="434F69"/>
              <w:right w:val="single" w:sz="8" w:color="434F69"/>
            </w:tcBorders>
          </w:tcPr>
          <w:p>
            <w:pPr>
              <w:jc w:val="right"/>
              <w:ind w:right="75"/>
              <w:spacing w:after="0"/>
              <w:rPr>
                <w:sz w:val="20"/>
                <w:szCs w:val="20"/>
                <w:color w:val="auto"/>
              </w:rPr>
            </w:pPr>
            <w:r>
              <w:rPr>
                <w:rFonts w:ascii="Arial" w:cs="Arial" w:eastAsia="Arial" w:hAnsi="Arial"/>
                <w:sz w:val="18"/>
                <w:szCs w:val="18"/>
                <w:color w:val="auto"/>
              </w:rPr>
              <w:t>45,000</w:t>
            </w:r>
          </w:p>
        </w:tc>
        <w:tc>
          <w:tcPr>
            <w:tcW w:w="980" w:type="dxa"/>
            <w:vAlign w:val="bottom"/>
            <w:tcBorders>
              <w:bottom w:val="single" w:sz="8" w:color="434F69"/>
              <w:right w:val="single" w:sz="8" w:color="434F69"/>
            </w:tcBorders>
          </w:tcPr>
          <w:p>
            <w:pPr>
              <w:jc w:val="right"/>
              <w:ind w:right="13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434F69"/>
              <w:right w:val="single" w:sz="8" w:color="434F69"/>
            </w:tcBorders>
          </w:tcPr>
          <w:p>
            <w:pPr>
              <w:jc w:val="right"/>
              <w:ind w:right="3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44"/>
        </w:trPr>
        <w:tc>
          <w:tcPr>
            <w:tcW w:w="60" w:type="dxa"/>
            <w:vAlign w:val="bottom"/>
            <w:tcBorders>
              <w:left w:val="single" w:sz="8" w:color="434F69"/>
              <w:bottom w:val="single" w:sz="8" w:color="434F69"/>
            </w:tcBorders>
            <w:shd w:val="clear" w:color="auto" w:fill="D9DCE1"/>
          </w:tcPr>
          <w:p>
            <w:pPr>
              <w:spacing w:after="0"/>
              <w:rPr>
                <w:sz w:val="21"/>
                <w:szCs w:val="21"/>
                <w:color w:val="auto"/>
              </w:rPr>
            </w:pPr>
          </w:p>
        </w:tc>
        <w:tc>
          <w:tcPr>
            <w:tcW w:w="4280" w:type="dxa"/>
            <w:vAlign w:val="bottom"/>
            <w:tcBorders>
              <w:bottom w:val="single" w:sz="8" w:color="434F69"/>
              <w:right w:val="single" w:sz="8" w:color="434F69"/>
            </w:tcBorders>
            <w:shd w:val="clear" w:color="auto" w:fill="D9DCE1"/>
          </w:tcPr>
          <w:p>
            <w:pPr>
              <w:spacing w:after="0"/>
              <w:rPr>
                <w:sz w:val="20"/>
                <w:szCs w:val="20"/>
                <w:color w:val="auto"/>
              </w:rPr>
            </w:pPr>
            <w:r>
              <w:rPr>
                <w:rFonts w:ascii="Arial" w:cs="Arial" w:eastAsia="Arial" w:hAnsi="Arial"/>
                <w:sz w:val="18"/>
                <w:szCs w:val="18"/>
                <w:color w:val="auto"/>
              </w:rPr>
              <w:t>Christopher M. Temple</w:t>
            </w:r>
          </w:p>
        </w:tc>
        <w:tc>
          <w:tcPr>
            <w:tcW w:w="860" w:type="dxa"/>
            <w:vAlign w:val="bottom"/>
            <w:tcBorders>
              <w:bottom w:val="single" w:sz="8" w:color="434F69"/>
              <w:right w:val="single" w:sz="8" w:color="434F69"/>
            </w:tcBorders>
            <w:shd w:val="clear" w:color="auto" w:fill="D9DCE1"/>
          </w:tcPr>
          <w:p>
            <w:pPr>
              <w:jc w:val="right"/>
              <w:ind w:right="75"/>
              <w:spacing w:after="0"/>
              <w:rPr>
                <w:sz w:val="20"/>
                <w:szCs w:val="20"/>
                <w:color w:val="auto"/>
              </w:rPr>
            </w:pPr>
            <w:r>
              <w:rPr>
                <w:rFonts w:ascii="Arial" w:cs="Arial" w:eastAsia="Arial" w:hAnsi="Arial"/>
                <w:sz w:val="18"/>
                <w:szCs w:val="18"/>
                <w:color w:val="auto"/>
              </w:rPr>
              <w:t>75,000</w:t>
            </w:r>
          </w:p>
        </w:tc>
        <w:tc>
          <w:tcPr>
            <w:tcW w:w="980" w:type="dxa"/>
            <w:vAlign w:val="bottom"/>
            <w:tcBorders>
              <w:bottom w:val="single" w:sz="8" w:color="434F69"/>
              <w:right w:val="single" w:sz="8" w:color="434F69"/>
            </w:tcBorders>
            <w:shd w:val="clear" w:color="auto" w:fill="D9DCE1"/>
          </w:tcPr>
          <w:p>
            <w:pPr>
              <w:jc w:val="right"/>
              <w:ind w:right="133"/>
              <w:spacing w:after="0"/>
              <w:rPr>
                <w:sz w:val="20"/>
                <w:szCs w:val="20"/>
                <w:color w:val="auto"/>
              </w:rPr>
            </w:pPr>
            <w:r>
              <w:rPr>
                <w:rFonts w:ascii="Arial" w:cs="Arial" w:eastAsia="Arial" w:hAnsi="Arial"/>
                <w:sz w:val="18"/>
                <w:szCs w:val="18"/>
                <w:color w:val="auto"/>
              </w:rPr>
              <w:t>124,766</w:t>
            </w:r>
          </w:p>
        </w:tc>
        <w:tc>
          <w:tcPr>
            <w:tcW w:w="1260" w:type="dxa"/>
            <w:vAlign w:val="bottom"/>
            <w:tcBorders>
              <w:bottom w:val="single" w:sz="8" w:color="434F69"/>
              <w:right w:val="single" w:sz="8" w:color="434F69"/>
            </w:tcBorders>
            <w:shd w:val="clear" w:color="auto" w:fill="D9DCE1"/>
          </w:tcPr>
          <w:p>
            <w:pPr>
              <w:jc w:val="right"/>
              <w:ind w:right="3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right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199,766</w:t>
            </w: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tcPr>
          <w:p>
            <w:pPr>
              <w:spacing w:after="0"/>
              <w:rPr>
                <w:sz w:val="21"/>
                <w:szCs w:val="21"/>
                <w:color w:val="auto"/>
              </w:rPr>
            </w:pPr>
          </w:p>
        </w:tc>
        <w:tc>
          <w:tcPr>
            <w:tcW w:w="4280" w:type="dxa"/>
            <w:vAlign w:val="bottom"/>
            <w:tcBorders>
              <w:bottom w:val="single" w:sz="8" w:color="434F69"/>
              <w:right w:val="single" w:sz="8" w:color="434F69"/>
            </w:tcBorders>
          </w:tcPr>
          <w:p>
            <w:pPr>
              <w:spacing w:after="0"/>
              <w:rPr>
                <w:sz w:val="20"/>
                <w:szCs w:val="20"/>
                <w:color w:val="auto"/>
              </w:rPr>
            </w:pPr>
            <w:r>
              <w:rPr>
                <w:rFonts w:ascii="Arial" w:cs="Arial" w:eastAsia="Arial" w:hAnsi="Arial"/>
                <w:sz w:val="18"/>
                <w:szCs w:val="18"/>
                <w:color w:val="auto"/>
              </w:rPr>
              <w:t>Lawrence M. Ziemba</w:t>
            </w:r>
          </w:p>
        </w:tc>
        <w:tc>
          <w:tcPr>
            <w:tcW w:w="860" w:type="dxa"/>
            <w:vAlign w:val="bottom"/>
            <w:tcBorders>
              <w:bottom w:val="single" w:sz="8" w:color="434F69"/>
              <w:right w:val="single" w:sz="8" w:color="434F69"/>
            </w:tcBorders>
          </w:tcPr>
          <w:p>
            <w:pPr>
              <w:jc w:val="right"/>
              <w:ind w:right="75"/>
              <w:spacing w:after="0"/>
              <w:rPr>
                <w:sz w:val="20"/>
                <w:szCs w:val="20"/>
                <w:color w:val="auto"/>
              </w:rPr>
            </w:pPr>
            <w:r>
              <w:rPr>
                <w:rFonts w:ascii="Arial" w:cs="Arial" w:eastAsia="Arial" w:hAnsi="Arial"/>
                <w:sz w:val="18"/>
                <w:szCs w:val="18"/>
                <w:color w:val="auto"/>
              </w:rPr>
              <w:t>82,748</w:t>
            </w:r>
          </w:p>
        </w:tc>
        <w:tc>
          <w:tcPr>
            <w:tcW w:w="980" w:type="dxa"/>
            <w:vAlign w:val="bottom"/>
            <w:tcBorders>
              <w:bottom w:val="single" w:sz="8" w:color="434F69"/>
              <w:right w:val="single" w:sz="8" w:color="434F69"/>
            </w:tcBorders>
          </w:tcPr>
          <w:p>
            <w:pPr>
              <w:jc w:val="right"/>
              <w:ind w:right="133"/>
              <w:spacing w:after="0"/>
              <w:rPr>
                <w:sz w:val="20"/>
                <w:szCs w:val="20"/>
                <w:color w:val="auto"/>
              </w:rPr>
            </w:pPr>
            <w:r>
              <w:rPr>
                <w:rFonts w:ascii="Arial" w:cs="Arial" w:eastAsia="Arial" w:hAnsi="Arial"/>
                <w:sz w:val="18"/>
                <w:szCs w:val="18"/>
                <w:color w:val="auto"/>
              </w:rPr>
              <w:t>578,358</w:t>
            </w:r>
          </w:p>
        </w:tc>
        <w:tc>
          <w:tcPr>
            <w:tcW w:w="1260" w:type="dxa"/>
            <w:vAlign w:val="bottom"/>
            <w:tcBorders>
              <w:bottom w:val="single" w:sz="8" w:color="434F69"/>
              <w:right w:val="single" w:sz="8" w:color="434F69"/>
            </w:tcBorders>
          </w:tcPr>
          <w:p>
            <w:pPr>
              <w:jc w:val="right"/>
              <w:ind w:right="313"/>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434F69"/>
              <w:right w:val="single" w:sz="8" w:color="434F69"/>
            </w:tcBorders>
          </w:tcPr>
          <w:p>
            <w:pPr>
              <w:jc w:val="right"/>
              <w:spacing w:after="0"/>
              <w:rPr>
                <w:sz w:val="20"/>
                <w:szCs w:val="20"/>
                <w:color w:val="auto"/>
              </w:rPr>
            </w:pPr>
            <w:r>
              <w:rPr>
                <w:rFonts w:ascii="Arial" w:cs="Arial" w:eastAsia="Arial" w:hAnsi="Arial"/>
                <w:sz w:val="18"/>
                <w:szCs w:val="18"/>
                <w:color w:val="auto"/>
              </w:rPr>
              <w:t>661,106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1" w:lineRule="exact"/>
        <w:rPr>
          <w:sz w:val="20"/>
          <w:szCs w:val="20"/>
          <w:color w:val="auto"/>
        </w:rPr>
      </w:pPr>
    </w:p>
    <w:p>
      <w:pPr>
        <w:ind w:left="1620" w:right="439" w:hanging="360"/>
        <w:spacing w:after="0" w:line="254" w:lineRule="auto"/>
        <w:tabs>
          <w:tab w:leader="none" w:pos="1620" w:val="left"/>
        </w:tabs>
        <w:numPr>
          <w:ilvl w:val="0"/>
          <w:numId w:val="76"/>
        </w:numPr>
        <w:rPr>
          <w:rFonts w:ascii="Arial" w:cs="Arial" w:eastAsia="Arial" w:hAnsi="Arial"/>
          <w:sz w:val="26"/>
          <w:szCs w:val="26"/>
          <w:color w:val="auto"/>
          <w:vertAlign w:val="superscript"/>
        </w:rPr>
      </w:pPr>
      <w:r>
        <w:rPr>
          <w:rFonts w:ascii="Arial" w:cs="Arial" w:eastAsia="Arial" w:hAnsi="Arial"/>
          <w:sz w:val="17"/>
          <w:szCs w:val="17"/>
          <w:color w:val="auto"/>
        </w:rPr>
        <w:t>The dollar value of LTIPs granted during 2020 is based on the grant date fair value computed in accordance with FASB ASC Topic 718. See Note 18 to our Consolidated Financial Statements included in our 2020 Annual Report for additional discussion regarding the calculation of grant date fair values. In connection with their respective appointments to the Board during 2020, Mr. Ziemba received an LTIP award for 23,490 PAGP phantom Class A shares and Mr. McCarthy received an LTIP award for 10,622 PAGP phantom Class A shares. In August 2020, each of Messrs. Burk, Petersen, Raymond, Shackouls, Temple, Ziemba and Ms. Pruner received an annual LTIP award for 15,290 PAGP phantom Class A shares. See “— Long-Term Equity Awards” below for further information regarding LTIP awards granted to our non-employee directors. The aggregate number of outstanding LTIP awards held by our non-employee directors as of December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109220</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152" w:lineRule="exact"/>
        <w:rPr>
          <w:sz w:val="20"/>
          <w:szCs w:val="20"/>
          <w:color w:val="auto"/>
        </w:rPr>
      </w:pPr>
    </w:p>
    <w:tbl>
      <w:tblPr>
        <w:tblLayout w:type="fixed"/>
        <w:tblInd w:w="1630" w:type="dxa"/>
        <w:tblCellMar>
          <w:top w:w="0" w:type="dxa"/>
          <w:left w:w="0" w:type="dxa"/>
          <w:bottom w:w="0" w:type="dxa"/>
          <w:right w:w="0" w:type="dxa"/>
        </w:tblCellMar>
      </w:tblPr>
      <w:tr>
        <w:trPr>
          <w:trHeight w:val="262"/>
        </w:trPr>
        <w:tc>
          <w:tcPr>
            <w:tcW w:w="3340" w:type="dxa"/>
            <w:vAlign w:val="bottom"/>
            <w:tcBorders>
              <w:left w:val="single" w:sz="8" w:color="434F69"/>
              <w:bottom w:val="single" w:sz="8" w:color="434F69"/>
              <w:right w:val="single" w:sz="8" w:color="434F69"/>
            </w:tcBorders>
            <w:shd w:val="clear" w:color="auto" w:fill="434F69"/>
          </w:tcPr>
          <w:p>
            <w:pPr>
              <w:spacing w:after="0"/>
              <w:rPr>
                <w:sz w:val="22"/>
                <w:szCs w:val="22"/>
                <w:color w:val="auto"/>
              </w:rPr>
            </w:pPr>
          </w:p>
        </w:tc>
        <w:tc>
          <w:tcPr>
            <w:tcW w:w="4140" w:type="dxa"/>
            <w:vAlign w:val="bottom"/>
            <w:tcBorders>
              <w:bottom w:val="single" w:sz="8" w:color="434F69"/>
              <w:right w:val="single" w:sz="8" w:color="434F69"/>
            </w:tcBorders>
            <w:gridSpan w:val="4"/>
            <w:shd w:val="clear" w:color="auto" w:fill="434F69"/>
          </w:tcPr>
          <w:p>
            <w:pPr>
              <w:ind w:left="460"/>
              <w:spacing w:after="0"/>
              <w:rPr>
                <w:sz w:val="20"/>
                <w:szCs w:val="20"/>
                <w:color w:val="auto"/>
              </w:rPr>
            </w:pPr>
            <w:r>
              <w:rPr>
                <w:rFonts w:ascii="Arial" w:cs="Arial" w:eastAsia="Arial" w:hAnsi="Arial"/>
                <w:sz w:val="14"/>
                <w:szCs w:val="14"/>
                <w:b w:val="1"/>
                <w:bCs w:val="1"/>
                <w:color w:val="FFFFFF"/>
              </w:rPr>
              <w:t>Number of LTIP Awards Held as of December 31, 2020</w:t>
            </w:r>
          </w:p>
        </w:tc>
      </w:tr>
      <w:tr>
        <w:trPr>
          <w:trHeight w:val="146"/>
        </w:trPr>
        <w:tc>
          <w:tcPr>
            <w:tcW w:w="3340" w:type="dxa"/>
            <w:vAlign w:val="bottom"/>
            <w:tcBorders>
              <w:top w:val="single" w:sz="8" w:color="434F69"/>
              <w:left w:val="single" w:sz="8" w:color="434F69"/>
              <w:right w:val="single" w:sz="8" w:color="434F69"/>
            </w:tcBorders>
            <w:shd w:val="clear" w:color="auto" w:fill="434F69"/>
          </w:tcPr>
          <w:p>
            <w:pPr>
              <w:spacing w:after="0"/>
              <w:rPr>
                <w:sz w:val="12"/>
                <w:szCs w:val="12"/>
                <w:color w:val="auto"/>
              </w:rPr>
            </w:pPr>
          </w:p>
        </w:tc>
        <w:tc>
          <w:tcPr>
            <w:tcW w:w="1080" w:type="dxa"/>
            <w:vAlign w:val="bottom"/>
            <w:tcBorders>
              <w:top w:val="single" w:sz="8" w:color="auto"/>
              <w:right w:val="single" w:sz="8" w:color="434F69"/>
            </w:tcBorders>
            <w:shd w:val="clear" w:color="auto" w:fill="434F69"/>
          </w:tcPr>
          <w:p>
            <w:pPr>
              <w:jc w:val="right"/>
              <w:ind w:right="55"/>
              <w:spacing w:after="0" w:line="147" w:lineRule="exact"/>
              <w:rPr>
                <w:sz w:val="20"/>
                <w:szCs w:val="20"/>
                <w:color w:val="auto"/>
              </w:rPr>
            </w:pPr>
            <w:r>
              <w:rPr>
                <w:rFonts w:ascii="Arial" w:cs="Arial" w:eastAsia="Arial" w:hAnsi="Arial"/>
                <w:sz w:val="14"/>
                <w:szCs w:val="14"/>
                <w:b w:val="1"/>
                <w:bCs w:val="1"/>
                <w:color w:val="FFFFFF"/>
                <w:w w:val="98"/>
              </w:rPr>
              <w:t>PAA Phantom</w:t>
            </w:r>
          </w:p>
        </w:tc>
        <w:tc>
          <w:tcPr>
            <w:tcW w:w="960" w:type="dxa"/>
            <w:vAlign w:val="bottom"/>
            <w:tcBorders>
              <w:top w:val="single" w:sz="8" w:color="auto"/>
              <w:right w:val="single" w:sz="8" w:color="434F69"/>
            </w:tcBorders>
            <w:shd w:val="clear" w:color="auto" w:fill="434F69"/>
          </w:tcPr>
          <w:p>
            <w:pPr>
              <w:jc w:val="center"/>
              <w:spacing w:after="0" w:line="147" w:lineRule="exact"/>
              <w:rPr>
                <w:sz w:val="20"/>
                <w:szCs w:val="20"/>
                <w:color w:val="auto"/>
              </w:rPr>
            </w:pPr>
            <w:r>
              <w:rPr>
                <w:rFonts w:ascii="Arial" w:cs="Arial" w:eastAsia="Arial" w:hAnsi="Arial"/>
                <w:sz w:val="14"/>
                <w:szCs w:val="14"/>
                <w:b w:val="1"/>
                <w:bCs w:val="1"/>
                <w:color w:val="FFFFFF"/>
                <w:w w:val="82"/>
              </w:rPr>
              <w:t>Vesting</w:t>
            </w:r>
          </w:p>
        </w:tc>
        <w:tc>
          <w:tcPr>
            <w:tcW w:w="1200" w:type="dxa"/>
            <w:vAlign w:val="bottom"/>
            <w:tcBorders>
              <w:top w:val="single" w:sz="8" w:color="auto"/>
              <w:right w:val="single" w:sz="8" w:color="434F69"/>
            </w:tcBorders>
            <w:shd w:val="clear" w:color="auto" w:fill="434F69"/>
          </w:tcPr>
          <w:p>
            <w:pPr>
              <w:jc w:val="right"/>
              <w:ind w:right="72"/>
              <w:spacing w:after="0" w:line="147" w:lineRule="exact"/>
              <w:rPr>
                <w:sz w:val="20"/>
                <w:szCs w:val="20"/>
                <w:color w:val="auto"/>
              </w:rPr>
            </w:pPr>
            <w:r>
              <w:rPr>
                <w:rFonts w:ascii="Arial" w:cs="Arial" w:eastAsia="Arial" w:hAnsi="Arial"/>
                <w:sz w:val="14"/>
                <w:szCs w:val="14"/>
                <w:b w:val="1"/>
                <w:bCs w:val="1"/>
                <w:color w:val="FFFFFF"/>
                <w:w w:val="98"/>
              </w:rPr>
              <w:t>PAGP Phantom</w:t>
            </w:r>
          </w:p>
        </w:tc>
        <w:tc>
          <w:tcPr>
            <w:tcW w:w="900" w:type="dxa"/>
            <w:vAlign w:val="bottom"/>
            <w:tcBorders>
              <w:top w:val="single" w:sz="8" w:color="auto"/>
              <w:right w:val="single" w:sz="8" w:color="434F69"/>
            </w:tcBorders>
            <w:shd w:val="clear" w:color="auto" w:fill="434F69"/>
          </w:tcPr>
          <w:p>
            <w:pPr>
              <w:jc w:val="center"/>
              <w:spacing w:after="0" w:line="147" w:lineRule="exact"/>
              <w:rPr>
                <w:sz w:val="20"/>
                <w:szCs w:val="20"/>
                <w:color w:val="auto"/>
              </w:rPr>
            </w:pPr>
            <w:r>
              <w:rPr>
                <w:rFonts w:ascii="Arial" w:cs="Arial" w:eastAsia="Arial" w:hAnsi="Arial"/>
                <w:sz w:val="14"/>
                <w:szCs w:val="14"/>
                <w:b w:val="1"/>
                <w:bCs w:val="1"/>
                <w:color w:val="FFFFFF"/>
                <w:w w:val="86"/>
              </w:rPr>
              <w:t>Vesting</w:t>
            </w:r>
          </w:p>
        </w:tc>
      </w:tr>
      <w:tr>
        <w:trPr>
          <w:trHeight w:val="205"/>
        </w:trPr>
        <w:tc>
          <w:tcPr>
            <w:tcW w:w="334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Director Name:</w:t>
            </w:r>
          </w:p>
        </w:tc>
        <w:tc>
          <w:tcPr>
            <w:tcW w:w="1080" w:type="dxa"/>
            <w:vAlign w:val="bottom"/>
            <w:tcBorders>
              <w:bottom w:val="single" w:sz="8" w:color="434F69"/>
              <w:right w:val="single" w:sz="8" w:color="434F69"/>
            </w:tcBorders>
            <w:shd w:val="clear" w:color="auto" w:fill="434F69"/>
          </w:tcPr>
          <w:p>
            <w:pPr>
              <w:jc w:val="right"/>
              <w:ind w:right="315"/>
              <w:spacing w:after="0"/>
              <w:rPr>
                <w:sz w:val="20"/>
                <w:szCs w:val="20"/>
                <w:color w:val="auto"/>
              </w:rPr>
            </w:pPr>
            <w:r>
              <w:rPr>
                <w:rFonts w:ascii="Arial" w:cs="Arial" w:eastAsia="Arial" w:hAnsi="Arial"/>
                <w:sz w:val="14"/>
                <w:szCs w:val="14"/>
                <w:b w:val="1"/>
                <w:bCs w:val="1"/>
                <w:color w:val="FFFFFF"/>
              </w:rPr>
              <w:t>Units</w:t>
            </w:r>
          </w:p>
        </w:tc>
        <w:tc>
          <w:tcPr>
            <w:tcW w:w="9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Date</w:t>
            </w:r>
          </w:p>
        </w:tc>
        <w:tc>
          <w:tcPr>
            <w:tcW w:w="1200" w:type="dxa"/>
            <w:vAlign w:val="bottom"/>
            <w:tcBorders>
              <w:bottom w:val="single" w:sz="8" w:color="434F69"/>
              <w:right w:val="single" w:sz="8" w:color="434F69"/>
            </w:tcBorders>
            <w:shd w:val="clear" w:color="auto" w:fill="434F69"/>
          </w:tcPr>
          <w:p>
            <w:pPr>
              <w:jc w:val="right"/>
              <w:ind w:right="92"/>
              <w:spacing w:after="0"/>
              <w:rPr>
                <w:sz w:val="20"/>
                <w:szCs w:val="20"/>
                <w:color w:val="auto"/>
              </w:rPr>
            </w:pPr>
            <w:r>
              <w:rPr>
                <w:rFonts w:ascii="Arial" w:cs="Arial" w:eastAsia="Arial" w:hAnsi="Arial"/>
                <w:sz w:val="14"/>
                <w:szCs w:val="14"/>
                <w:b w:val="1"/>
                <w:bCs w:val="1"/>
                <w:color w:val="FFFFFF"/>
                <w:w w:val="98"/>
              </w:rPr>
              <w:t>Class A Shares</w:t>
            </w:r>
          </w:p>
        </w:tc>
        <w:tc>
          <w:tcPr>
            <w:tcW w:w="90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Date</w:t>
            </w:r>
          </w:p>
        </w:tc>
      </w:tr>
      <w:tr>
        <w:trPr>
          <w:trHeight w:val="243"/>
        </w:trPr>
        <w:tc>
          <w:tcPr>
            <w:tcW w:w="33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Burk</w:t>
            </w:r>
          </w:p>
        </w:tc>
        <w:tc>
          <w:tcPr>
            <w:tcW w:w="10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5,000</w:t>
            </w:r>
          </w:p>
        </w:tc>
        <w:tc>
          <w:tcPr>
            <w:tcW w:w="96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5"/>
              </w:rPr>
              <w:t>Aug 2021</w:t>
            </w:r>
          </w:p>
        </w:tc>
        <w:tc>
          <w:tcPr>
            <w:tcW w:w="1200" w:type="dxa"/>
            <w:vAlign w:val="bottom"/>
            <w:tcBorders>
              <w:bottom w:val="single" w:sz="8" w:color="434F69"/>
              <w:right w:val="single" w:sz="8" w:color="434F69"/>
            </w:tcBorders>
          </w:tcPr>
          <w:p>
            <w:pPr>
              <w:jc w:val="right"/>
              <w:ind w:right="272"/>
              <w:spacing w:after="0"/>
              <w:rPr>
                <w:sz w:val="20"/>
                <w:szCs w:val="20"/>
                <w:color w:val="auto"/>
              </w:rPr>
            </w:pPr>
            <w:r>
              <w:rPr>
                <w:rFonts w:ascii="Arial" w:cs="Arial" w:eastAsia="Arial" w:hAnsi="Arial"/>
                <w:sz w:val="18"/>
                <w:szCs w:val="18"/>
                <w:color w:val="auto"/>
              </w:rPr>
              <w:t>4,879</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5"/>
              </w:rPr>
              <w:t>Aug 2022</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5,220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2023</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15,290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2024</w:t>
            </w:r>
          </w:p>
        </w:tc>
      </w:tr>
      <w:tr>
        <w:trPr>
          <w:trHeight w:val="196"/>
        </w:trPr>
        <w:tc>
          <w:tcPr>
            <w:tcW w:w="3340" w:type="dxa"/>
            <w:vAlign w:val="bottom"/>
            <w:tcBorders>
              <w:left w:val="single" w:sz="8" w:color="434F69"/>
              <w:bottom w:val="single" w:sz="8" w:color="434F69"/>
              <w:right w:val="single" w:sz="8" w:color="434F69"/>
            </w:tcBorders>
            <w:shd w:val="clear" w:color="auto" w:fill="D9DCE1"/>
          </w:tcPr>
          <w:p>
            <w:pPr>
              <w:ind w:left="240"/>
              <w:spacing w:after="0" w:line="196" w:lineRule="exact"/>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434F69"/>
              <w:right w:val="single" w:sz="8" w:color="434F69"/>
            </w:tcBorders>
            <w:shd w:val="clear" w:color="auto" w:fill="D9DCE1"/>
          </w:tcPr>
          <w:p>
            <w:pPr>
              <w:jc w:val="right"/>
              <w:ind w:right="275"/>
              <w:spacing w:after="0" w:line="196" w:lineRule="exact"/>
              <w:rPr>
                <w:sz w:val="20"/>
                <w:szCs w:val="20"/>
                <w:color w:val="auto"/>
              </w:rPr>
            </w:pPr>
            <w:r>
              <w:rPr>
                <w:rFonts w:ascii="Arial" w:cs="Arial" w:eastAsia="Arial" w:hAnsi="Arial"/>
                <w:sz w:val="18"/>
                <w:szCs w:val="18"/>
                <w:b w:val="1"/>
                <w:bCs w:val="1"/>
                <w:color w:val="auto"/>
              </w:rPr>
              <w:t>5,000</w:t>
            </w:r>
          </w:p>
        </w:tc>
        <w:tc>
          <w:tcPr>
            <w:tcW w:w="960" w:type="dxa"/>
            <w:vAlign w:val="bottom"/>
            <w:tcBorders>
              <w:bottom w:val="single" w:sz="8" w:color="434F69"/>
              <w:right w:val="single" w:sz="8" w:color="434F69"/>
            </w:tcBorders>
            <w:shd w:val="clear" w:color="auto" w:fill="D9DCE1"/>
          </w:tcPr>
          <w:p>
            <w:pPr>
              <w:spacing w:after="0"/>
              <w:rPr>
                <w:sz w:val="17"/>
                <w:szCs w:val="17"/>
                <w:color w:val="auto"/>
              </w:rPr>
            </w:pPr>
          </w:p>
        </w:tc>
        <w:tc>
          <w:tcPr>
            <w:tcW w:w="1200" w:type="dxa"/>
            <w:vAlign w:val="bottom"/>
            <w:tcBorders>
              <w:bottom w:val="single" w:sz="8" w:color="434F69"/>
              <w:right w:val="single" w:sz="8" w:color="434F69"/>
            </w:tcBorders>
            <w:shd w:val="clear" w:color="auto" w:fill="D9DCE1"/>
          </w:tcPr>
          <w:p>
            <w:pPr>
              <w:jc w:val="right"/>
              <w:ind w:right="272"/>
              <w:spacing w:after="0" w:line="196" w:lineRule="exact"/>
              <w:rPr>
                <w:sz w:val="20"/>
                <w:szCs w:val="20"/>
                <w:color w:val="auto"/>
              </w:rPr>
            </w:pPr>
            <w:r>
              <w:rPr>
                <w:rFonts w:ascii="Arial" w:cs="Arial" w:eastAsia="Arial" w:hAnsi="Arial"/>
                <w:sz w:val="18"/>
                <w:szCs w:val="18"/>
                <w:b w:val="1"/>
                <w:bCs w:val="1"/>
                <w:color w:val="auto"/>
              </w:rPr>
              <w:t>25,389</w:t>
            </w:r>
          </w:p>
        </w:tc>
        <w:tc>
          <w:tcPr>
            <w:tcW w:w="900" w:type="dxa"/>
            <w:vAlign w:val="bottom"/>
            <w:tcBorders>
              <w:bottom w:val="single" w:sz="8" w:color="434F69"/>
              <w:right w:val="single" w:sz="8" w:color="434F69"/>
            </w:tcBorders>
            <w:shd w:val="clear" w:color="auto" w:fill="D9DCE1"/>
          </w:tcPr>
          <w:p>
            <w:pPr>
              <w:spacing w:after="0"/>
              <w:rPr>
                <w:sz w:val="17"/>
                <w:szCs w:val="17"/>
                <w:color w:val="auto"/>
              </w:rPr>
            </w:pPr>
          </w:p>
        </w:tc>
      </w:tr>
      <w:tr>
        <w:trPr>
          <w:trHeight w:val="196"/>
        </w:trPr>
        <w:tc>
          <w:tcPr>
            <w:tcW w:w="3340" w:type="dxa"/>
            <w:vAlign w:val="bottom"/>
            <w:tcBorders>
              <w:left w:val="single" w:sz="8" w:color="434F69"/>
              <w:bottom w:val="single" w:sz="8" w:color="434F69"/>
              <w:right w:val="single" w:sz="8" w:color="434F69"/>
            </w:tcBorders>
          </w:tcPr>
          <w:p>
            <w:pPr>
              <w:ind w:left="60"/>
              <w:spacing w:after="0" w:line="196" w:lineRule="exact"/>
              <w:rPr>
                <w:sz w:val="20"/>
                <w:szCs w:val="20"/>
                <w:color w:val="auto"/>
              </w:rPr>
            </w:pPr>
            <w:r>
              <w:rPr>
                <w:rFonts w:ascii="Arial" w:cs="Arial" w:eastAsia="Arial" w:hAnsi="Arial"/>
                <w:sz w:val="18"/>
                <w:szCs w:val="18"/>
                <w:color w:val="auto"/>
              </w:rPr>
              <w:t>McCarthy</w:t>
            </w:r>
          </w:p>
        </w:tc>
        <w:tc>
          <w:tcPr>
            <w:tcW w:w="1080" w:type="dxa"/>
            <w:vAlign w:val="bottom"/>
            <w:tcBorders>
              <w:bottom w:val="single" w:sz="8" w:color="434F69"/>
              <w:right w:val="single" w:sz="8" w:color="434F69"/>
            </w:tcBorders>
          </w:tcPr>
          <w:p>
            <w:pPr>
              <w:jc w:val="right"/>
              <w:ind w:right="275"/>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10,622</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2024</w:t>
            </w:r>
          </w:p>
        </w:tc>
      </w:tr>
      <w:tr>
        <w:trPr>
          <w:trHeight w:val="196"/>
        </w:trPr>
        <w:tc>
          <w:tcPr>
            <w:tcW w:w="3340" w:type="dxa"/>
            <w:vAlign w:val="bottom"/>
            <w:tcBorders>
              <w:left w:val="single" w:sz="8" w:color="434F69"/>
              <w:bottom w:val="single" w:sz="8" w:color="434F69"/>
              <w:right w:val="single" w:sz="8" w:color="434F69"/>
            </w:tcBorders>
            <w:shd w:val="clear" w:color="auto" w:fill="D9DCE1"/>
          </w:tcPr>
          <w:p>
            <w:pPr>
              <w:ind w:left="240"/>
              <w:spacing w:after="0" w:line="196" w:lineRule="exact"/>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434F69"/>
              <w:right w:val="single" w:sz="8" w:color="434F69"/>
            </w:tcBorders>
            <w:shd w:val="clear" w:color="auto" w:fill="D9DCE1"/>
          </w:tcPr>
          <w:p>
            <w:pPr>
              <w:jc w:val="right"/>
              <w:ind w:right="275"/>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434F69"/>
              <w:right w:val="single" w:sz="8" w:color="434F69"/>
            </w:tcBorders>
            <w:shd w:val="clear" w:color="auto" w:fill="D9DCE1"/>
          </w:tcPr>
          <w:p>
            <w:pPr>
              <w:spacing w:after="0"/>
              <w:rPr>
                <w:sz w:val="17"/>
                <w:szCs w:val="17"/>
                <w:color w:val="auto"/>
              </w:rPr>
            </w:pPr>
          </w:p>
        </w:tc>
        <w:tc>
          <w:tcPr>
            <w:tcW w:w="1200" w:type="dxa"/>
            <w:vAlign w:val="bottom"/>
            <w:tcBorders>
              <w:bottom w:val="single" w:sz="8" w:color="434F69"/>
              <w:right w:val="single" w:sz="8" w:color="434F69"/>
            </w:tcBorders>
            <w:shd w:val="clear" w:color="auto" w:fill="D9DCE1"/>
          </w:tcPr>
          <w:p>
            <w:pPr>
              <w:jc w:val="right"/>
              <w:ind w:right="272"/>
              <w:spacing w:after="0" w:line="196" w:lineRule="exact"/>
              <w:rPr>
                <w:sz w:val="20"/>
                <w:szCs w:val="20"/>
                <w:color w:val="auto"/>
              </w:rPr>
            </w:pPr>
            <w:r>
              <w:rPr>
                <w:rFonts w:ascii="Arial" w:cs="Arial" w:eastAsia="Arial" w:hAnsi="Arial"/>
                <w:sz w:val="18"/>
                <w:szCs w:val="18"/>
                <w:b w:val="1"/>
                <w:bCs w:val="1"/>
                <w:color w:val="auto"/>
              </w:rPr>
              <w:t>10,622</w:t>
            </w:r>
          </w:p>
        </w:tc>
        <w:tc>
          <w:tcPr>
            <w:tcW w:w="900" w:type="dxa"/>
            <w:vAlign w:val="bottom"/>
            <w:tcBorders>
              <w:bottom w:val="single" w:sz="8" w:color="434F69"/>
              <w:right w:val="single" w:sz="8" w:color="434F69"/>
            </w:tcBorders>
            <w:shd w:val="clear" w:color="auto" w:fill="D9DCE1"/>
          </w:tcPr>
          <w:p>
            <w:pPr>
              <w:spacing w:after="0"/>
              <w:rPr>
                <w:sz w:val="17"/>
                <w:szCs w:val="17"/>
                <w:color w:val="auto"/>
              </w:rPr>
            </w:pPr>
          </w:p>
        </w:tc>
      </w:tr>
      <w:tr>
        <w:trPr>
          <w:trHeight w:val="196"/>
        </w:trPr>
        <w:tc>
          <w:tcPr>
            <w:tcW w:w="3340" w:type="dxa"/>
            <w:vAlign w:val="bottom"/>
            <w:tcBorders>
              <w:left w:val="single" w:sz="8" w:color="434F69"/>
              <w:bottom w:val="single" w:sz="8" w:color="434F69"/>
              <w:right w:val="single" w:sz="8" w:color="434F69"/>
            </w:tcBorders>
          </w:tcPr>
          <w:p>
            <w:pPr>
              <w:ind w:left="60"/>
              <w:spacing w:after="0" w:line="196" w:lineRule="exact"/>
              <w:rPr>
                <w:sz w:val="20"/>
                <w:szCs w:val="20"/>
                <w:color w:val="auto"/>
              </w:rPr>
            </w:pPr>
            <w:r>
              <w:rPr>
                <w:rFonts w:ascii="Arial" w:cs="Arial" w:eastAsia="Arial" w:hAnsi="Arial"/>
                <w:sz w:val="18"/>
                <w:szCs w:val="18"/>
                <w:color w:val="auto"/>
              </w:rPr>
              <w:t>Petersen</w:t>
            </w:r>
          </w:p>
        </w:tc>
        <w:tc>
          <w:tcPr>
            <w:tcW w:w="1080" w:type="dxa"/>
            <w:vAlign w:val="bottom"/>
            <w:tcBorders>
              <w:bottom w:val="single" w:sz="8" w:color="434F69"/>
              <w:right w:val="single" w:sz="8" w:color="434F69"/>
            </w:tcBorders>
          </w:tcPr>
          <w:p>
            <w:pPr>
              <w:jc w:val="right"/>
              <w:ind w:right="275"/>
              <w:spacing w:after="0" w:line="196" w:lineRule="exact"/>
              <w:rPr>
                <w:sz w:val="20"/>
                <w:szCs w:val="20"/>
                <w:color w:val="auto"/>
              </w:rPr>
            </w:pPr>
            <w:r>
              <w:rPr>
                <w:rFonts w:ascii="Arial" w:cs="Arial" w:eastAsia="Arial" w:hAnsi="Arial"/>
                <w:sz w:val="18"/>
                <w:szCs w:val="18"/>
                <w:color w:val="auto"/>
              </w:rPr>
              <w:t>3,750</w:t>
            </w:r>
          </w:p>
        </w:tc>
        <w:tc>
          <w:tcPr>
            <w:tcW w:w="96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2021</w:t>
            </w: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4,879</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2022</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5,220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2023</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15,290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2024</w:t>
            </w:r>
          </w:p>
        </w:tc>
      </w:tr>
      <w:tr>
        <w:trPr>
          <w:trHeight w:val="196"/>
        </w:trPr>
        <w:tc>
          <w:tcPr>
            <w:tcW w:w="3340" w:type="dxa"/>
            <w:vAlign w:val="bottom"/>
            <w:tcBorders>
              <w:left w:val="single" w:sz="8" w:color="434F69"/>
              <w:bottom w:val="single" w:sz="8" w:color="434F69"/>
              <w:right w:val="single" w:sz="8" w:color="434F69"/>
            </w:tcBorders>
            <w:shd w:val="clear" w:color="auto" w:fill="D9DCE1"/>
          </w:tcPr>
          <w:p>
            <w:pPr>
              <w:ind w:left="240"/>
              <w:spacing w:after="0" w:line="196" w:lineRule="exact"/>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434F69"/>
              <w:right w:val="single" w:sz="8" w:color="434F69"/>
            </w:tcBorders>
            <w:shd w:val="clear" w:color="auto" w:fill="D9DCE1"/>
          </w:tcPr>
          <w:p>
            <w:pPr>
              <w:jc w:val="right"/>
              <w:ind w:right="275"/>
              <w:spacing w:after="0" w:line="196" w:lineRule="exact"/>
              <w:rPr>
                <w:sz w:val="20"/>
                <w:szCs w:val="20"/>
                <w:color w:val="auto"/>
              </w:rPr>
            </w:pPr>
            <w:r>
              <w:rPr>
                <w:rFonts w:ascii="Arial" w:cs="Arial" w:eastAsia="Arial" w:hAnsi="Arial"/>
                <w:sz w:val="18"/>
                <w:szCs w:val="18"/>
                <w:b w:val="1"/>
                <w:bCs w:val="1"/>
                <w:color w:val="auto"/>
              </w:rPr>
              <w:t>3,750</w:t>
            </w:r>
          </w:p>
        </w:tc>
        <w:tc>
          <w:tcPr>
            <w:tcW w:w="960" w:type="dxa"/>
            <w:vAlign w:val="bottom"/>
            <w:tcBorders>
              <w:bottom w:val="single" w:sz="8" w:color="434F69"/>
              <w:right w:val="single" w:sz="8" w:color="434F69"/>
            </w:tcBorders>
            <w:shd w:val="clear" w:color="auto" w:fill="D9DCE1"/>
          </w:tcPr>
          <w:p>
            <w:pPr>
              <w:spacing w:after="0"/>
              <w:rPr>
                <w:sz w:val="17"/>
                <w:szCs w:val="17"/>
                <w:color w:val="auto"/>
              </w:rPr>
            </w:pPr>
          </w:p>
        </w:tc>
        <w:tc>
          <w:tcPr>
            <w:tcW w:w="1200" w:type="dxa"/>
            <w:vAlign w:val="bottom"/>
            <w:tcBorders>
              <w:bottom w:val="single" w:sz="8" w:color="434F69"/>
              <w:right w:val="single" w:sz="8" w:color="434F69"/>
            </w:tcBorders>
            <w:shd w:val="clear" w:color="auto" w:fill="D9DCE1"/>
          </w:tcPr>
          <w:p>
            <w:pPr>
              <w:jc w:val="right"/>
              <w:ind w:right="272"/>
              <w:spacing w:after="0" w:line="196" w:lineRule="exact"/>
              <w:rPr>
                <w:sz w:val="20"/>
                <w:szCs w:val="20"/>
                <w:color w:val="auto"/>
              </w:rPr>
            </w:pPr>
            <w:r>
              <w:rPr>
                <w:rFonts w:ascii="Arial" w:cs="Arial" w:eastAsia="Arial" w:hAnsi="Arial"/>
                <w:sz w:val="18"/>
                <w:szCs w:val="18"/>
                <w:b w:val="1"/>
                <w:bCs w:val="1"/>
                <w:color w:val="auto"/>
              </w:rPr>
              <w:t>25,389</w:t>
            </w:r>
          </w:p>
        </w:tc>
        <w:tc>
          <w:tcPr>
            <w:tcW w:w="900" w:type="dxa"/>
            <w:vAlign w:val="bottom"/>
            <w:tcBorders>
              <w:bottom w:val="single" w:sz="8" w:color="434F69"/>
              <w:right w:val="single" w:sz="8" w:color="434F69"/>
            </w:tcBorders>
            <w:shd w:val="clear" w:color="auto" w:fill="D9DCE1"/>
          </w:tcPr>
          <w:p>
            <w:pPr>
              <w:spacing w:after="0"/>
              <w:rPr>
                <w:sz w:val="17"/>
                <w:szCs w:val="17"/>
                <w:color w:val="auto"/>
              </w:rPr>
            </w:pPr>
          </w:p>
        </w:tc>
      </w:tr>
      <w:tr>
        <w:trPr>
          <w:trHeight w:val="196"/>
        </w:trPr>
        <w:tc>
          <w:tcPr>
            <w:tcW w:w="3340" w:type="dxa"/>
            <w:vAlign w:val="bottom"/>
            <w:tcBorders>
              <w:left w:val="single" w:sz="8" w:color="434F69"/>
              <w:bottom w:val="single" w:sz="8" w:color="434F69"/>
              <w:right w:val="single" w:sz="8" w:color="434F69"/>
            </w:tcBorders>
          </w:tcPr>
          <w:p>
            <w:pPr>
              <w:ind w:left="60"/>
              <w:spacing w:after="0" w:line="196" w:lineRule="exact"/>
              <w:rPr>
                <w:sz w:val="20"/>
                <w:szCs w:val="20"/>
                <w:color w:val="auto"/>
              </w:rPr>
            </w:pPr>
            <w:r>
              <w:rPr>
                <w:rFonts w:ascii="Arial" w:cs="Arial" w:eastAsia="Arial" w:hAnsi="Arial"/>
                <w:sz w:val="18"/>
                <w:szCs w:val="18"/>
                <w:color w:val="auto"/>
              </w:rPr>
              <w:t>Pruner</w:t>
            </w:r>
          </w:p>
        </w:tc>
        <w:tc>
          <w:tcPr>
            <w:tcW w:w="1080" w:type="dxa"/>
            <w:vAlign w:val="bottom"/>
            <w:tcBorders>
              <w:bottom w:val="single" w:sz="8" w:color="434F69"/>
              <w:right w:val="single" w:sz="8" w:color="434F69"/>
            </w:tcBorders>
          </w:tcPr>
          <w:p>
            <w:pPr>
              <w:jc w:val="right"/>
              <w:ind w:right="275"/>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5,816</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2021</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5,816</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2022</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5,220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2023</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15,290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2024</w:t>
            </w:r>
          </w:p>
        </w:tc>
      </w:tr>
      <w:tr>
        <w:trPr>
          <w:trHeight w:val="196"/>
        </w:trPr>
        <w:tc>
          <w:tcPr>
            <w:tcW w:w="3340" w:type="dxa"/>
            <w:vAlign w:val="bottom"/>
            <w:tcBorders>
              <w:left w:val="single" w:sz="8" w:color="434F69"/>
              <w:bottom w:val="single" w:sz="8" w:color="434F69"/>
              <w:right w:val="single" w:sz="8" w:color="434F69"/>
            </w:tcBorders>
            <w:shd w:val="clear" w:color="auto" w:fill="D9DCE1"/>
          </w:tcPr>
          <w:p>
            <w:pPr>
              <w:ind w:left="240"/>
              <w:spacing w:after="0" w:line="196" w:lineRule="exact"/>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434F69"/>
              <w:right w:val="single" w:sz="8" w:color="434F69"/>
            </w:tcBorders>
            <w:shd w:val="clear" w:color="auto" w:fill="D9DCE1"/>
          </w:tcPr>
          <w:p>
            <w:pPr>
              <w:jc w:val="right"/>
              <w:ind w:right="275"/>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434F69"/>
              <w:right w:val="single" w:sz="8" w:color="434F69"/>
            </w:tcBorders>
            <w:shd w:val="clear" w:color="auto" w:fill="D9DCE1"/>
          </w:tcPr>
          <w:p>
            <w:pPr>
              <w:spacing w:after="0"/>
              <w:rPr>
                <w:sz w:val="17"/>
                <w:szCs w:val="17"/>
                <w:color w:val="auto"/>
              </w:rPr>
            </w:pPr>
          </w:p>
        </w:tc>
        <w:tc>
          <w:tcPr>
            <w:tcW w:w="1200" w:type="dxa"/>
            <w:vAlign w:val="bottom"/>
            <w:tcBorders>
              <w:bottom w:val="single" w:sz="8" w:color="434F69"/>
              <w:right w:val="single" w:sz="8" w:color="434F69"/>
            </w:tcBorders>
            <w:shd w:val="clear" w:color="auto" w:fill="D9DCE1"/>
          </w:tcPr>
          <w:p>
            <w:pPr>
              <w:jc w:val="right"/>
              <w:ind w:right="272"/>
              <w:spacing w:after="0" w:line="196" w:lineRule="exact"/>
              <w:rPr>
                <w:sz w:val="20"/>
                <w:szCs w:val="20"/>
                <w:color w:val="auto"/>
              </w:rPr>
            </w:pPr>
            <w:r>
              <w:rPr>
                <w:rFonts w:ascii="Arial" w:cs="Arial" w:eastAsia="Arial" w:hAnsi="Arial"/>
                <w:sz w:val="18"/>
                <w:szCs w:val="18"/>
                <w:b w:val="1"/>
                <w:bCs w:val="1"/>
                <w:color w:val="auto"/>
              </w:rPr>
              <w:t>32,142</w:t>
            </w:r>
          </w:p>
        </w:tc>
        <w:tc>
          <w:tcPr>
            <w:tcW w:w="900" w:type="dxa"/>
            <w:vAlign w:val="bottom"/>
            <w:tcBorders>
              <w:bottom w:val="single" w:sz="8" w:color="434F69"/>
              <w:right w:val="single" w:sz="8" w:color="434F69"/>
            </w:tcBorders>
            <w:shd w:val="clear" w:color="auto" w:fill="D9DCE1"/>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528955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630" w:type="dxa"/>
        <w:tblCellMar>
          <w:top w:w="0" w:type="dxa"/>
          <w:left w:w="0" w:type="dxa"/>
          <w:bottom w:w="0" w:type="dxa"/>
          <w:right w:w="0" w:type="dxa"/>
        </w:tblCellMar>
      </w:tblPr>
      <w:tr>
        <w:trPr>
          <w:trHeight w:val="248"/>
        </w:trPr>
        <w:tc>
          <w:tcPr>
            <w:tcW w:w="3340" w:type="dxa"/>
            <w:vAlign w:val="bottom"/>
            <w:tcBorders>
              <w:left w:val="single" w:sz="8" w:color="434F69"/>
              <w:bottom w:val="single" w:sz="8" w:color="434F69"/>
              <w:right w:val="single" w:sz="8" w:color="434F69"/>
            </w:tcBorders>
            <w:shd w:val="clear" w:color="auto" w:fill="434F69"/>
          </w:tcPr>
          <w:p>
            <w:pPr>
              <w:spacing w:after="0"/>
              <w:rPr>
                <w:sz w:val="21"/>
                <w:szCs w:val="21"/>
                <w:color w:val="auto"/>
              </w:rPr>
            </w:pPr>
          </w:p>
        </w:tc>
        <w:tc>
          <w:tcPr>
            <w:tcW w:w="4140" w:type="dxa"/>
            <w:vAlign w:val="bottom"/>
            <w:tcBorders>
              <w:bottom w:val="single" w:sz="8" w:color="434F69"/>
              <w:right w:val="single" w:sz="8" w:color="434F69"/>
            </w:tcBorders>
            <w:gridSpan w:val="4"/>
            <w:shd w:val="clear" w:color="auto" w:fill="434F69"/>
          </w:tcPr>
          <w:p>
            <w:pPr>
              <w:ind w:left="460"/>
              <w:spacing w:after="0"/>
              <w:rPr>
                <w:sz w:val="20"/>
                <w:szCs w:val="20"/>
                <w:color w:val="auto"/>
              </w:rPr>
            </w:pPr>
            <w:r>
              <w:rPr>
                <w:rFonts w:ascii="Arial" w:cs="Arial" w:eastAsia="Arial" w:hAnsi="Arial"/>
                <w:sz w:val="14"/>
                <w:szCs w:val="14"/>
                <w:b w:val="1"/>
                <w:bCs w:val="1"/>
                <w:color w:val="FFFFFF"/>
              </w:rPr>
              <w:t>Number of LTIP Awards Held as of December 31, 2020</w:t>
            </w:r>
          </w:p>
        </w:tc>
      </w:tr>
      <w:tr>
        <w:trPr>
          <w:trHeight w:val="160"/>
        </w:trPr>
        <w:tc>
          <w:tcPr>
            <w:tcW w:w="3340" w:type="dxa"/>
            <w:vAlign w:val="bottom"/>
            <w:tcBorders>
              <w:top w:val="single" w:sz="8" w:color="434F69"/>
              <w:left w:val="single" w:sz="8" w:color="434F69"/>
              <w:right w:val="single" w:sz="8" w:color="434F69"/>
            </w:tcBorders>
            <w:shd w:val="clear" w:color="auto" w:fill="434F69"/>
          </w:tcPr>
          <w:p>
            <w:pPr>
              <w:spacing w:after="0"/>
              <w:rPr>
                <w:sz w:val="13"/>
                <w:szCs w:val="13"/>
                <w:color w:val="auto"/>
              </w:rPr>
            </w:pPr>
          </w:p>
        </w:tc>
        <w:tc>
          <w:tcPr>
            <w:tcW w:w="1080" w:type="dxa"/>
            <w:vAlign w:val="bottom"/>
            <w:tcBorders>
              <w:top w:val="single" w:sz="8" w:color="auto"/>
              <w:right w:val="single" w:sz="8" w:color="434F69"/>
            </w:tcBorders>
            <w:shd w:val="clear" w:color="auto" w:fill="434F69"/>
          </w:tcPr>
          <w:p>
            <w:pPr>
              <w:jc w:val="right"/>
              <w:ind w:right="55"/>
              <w:spacing w:after="0" w:line="160" w:lineRule="exact"/>
              <w:rPr>
                <w:sz w:val="20"/>
                <w:szCs w:val="20"/>
                <w:color w:val="auto"/>
              </w:rPr>
            </w:pPr>
            <w:r>
              <w:rPr>
                <w:rFonts w:ascii="Arial" w:cs="Arial" w:eastAsia="Arial" w:hAnsi="Arial"/>
                <w:sz w:val="14"/>
                <w:szCs w:val="14"/>
                <w:b w:val="1"/>
                <w:bCs w:val="1"/>
                <w:color w:val="FFFFFF"/>
                <w:w w:val="98"/>
              </w:rPr>
              <w:t>PAA Phantom</w:t>
            </w:r>
          </w:p>
        </w:tc>
        <w:tc>
          <w:tcPr>
            <w:tcW w:w="960" w:type="dxa"/>
            <w:vAlign w:val="bottom"/>
            <w:tcBorders>
              <w:top w:val="single" w:sz="8" w:color="auto"/>
              <w:right w:val="single" w:sz="8" w:color="434F69"/>
            </w:tcBorders>
            <w:shd w:val="clear" w:color="auto" w:fill="434F69"/>
          </w:tcPr>
          <w:p>
            <w:pPr>
              <w:jc w:val="center"/>
              <w:spacing w:after="0" w:line="160" w:lineRule="exact"/>
              <w:rPr>
                <w:sz w:val="20"/>
                <w:szCs w:val="20"/>
                <w:color w:val="auto"/>
              </w:rPr>
            </w:pPr>
            <w:r>
              <w:rPr>
                <w:rFonts w:ascii="Arial" w:cs="Arial" w:eastAsia="Arial" w:hAnsi="Arial"/>
                <w:sz w:val="14"/>
                <w:szCs w:val="14"/>
                <w:b w:val="1"/>
                <w:bCs w:val="1"/>
                <w:color w:val="FFFFFF"/>
                <w:w w:val="82"/>
              </w:rPr>
              <w:t>Vesting</w:t>
            </w:r>
          </w:p>
        </w:tc>
        <w:tc>
          <w:tcPr>
            <w:tcW w:w="1200" w:type="dxa"/>
            <w:vAlign w:val="bottom"/>
            <w:tcBorders>
              <w:top w:val="single" w:sz="8" w:color="auto"/>
              <w:right w:val="single" w:sz="8" w:color="434F69"/>
            </w:tcBorders>
            <w:shd w:val="clear" w:color="auto" w:fill="434F69"/>
          </w:tcPr>
          <w:p>
            <w:pPr>
              <w:jc w:val="right"/>
              <w:ind w:right="72"/>
              <w:spacing w:after="0" w:line="160" w:lineRule="exact"/>
              <w:rPr>
                <w:sz w:val="20"/>
                <w:szCs w:val="20"/>
                <w:color w:val="auto"/>
              </w:rPr>
            </w:pPr>
            <w:r>
              <w:rPr>
                <w:rFonts w:ascii="Arial" w:cs="Arial" w:eastAsia="Arial" w:hAnsi="Arial"/>
                <w:sz w:val="14"/>
                <w:szCs w:val="14"/>
                <w:b w:val="1"/>
                <w:bCs w:val="1"/>
                <w:color w:val="FFFFFF"/>
                <w:w w:val="98"/>
              </w:rPr>
              <w:t>PAGP Phantom</w:t>
            </w:r>
          </w:p>
        </w:tc>
        <w:tc>
          <w:tcPr>
            <w:tcW w:w="900" w:type="dxa"/>
            <w:vAlign w:val="bottom"/>
            <w:tcBorders>
              <w:top w:val="single" w:sz="8" w:color="auto"/>
              <w:right w:val="single" w:sz="8" w:color="434F69"/>
            </w:tcBorders>
            <w:shd w:val="clear" w:color="auto" w:fill="434F69"/>
          </w:tcPr>
          <w:p>
            <w:pPr>
              <w:jc w:val="center"/>
              <w:spacing w:after="0" w:line="160" w:lineRule="exact"/>
              <w:rPr>
                <w:sz w:val="20"/>
                <w:szCs w:val="20"/>
                <w:color w:val="auto"/>
              </w:rPr>
            </w:pPr>
            <w:r>
              <w:rPr>
                <w:rFonts w:ascii="Arial" w:cs="Arial" w:eastAsia="Arial" w:hAnsi="Arial"/>
                <w:sz w:val="14"/>
                <w:szCs w:val="14"/>
                <w:b w:val="1"/>
                <w:bCs w:val="1"/>
                <w:color w:val="FFFFFF"/>
                <w:w w:val="86"/>
              </w:rPr>
              <w:t>Vesting</w:t>
            </w:r>
          </w:p>
        </w:tc>
      </w:tr>
      <w:tr>
        <w:trPr>
          <w:trHeight w:val="205"/>
        </w:trPr>
        <w:tc>
          <w:tcPr>
            <w:tcW w:w="3340" w:type="dxa"/>
            <w:vAlign w:val="bottom"/>
            <w:tcBorders>
              <w:left w:val="single" w:sz="8" w:color="434F69"/>
              <w:bottom w:val="single" w:sz="8" w:color="434F69"/>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Director Name:</w:t>
            </w:r>
          </w:p>
        </w:tc>
        <w:tc>
          <w:tcPr>
            <w:tcW w:w="1080" w:type="dxa"/>
            <w:vAlign w:val="bottom"/>
            <w:tcBorders>
              <w:bottom w:val="single" w:sz="8" w:color="434F69"/>
              <w:right w:val="single" w:sz="8" w:color="434F69"/>
            </w:tcBorders>
            <w:shd w:val="clear" w:color="auto" w:fill="434F69"/>
          </w:tcPr>
          <w:p>
            <w:pPr>
              <w:jc w:val="right"/>
              <w:ind w:right="315"/>
              <w:spacing w:after="0"/>
              <w:rPr>
                <w:sz w:val="20"/>
                <w:szCs w:val="20"/>
                <w:color w:val="auto"/>
              </w:rPr>
            </w:pPr>
            <w:r>
              <w:rPr>
                <w:rFonts w:ascii="Arial" w:cs="Arial" w:eastAsia="Arial" w:hAnsi="Arial"/>
                <w:sz w:val="14"/>
                <w:szCs w:val="14"/>
                <w:b w:val="1"/>
                <w:bCs w:val="1"/>
                <w:color w:val="FFFFFF"/>
              </w:rPr>
              <w:t>Units</w:t>
            </w:r>
          </w:p>
        </w:tc>
        <w:tc>
          <w:tcPr>
            <w:tcW w:w="9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Date</w:t>
            </w:r>
          </w:p>
        </w:tc>
        <w:tc>
          <w:tcPr>
            <w:tcW w:w="1200" w:type="dxa"/>
            <w:vAlign w:val="bottom"/>
            <w:tcBorders>
              <w:bottom w:val="single" w:sz="8" w:color="434F69"/>
              <w:right w:val="single" w:sz="8" w:color="434F69"/>
            </w:tcBorders>
            <w:shd w:val="clear" w:color="auto" w:fill="434F69"/>
          </w:tcPr>
          <w:p>
            <w:pPr>
              <w:jc w:val="right"/>
              <w:ind w:right="92"/>
              <w:spacing w:after="0"/>
              <w:rPr>
                <w:sz w:val="20"/>
                <w:szCs w:val="20"/>
                <w:color w:val="auto"/>
              </w:rPr>
            </w:pPr>
            <w:r>
              <w:rPr>
                <w:rFonts w:ascii="Arial" w:cs="Arial" w:eastAsia="Arial" w:hAnsi="Arial"/>
                <w:sz w:val="14"/>
                <w:szCs w:val="14"/>
                <w:b w:val="1"/>
                <w:bCs w:val="1"/>
                <w:color w:val="FFFFFF"/>
                <w:w w:val="98"/>
              </w:rPr>
              <w:t>Class A Shares</w:t>
            </w:r>
          </w:p>
        </w:tc>
        <w:tc>
          <w:tcPr>
            <w:tcW w:w="90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Date</w:t>
            </w:r>
          </w:p>
        </w:tc>
      </w:tr>
      <w:tr>
        <w:trPr>
          <w:trHeight w:val="229"/>
        </w:trPr>
        <w:tc>
          <w:tcPr>
            <w:tcW w:w="3340" w:type="dxa"/>
            <w:vAlign w:val="bottom"/>
            <w:tcBorders>
              <w:left w:val="single" w:sz="8" w:color="434F69"/>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Raymond</w:t>
            </w:r>
          </w:p>
        </w:tc>
        <w:tc>
          <w:tcPr>
            <w:tcW w:w="1080" w:type="dxa"/>
            <w:vAlign w:val="bottom"/>
            <w:tcBorders>
              <w:bottom w:val="single" w:sz="8" w:color="434F69"/>
              <w:right w:val="single" w:sz="8" w:color="434F69"/>
            </w:tcBorders>
          </w:tcPr>
          <w:p>
            <w:pPr>
              <w:jc w:val="right"/>
              <w:ind w:right="27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34F69"/>
              <w:right w:val="single" w:sz="8" w:color="434F69"/>
            </w:tcBorders>
          </w:tcPr>
          <w:p>
            <w:pPr>
              <w:spacing w:after="0"/>
              <w:rPr>
                <w:sz w:val="19"/>
                <w:szCs w:val="19"/>
                <w:color w:val="auto"/>
              </w:rPr>
            </w:pPr>
          </w:p>
        </w:tc>
        <w:tc>
          <w:tcPr>
            <w:tcW w:w="1200" w:type="dxa"/>
            <w:vAlign w:val="bottom"/>
            <w:tcBorders>
              <w:bottom w:val="single" w:sz="8" w:color="434F69"/>
              <w:right w:val="single" w:sz="8" w:color="434F69"/>
            </w:tcBorders>
          </w:tcPr>
          <w:p>
            <w:pPr>
              <w:jc w:val="right"/>
              <w:ind w:right="272"/>
              <w:spacing w:after="0"/>
              <w:rPr>
                <w:sz w:val="20"/>
                <w:szCs w:val="20"/>
                <w:color w:val="auto"/>
              </w:rPr>
            </w:pPr>
            <w:r>
              <w:rPr>
                <w:rFonts w:ascii="Arial" w:cs="Arial" w:eastAsia="Arial" w:hAnsi="Arial"/>
                <w:sz w:val="18"/>
                <w:szCs w:val="18"/>
                <w:color w:val="auto"/>
              </w:rPr>
              <w:t>2,500</w:t>
            </w:r>
          </w:p>
        </w:tc>
        <w:tc>
          <w:tcPr>
            <w:tcW w:w="90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5"/>
              </w:rPr>
              <w:t>Aug 2021</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3,903</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2022</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4,170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2023</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15,290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2024</w:t>
            </w:r>
          </w:p>
        </w:tc>
      </w:tr>
      <w:tr>
        <w:trPr>
          <w:trHeight w:val="196"/>
        </w:trPr>
        <w:tc>
          <w:tcPr>
            <w:tcW w:w="3340" w:type="dxa"/>
            <w:vAlign w:val="bottom"/>
            <w:tcBorders>
              <w:left w:val="single" w:sz="8" w:color="434F69"/>
              <w:bottom w:val="single" w:sz="8" w:color="434F69"/>
              <w:right w:val="single" w:sz="8" w:color="434F69"/>
            </w:tcBorders>
            <w:shd w:val="clear" w:color="auto" w:fill="D9DCE1"/>
          </w:tcPr>
          <w:p>
            <w:pPr>
              <w:jc w:val="right"/>
              <w:ind w:right="2632"/>
              <w:spacing w:after="0" w:line="196" w:lineRule="exact"/>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434F69"/>
              <w:right w:val="single" w:sz="8" w:color="434F69"/>
            </w:tcBorders>
            <w:shd w:val="clear" w:color="auto" w:fill="D9DCE1"/>
          </w:tcPr>
          <w:p>
            <w:pPr>
              <w:jc w:val="right"/>
              <w:ind w:right="275"/>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434F69"/>
              <w:right w:val="single" w:sz="8" w:color="434F69"/>
            </w:tcBorders>
            <w:shd w:val="clear" w:color="auto" w:fill="D9DCE1"/>
          </w:tcPr>
          <w:p>
            <w:pPr>
              <w:spacing w:after="0"/>
              <w:rPr>
                <w:sz w:val="17"/>
                <w:szCs w:val="17"/>
                <w:color w:val="auto"/>
              </w:rPr>
            </w:pPr>
          </w:p>
        </w:tc>
        <w:tc>
          <w:tcPr>
            <w:tcW w:w="1200" w:type="dxa"/>
            <w:vAlign w:val="bottom"/>
            <w:tcBorders>
              <w:bottom w:val="single" w:sz="8" w:color="434F69"/>
              <w:right w:val="single" w:sz="8" w:color="434F69"/>
            </w:tcBorders>
            <w:shd w:val="clear" w:color="auto" w:fill="D9DCE1"/>
          </w:tcPr>
          <w:p>
            <w:pPr>
              <w:jc w:val="right"/>
              <w:ind w:right="272"/>
              <w:spacing w:after="0" w:line="196" w:lineRule="exact"/>
              <w:rPr>
                <w:sz w:val="20"/>
                <w:szCs w:val="20"/>
                <w:color w:val="auto"/>
              </w:rPr>
            </w:pPr>
            <w:r>
              <w:rPr>
                <w:rFonts w:ascii="Arial" w:cs="Arial" w:eastAsia="Arial" w:hAnsi="Arial"/>
                <w:sz w:val="18"/>
                <w:szCs w:val="18"/>
                <w:b w:val="1"/>
                <w:bCs w:val="1"/>
                <w:color w:val="auto"/>
              </w:rPr>
              <w:t>25,863</w:t>
            </w:r>
          </w:p>
        </w:tc>
        <w:tc>
          <w:tcPr>
            <w:tcW w:w="900" w:type="dxa"/>
            <w:vAlign w:val="bottom"/>
            <w:tcBorders>
              <w:bottom w:val="single" w:sz="8" w:color="434F69"/>
              <w:right w:val="single" w:sz="8" w:color="434F69"/>
            </w:tcBorders>
            <w:shd w:val="clear" w:color="auto" w:fill="D9DCE1"/>
          </w:tcPr>
          <w:p>
            <w:pPr>
              <w:spacing w:after="0"/>
              <w:rPr>
                <w:sz w:val="17"/>
                <w:szCs w:val="17"/>
                <w:color w:val="auto"/>
              </w:rPr>
            </w:pPr>
          </w:p>
        </w:tc>
      </w:tr>
      <w:tr>
        <w:trPr>
          <w:trHeight w:val="196"/>
        </w:trPr>
        <w:tc>
          <w:tcPr>
            <w:tcW w:w="3340" w:type="dxa"/>
            <w:vAlign w:val="bottom"/>
            <w:tcBorders>
              <w:left w:val="single" w:sz="8" w:color="434F69"/>
              <w:bottom w:val="single" w:sz="8" w:color="434F69"/>
              <w:right w:val="single" w:sz="8" w:color="434F69"/>
            </w:tcBorders>
          </w:tcPr>
          <w:p>
            <w:pPr>
              <w:ind w:left="60"/>
              <w:spacing w:after="0" w:line="196" w:lineRule="exact"/>
              <w:rPr>
                <w:sz w:val="20"/>
                <w:szCs w:val="20"/>
                <w:color w:val="auto"/>
              </w:rPr>
            </w:pPr>
            <w:r>
              <w:rPr>
                <w:rFonts w:ascii="Arial" w:cs="Arial" w:eastAsia="Arial" w:hAnsi="Arial"/>
                <w:sz w:val="18"/>
                <w:szCs w:val="18"/>
                <w:color w:val="auto"/>
              </w:rPr>
              <w:t>Shackouls</w:t>
            </w:r>
          </w:p>
        </w:tc>
        <w:tc>
          <w:tcPr>
            <w:tcW w:w="1080" w:type="dxa"/>
            <w:vAlign w:val="bottom"/>
            <w:tcBorders>
              <w:bottom w:val="single" w:sz="8" w:color="434F69"/>
              <w:right w:val="single" w:sz="8" w:color="434F69"/>
            </w:tcBorders>
          </w:tcPr>
          <w:p>
            <w:pPr>
              <w:jc w:val="right"/>
              <w:ind w:right="275"/>
              <w:spacing w:after="0" w:line="196" w:lineRule="exact"/>
              <w:rPr>
                <w:sz w:val="20"/>
                <w:szCs w:val="20"/>
                <w:color w:val="auto"/>
              </w:rPr>
            </w:pPr>
            <w:r>
              <w:rPr>
                <w:rFonts w:ascii="Arial" w:cs="Arial" w:eastAsia="Arial" w:hAnsi="Arial"/>
                <w:sz w:val="18"/>
                <w:szCs w:val="18"/>
                <w:color w:val="auto"/>
              </w:rPr>
              <w:t>3,750</w:t>
            </w:r>
          </w:p>
        </w:tc>
        <w:tc>
          <w:tcPr>
            <w:tcW w:w="96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2021</w:t>
            </w: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4,879</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2022</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5,220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2023</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15,290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2024</w:t>
            </w:r>
          </w:p>
        </w:tc>
      </w:tr>
      <w:tr>
        <w:trPr>
          <w:trHeight w:val="196"/>
        </w:trPr>
        <w:tc>
          <w:tcPr>
            <w:tcW w:w="3340" w:type="dxa"/>
            <w:vAlign w:val="bottom"/>
            <w:tcBorders>
              <w:left w:val="single" w:sz="8" w:color="434F69"/>
              <w:bottom w:val="single" w:sz="8" w:color="434F69"/>
              <w:right w:val="single" w:sz="8" w:color="434F69"/>
            </w:tcBorders>
            <w:shd w:val="clear" w:color="auto" w:fill="D9DCE1"/>
          </w:tcPr>
          <w:p>
            <w:pPr>
              <w:jc w:val="right"/>
              <w:ind w:right="2632"/>
              <w:spacing w:after="0" w:line="196" w:lineRule="exact"/>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434F69"/>
              <w:right w:val="single" w:sz="8" w:color="434F69"/>
            </w:tcBorders>
            <w:shd w:val="clear" w:color="auto" w:fill="D9DCE1"/>
          </w:tcPr>
          <w:p>
            <w:pPr>
              <w:jc w:val="right"/>
              <w:ind w:right="275"/>
              <w:spacing w:after="0" w:line="196" w:lineRule="exact"/>
              <w:rPr>
                <w:sz w:val="20"/>
                <w:szCs w:val="20"/>
                <w:color w:val="auto"/>
              </w:rPr>
            </w:pPr>
            <w:r>
              <w:rPr>
                <w:rFonts w:ascii="Arial" w:cs="Arial" w:eastAsia="Arial" w:hAnsi="Arial"/>
                <w:sz w:val="18"/>
                <w:szCs w:val="18"/>
                <w:b w:val="1"/>
                <w:bCs w:val="1"/>
                <w:color w:val="auto"/>
              </w:rPr>
              <w:t>3,750</w:t>
            </w:r>
          </w:p>
        </w:tc>
        <w:tc>
          <w:tcPr>
            <w:tcW w:w="960" w:type="dxa"/>
            <w:vAlign w:val="bottom"/>
            <w:tcBorders>
              <w:bottom w:val="single" w:sz="8" w:color="434F69"/>
              <w:right w:val="single" w:sz="8" w:color="434F69"/>
            </w:tcBorders>
            <w:shd w:val="clear" w:color="auto" w:fill="D9DCE1"/>
          </w:tcPr>
          <w:p>
            <w:pPr>
              <w:spacing w:after="0"/>
              <w:rPr>
                <w:sz w:val="17"/>
                <w:szCs w:val="17"/>
                <w:color w:val="auto"/>
              </w:rPr>
            </w:pPr>
          </w:p>
        </w:tc>
        <w:tc>
          <w:tcPr>
            <w:tcW w:w="1200" w:type="dxa"/>
            <w:vAlign w:val="bottom"/>
            <w:tcBorders>
              <w:bottom w:val="single" w:sz="8" w:color="434F69"/>
              <w:right w:val="single" w:sz="8" w:color="434F69"/>
            </w:tcBorders>
            <w:shd w:val="clear" w:color="auto" w:fill="D9DCE1"/>
          </w:tcPr>
          <w:p>
            <w:pPr>
              <w:jc w:val="right"/>
              <w:ind w:right="272"/>
              <w:spacing w:after="0" w:line="196" w:lineRule="exact"/>
              <w:rPr>
                <w:sz w:val="20"/>
                <w:szCs w:val="20"/>
                <w:color w:val="auto"/>
              </w:rPr>
            </w:pPr>
            <w:r>
              <w:rPr>
                <w:rFonts w:ascii="Arial" w:cs="Arial" w:eastAsia="Arial" w:hAnsi="Arial"/>
                <w:sz w:val="18"/>
                <w:szCs w:val="18"/>
                <w:b w:val="1"/>
                <w:bCs w:val="1"/>
                <w:color w:val="auto"/>
              </w:rPr>
              <w:t>25,389</w:t>
            </w:r>
          </w:p>
        </w:tc>
        <w:tc>
          <w:tcPr>
            <w:tcW w:w="900" w:type="dxa"/>
            <w:vAlign w:val="bottom"/>
            <w:tcBorders>
              <w:bottom w:val="single" w:sz="8" w:color="434F69"/>
              <w:right w:val="single" w:sz="8" w:color="434F69"/>
            </w:tcBorders>
            <w:shd w:val="clear" w:color="auto" w:fill="D9DCE1"/>
          </w:tcPr>
          <w:p>
            <w:pPr>
              <w:spacing w:after="0"/>
              <w:rPr>
                <w:sz w:val="17"/>
                <w:szCs w:val="17"/>
                <w:color w:val="auto"/>
              </w:rPr>
            </w:pPr>
          </w:p>
        </w:tc>
      </w:tr>
      <w:tr>
        <w:trPr>
          <w:trHeight w:val="196"/>
        </w:trPr>
        <w:tc>
          <w:tcPr>
            <w:tcW w:w="3340" w:type="dxa"/>
            <w:vAlign w:val="bottom"/>
            <w:tcBorders>
              <w:left w:val="single" w:sz="8" w:color="434F69"/>
              <w:bottom w:val="single" w:sz="8" w:color="434F69"/>
              <w:right w:val="single" w:sz="8" w:color="434F69"/>
            </w:tcBorders>
          </w:tcPr>
          <w:p>
            <w:pPr>
              <w:jc w:val="right"/>
              <w:ind w:right="2652"/>
              <w:spacing w:after="0" w:line="196" w:lineRule="exact"/>
              <w:rPr>
                <w:sz w:val="20"/>
                <w:szCs w:val="20"/>
                <w:color w:val="auto"/>
              </w:rPr>
            </w:pPr>
            <w:r>
              <w:rPr>
                <w:rFonts w:ascii="Arial" w:cs="Arial" w:eastAsia="Arial" w:hAnsi="Arial"/>
                <w:sz w:val="18"/>
                <w:szCs w:val="18"/>
                <w:color w:val="auto"/>
                <w:w w:val="96"/>
              </w:rPr>
              <w:t>Temple</w:t>
            </w:r>
          </w:p>
        </w:tc>
        <w:tc>
          <w:tcPr>
            <w:tcW w:w="1080" w:type="dxa"/>
            <w:vAlign w:val="bottom"/>
            <w:tcBorders>
              <w:bottom w:val="single" w:sz="8" w:color="434F69"/>
              <w:right w:val="single" w:sz="8" w:color="434F69"/>
            </w:tcBorders>
          </w:tcPr>
          <w:p>
            <w:pPr>
              <w:jc w:val="right"/>
              <w:ind w:right="275"/>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3,750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2021</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4,879</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2022</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5,220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2023</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15,290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2024</w:t>
            </w:r>
          </w:p>
        </w:tc>
      </w:tr>
      <w:tr>
        <w:trPr>
          <w:trHeight w:val="196"/>
        </w:trPr>
        <w:tc>
          <w:tcPr>
            <w:tcW w:w="3340" w:type="dxa"/>
            <w:vAlign w:val="bottom"/>
            <w:tcBorders>
              <w:left w:val="single" w:sz="8" w:color="434F69"/>
              <w:bottom w:val="single" w:sz="8" w:color="434F69"/>
              <w:right w:val="single" w:sz="8" w:color="434F69"/>
            </w:tcBorders>
            <w:shd w:val="clear" w:color="auto" w:fill="D9DCE1"/>
          </w:tcPr>
          <w:p>
            <w:pPr>
              <w:jc w:val="right"/>
              <w:ind w:right="2632"/>
              <w:spacing w:after="0" w:line="196" w:lineRule="exact"/>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434F69"/>
              <w:right w:val="single" w:sz="8" w:color="434F69"/>
            </w:tcBorders>
            <w:shd w:val="clear" w:color="auto" w:fill="D9DCE1"/>
          </w:tcPr>
          <w:p>
            <w:pPr>
              <w:jc w:val="right"/>
              <w:ind w:right="275"/>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434F69"/>
              <w:right w:val="single" w:sz="8" w:color="434F69"/>
            </w:tcBorders>
            <w:shd w:val="clear" w:color="auto" w:fill="D9DCE1"/>
          </w:tcPr>
          <w:p>
            <w:pPr>
              <w:spacing w:after="0"/>
              <w:rPr>
                <w:sz w:val="17"/>
                <w:szCs w:val="17"/>
                <w:color w:val="auto"/>
              </w:rPr>
            </w:pPr>
          </w:p>
        </w:tc>
        <w:tc>
          <w:tcPr>
            <w:tcW w:w="1200" w:type="dxa"/>
            <w:vAlign w:val="bottom"/>
            <w:tcBorders>
              <w:bottom w:val="single" w:sz="8" w:color="434F69"/>
              <w:right w:val="single" w:sz="8" w:color="434F69"/>
            </w:tcBorders>
            <w:shd w:val="clear" w:color="auto" w:fill="D9DCE1"/>
          </w:tcPr>
          <w:p>
            <w:pPr>
              <w:jc w:val="right"/>
              <w:ind w:right="272"/>
              <w:spacing w:after="0" w:line="196" w:lineRule="exact"/>
              <w:rPr>
                <w:sz w:val="20"/>
                <w:szCs w:val="20"/>
                <w:color w:val="auto"/>
              </w:rPr>
            </w:pPr>
            <w:r>
              <w:rPr>
                <w:rFonts w:ascii="Arial" w:cs="Arial" w:eastAsia="Arial" w:hAnsi="Arial"/>
                <w:sz w:val="18"/>
                <w:szCs w:val="18"/>
                <w:b w:val="1"/>
                <w:bCs w:val="1"/>
                <w:color w:val="auto"/>
              </w:rPr>
              <w:t>29,139</w:t>
            </w:r>
          </w:p>
        </w:tc>
        <w:tc>
          <w:tcPr>
            <w:tcW w:w="900" w:type="dxa"/>
            <w:vAlign w:val="bottom"/>
            <w:tcBorders>
              <w:bottom w:val="single" w:sz="8" w:color="434F69"/>
              <w:right w:val="single" w:sz="8" w:color="434F69"/>
            </w:tcBorders>
            <w:shd w:val="clear" w:color="auto" w:fill="D9DCE1"/>
          </w:tcPr>
          <w:p>
            <w:pPr>
              <w:spacing w:after="0"/>
              <w:rPr>
                <w:sz w:val="17"/>
                <w:szCs w:val="17"/>
                <w:color w:val="auto"/>
              </w:rPr>
            </w:pPr>
          </w:p>
        </w:tc>
      </w:tr>
      <w:tr>
        <w:trPr>
          <w:trHeight w:val="196"/>
        </w:trPr>
        <w:tc>
          <w:tcPr>
            <w:tcW w:w="3340" w:type="dxa"/>
            <w:vAlign w:val="bottom"/>
            <w:tcBorders>
              <w:left w:val="single" w:sz="8" w:color="434F69"/>
              <w:bottom w:val="single" w:sz="8" w:color="434F69"/>
              <w:right w:val="single" w:sz="8" w:color="434F69"/>
            </w:tcBorders>
          </w:tcPr>
          <w:p>
            <w:pPr>
              <w:jc w:val="right"/>
              <w:ind w:right="2632"/>
              <w:spacing w:after="0" w:line="196" w:lineRule="exact"/>
              <w:rPr>
                <w:sz w:val="20"/>
                <w:szCs w:val="20"/>
                <w:color w:val="auto"/>
              </w:rPr>
            </w:pPr>
            <w:r>
              <w:rPr>
                <w:rFonts w:ascii="Arial" w:cs="Arial" w:eastAsia="Arial" w:hAnsi="Arial"/>
                <w:sz w:val="18"/>
                <w:szCs w:val="18"/>
                <w:color w:val="auto"/>
                <w:w w:val="99"/>
              </w:rPr>
              <w:t>Ziemba</w:t>
            </w:r>
          </w:p>
        </w:tc>
        <w:tc>
          <w:tcPr>
            <w:tcW w:w="1080" w:type="dxa"/>
            <w:vAlign w:val="bottom"/>
            <w:tcBorders>
              <w:bottom w:val="single" w:sz="8" w:color="434F69"/>
              <w:right w:val="single" w:sz="8" w:color="434F69"/>
            </w:tcBorders>
          </w:tcPr>
          <w:p>
            <w:pPr>
              <w:jc w:val="right"/>
              <w:ind w:right="275"/>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6,480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2021</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6,480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2022</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6,480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2023</w:t>
            </w:r>
          </w:p>
        </w:tc>
      </w:tr>
      <w:tr>
        <w:trPr>
          <w:trHeight w:val="196"/>
        </w:trPr>
        <w:tc>
          <w:tcPr>
            <w:tcW w:w="3340" w:type="dxa"/>
            <w:vAlign w:val="bottom"/>
            <w:tcBorders>
              <w:left w:val="single" w:sz="8" w:color="434F69"/>
              <w:bottom w:val="single" w:sz="8" w:color="434F69"/>
              <w:right w:val="single" w:sz="8" w:color="434F69"/>
            </w:tcBorders>
          </w:tcPr>
          <w:p>
            <w:pPr>
              <w:spacing w:after="0"/>
              <w:rPr>
                <w:sz w:val="17"/>
                <w:szCs w:val="17"/>
                <w:color w:val="auto"/>
              </w:rPr>
            </w:pPr>
          </w:p>
        </w:tc>
        <w:tc>
          <w:tcPr>
            <w:tcW w:w="1080" w:type="dxa"/>
            <w:vAlign w:val="bottom"/>
            <w:tcBorders>
              <w:bottom w:val="single" w:sz="8" w:color="434F69"/>
              <w:right w:val="single" w:sz="8" w:color="434F69"/>
            </w:tcBorders>
          </w:tcPr>
          <w:p>
            <w:pPr>
              <w:spacing w:after="0"/>
              <w:rPr>
                <w:sz w:val="17"/>
                <w:szCs w:val="17"/>
                <w:color w:val="auto"/>
              </w:rPr>
            </w:pPr>
          </w:p>
        </w:tc>
        <w:tc>
          <w:tcPr>
            <w:tcW w:w="960" w:type="dxa"/>
            <w:vAlign w:val="bottom"/>
            <w:tcBorders>
              <w:bottom w:val="single" w:sz="8" w:color="434F69"/>
              <w:right w:val="single" w:sz="8" w:color="434F69"/>
            </w:tcBorders>
          </w:tcPr>
          <w:p>
            <w:pPr>
              <w:spacing w:after="0"/>
              <w:rPr>
                <w:sz w:val="17"/>
                <w:szCs w:val="17"/>
                <w:color w:val="auto"/>
              </w:rPr>
            </w:pPr>
          </w:p>
        </w:tc>
        <w:tc>
          <w:tcPr>
            <w:tcW w:w="1200" w:type="dxa"/>
            <w:vAlign w:val="bottom"/>
            <w:tcBorders>
              <w:bottom w:val="single" w:sz="8" w:color="434F69"/>
              <w:right w:val="single" w:sz="8" w:color="434F69"/>
            </w:tcBorders>
          </w:tcPr>
          <w:p>
            <w:pPr>
              <w:jc w:val="right"/>
              <w:ind w:right="272"/>
              <w:spacing w:after="0" w:line="196" w:lineRule="exact"/>
              <w:rPr>
                <w:sz w:val="20"/>
                <w:szCs w:val="20"/>
                <w:color w:val="auto"/>
              </w:rPr>
            </w:pPr>
            <w:r>
              <w:rPr>
                <w:rFonts w:ascii="Arial" w:cs="Arial" w:eastAsia="Arial" w:hAnsi="Arial"/>
                <w:sz w:val="18"/>
                <w:szCs w:val="18"/>
                <w:color w:val="auto"/>
              </w:rPr>
              <w:t>15,290</w:t>
            </w:r>
          </w:p>
        </w:tc>
        <w:tc>
          <w:tcPr>
            <w:tcW w:w="900" w:type="dxa"/>
            <w:vAlign w:val="bottom"/>
            <w:tcBorders>
              <w:bottom w:val="single" w:sz="8" w:color="434F69"/>
              <w:right w:val="single" w:sz="8" w:color="434F69"/>
            </w:tcBorders>
          </w:tcPr>
          <w:p>
            <w:pPr>
              <w:jc w:val="center"/>
              <w:spacing w:after="0" w:line="196" w:lineRule="exact"/>
              <w:rPr>
                <w:sz w:val="20"/>
                <w:szCs w:val="20"/>
                <w:color w:val="auto"/>
              </w:rPr>
            </w:pPr>
            <w:r>
              <w:rPr>
                <w:rFonts w:ascii="Arial" w:cs="Arial" w:eastAsia="Arial" w:hAnsi="Arial"/>
                <w:sz w:val="18"/>
                <w:szCs w:val="18"/>
                <w:color w:val="auto"/>
                <w:w w:val="95"/>
              </w:rPr>
              <w:t>Aug 2024</w:t>
            </w:r>
          </w:p>
        </w:tc>
      </w:tr>
      <w:tr>
        <w:trPr>
          <w:trHeight w:val="209"/>
        </w:trPr>
        <w:tc>
          <w:tcPr>
            <w:tcW w:w="3340" w:type="dxa"/>
            <w:vAlign w:val="bottom"/>
            <w:tcBorders>
              <w:left w:val="single" w:sz="8" w:color="434F69"/>
              <w:bottom w:val="single" w:sz="8" w:color="434F69"/>
              <w:right w:val="single" w:sz="8" w:color="434F69"/>
            </w:tcBorders>
            <w:shd w:val="clear" w:color="auto" w:fill="D9DCE1"/>
          </w:tcPr>
          <w:p>
            <w:pPr>
              <w:jc w:val="right"/>
              <w:ind w:right="2632"/>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434F69"/>
              <w:right w:val="single" w:sz="8" w:color="434F69"/>
            </w:tcBorders>
            <w:shd w:val="clear" w:color="auto" w:fill="D9DCE1"/>
          </w:tcPr>
          <w:p>
            <w:pPr>
              <w:jc w:val="right"/>
              <w:ind w:right="275"/>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434F69"/>
              <w:right w:val="single" w:sz="8" w:color="434F69"/>
            </w:tcBorders>
            <w:shd w:val="clear" w:color="auto" w:fill="D9DCE1"/>
          </w:tcPr>
          <w:p>
            <w:pPr>
              <w:spacing w:after="0"/>
              <w:rPr>
                <w:sz w:val="18"/>
                <w:szCs w:val="18"/>
                <w:color w:val="auto"/>
              </w:rPr>
            </w:pPr>
          </w:p>
        </w:tc>
        <w:tc>
          <w:tcPr>
            <w:tcW w:w="1200" w:type="dxa"/>
            <w:vAlign w:val="bottom"/>
            <w:tcBorders>
              <w:bottom w:val="single" w:sz="8" w:color="434F69"/>
              <w:right w:val="single" w:sz="8" w:color="434F69"/>
            </w:tcBorders>
            <w:shd w:val="clear" w:color="auto" w:fill="D9DCE1"/>
          </w:tcPr>
          <w:p>
            <w:pPr>
              <w:jc w:val="right"/>
              <w:ind w:right="272"/>
              <w:spacing w:after="0"/>
              <w:rPr>
                <w:sz w:val="20"/>
                <w:szCs w:val="20"/>
                <w:color w:val="auto"/>
              </w:rPr>
            </w:pPr>
            <w:r>
              <w:rPr>
                <w:rFonts w:ascii="Arial" w:cs="Arial" w:eastAsia="Arial" w:hAnsi="Arial"/>
                <w:sz w:val="18"/>
                <w:szCs w:val="18"/>
                <w:b w:val="1"/>
                <w:bCs w:val="1"/>
                <w:color w:val="auto"/>
              </w:rPr>
              <w:t>34,730</w:t>
            </w:r>
          </w:p>
        </w:tc>
        <w:tc>
          <w:tcPr>
            <w:tcW w:w="900" w:type="dxa"/>
            <w:vAlign w:val="bottom"/>
            <w:tcBorders>
              <w:bottom w:val="single" w:sz="8" w:color="434F69"/>
              <w:right w:val="single" w:sz="8" w:color="434F69"/>
            </w:tcBorders>
            <w:shd w:val="clear" w:color="auto" w:fill="D9DCE1"/>
          </w:tcPr>
          <w:p>
            <w:pPr>
              <w:spacing w:after="0"/>
              <w:rPr>
                <w:sz w:val="18"/>
                <w:szCs w:val="18"/>
                <w:color w:val="auto"/>
              </w:rPr>
            </w:pPr>
          </w:p>
        </w:tc>
      </w:tr>
    </w:tbl>
    <w:p>
      <w:pPr>
        <w:spacing w:after="0" w:line="40" w:lineRule="exact"/>
        <w:rPr>
          <w:sz w:val="20"/>
          <w:szCs w:val="20"/>
          <w:color w:val="auto"/>
        </w:rPr>
      </w:pPr>
    </w:p>
    <w:p>
      <w:pPr>
        <w:ind w:left="1620" w:right="439" w:hanging="360"/>
        <w:spacing w:after="0" w:line="251" w:lineRule="auto"/>
        <w:tabs>
          <w:tab w:leader="none" w:pos="1620" w:val="left"/>
        </w:tabs>
        <w:numPr>
          <w:ilvl w:val="0"/>
          <w:numId w:val="77"/>
        </w:numPr>
        <w:rPr>
          <w:rFonts w:ascii="Arial" w:cs="Arial" w:eastAsia="Arial" w:hAnsi="Arial"/>
          <w:sz w:val="26"/>
          <w:szCs w:val="26"/>
          <w:color w:val="auto"/>
          <w:vertAlign w:val="superscript"/>
        </w:rPr>
      </w:pPr>
      <w:r>
        <w:rPr>
          <w:rFonts w:ascii="Arial" w:cs="Arial" w:eastAsia="Arial" w:hAnsi="Arial"/>
          <w:sz w:val="17"/>
          <w:szCs w:val="17"/>
          <w:color w:val="auto"/>
        </w:rPr>
        <w:t>Mr. Armstrong served as Senior Advisor to the CEO during 2020 and received a salary of $250,000 and other compensation of $15,960 (comprising 401(k) plan matching contributions and premium payments for group term life insurance) for his services as an employee. Pursuant to his employment agreement, which was amended and restated effective January 1, 2020, Mr. Armstrong will serve as a director and will also serve as Senior Advisor to the CEO for up to a two-year term and will receive an annual salary of $250,000 for these services. Should Mr. Armstrong be elected at the 2021 annual meeting and effective concurrently therewith, the term of his employment agreement will be extended through the date of the 2024 annual meeting. Mr. Armstrong does not hold any LTIP Awards.</w:t>
      </w:r>
    </w:p>
    <w:p>
      <w:pPr>
        <w:spacing w:after="0" w:line="38" w:lineRule="exact"/>
        <w:rPr>
          <w:rFonts w:ascii="Arial" w:cs="Arial" w:eastAsia="Arial" w:hAnsi="Arial"/>
          <w:sz w:val="26"/>
          <w:szCs w:val="26"/>
          <w:color w:val="auto"/>
          <w:vertAlign w:val="superscript"/>
        </w:rPr>
      </w:pPr>
    </w:p>
    <w:p>
      <w:pPr>
        <w:ind w:left="1620" w:right="539" w:hanging="360"/>
        <w:spacing w:after="0" w:line="230"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Mr. Goyanes served as a director and member of the audit committee until his death in March 2020, Mr. Sinnott served as a director until his retirement in September 2020 and as chairman of the compensation committee through May 2020, and Mr. Symonds served as a director and member of the audit committee until his retirement in May 2020. Mr. McCarthy has served as a director since October 2020.</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Retainer and Expense Reimbursement</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Each non-employee director is currently paid an annual retainer fee of $75,000. Messrs. Armstrong, Chiang and Pefanis are otherwise compensated for their services as employees and therefore receive no separate compensation for services as directors. In addition to the annual retainer, each committee chairman (other than the audit committee chairman) receives $ 10,000 annually. The chairman of the audit committee receives $30,000 annually, and the other members of the audit committee receive $15,000 annually, in each case, in addition to the annual retainer. The Lead Director receives $ 35,000 annually in addition to the annual retainer. Mr. Shackouls served as Lead Director during 2020. Each director who is not an employee of GP LLC is reimbursed for reasonable travel, lodging and other out-of-pocket expenses related to meeting attendance or otherwise related to service on the Board (including, without limitation, reimbursement for continuing education expenses).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Equity Awards</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Our non -employee directors receive LTIP awards as part of their compensation. Prior to August 2018, the directors received LTIP awards denominated in either PAA phantom units or PAGP phantom Class A shares based on a one-time election made by each director. Such LTIP awards vested 25% on the August distribution date of each year, with an automatic re -grant of an additional 25% immediately upon each such vesting, together with associated DERs. In August 2018, the automatic re-grant feature of the existing</w:t>
      </w:r>
    </w:p>
    <w:p>
      <w:pPr>
        <w:sectPr>
          <w:pgSz w:w="11900" w:h="16838" w:orient="portrait"/>
          <w:cols w:equalWidth="0" w:num="1">
            <w:col w:w="9879"/>
          </w:cols>
          <w:pgMar w:left="580" w:top="132"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director LTIP awards was eliminated and directors began to receive annual grants of LTIP awards for PAGP phantom Class A shares having a market value on the date of grant equal to approximately $125,000 for independent directors and approximately $100,000 for designated directors. The annual LTIP awards will vest (become payable in PAGP Class A shares on a one-for-one basis) in August four years after the date of grant, and include associated DERs.</w:t>
      </w:r>
    </w:p>
    <w:p>
      <w:pPr>
        <w:spacing w:after="0" w:line="10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connection with his appointment to the Board in January 2020, Mr. Ziemba received an initial LTIP award for 23,490 PAGP phantom Class A shares that will vest (become payable in PAGP Class A shares on a one-for-one basis) in 25% increments in August of each year through 2023. Mr. Ziemba’s initial grant was sized so that the number of phantom Class A shares vesting each August would have a market value on the date of such initial grant equal to approximately $125,000 (or pro rata portion thereof for the period from January 2020 through August 2020), based on a volume weighted average price for the 10-trading day period immediately preceding the date of grant (the “VWAP” Price). As each tranche of phantom Class A shares vests, they will be replaced with an annual grant of phantom Class A shares having a market value on the date of grant equal to approximately $125,000 (based on the then applicable VWAP Price) and that will vest four years after the date of grant. The phantom Class A shares awarded to Mr. Ziemba include associated DERs.</w:t>
      </w:r>
    </w:p>
    <w:p>
      <w:pPr>
        <w:spacing w:after="0" w:line="124"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connection with his appointment to the Board in October 2020, Mr. McCarthy received an initial LTIP award for 10,622 PAGP phantom Class A shares that will vest (become payable in PAGP Class A shares on a one-for-one basis) in August 2024. Mr. McCarthy’s initial grant was sized so that the number of phantom Class A shares vesting in August 2024 would have a market value on the date of such initial grant equal to approximately $100,000 (or pro rata portion thereof for the period from October 2020 through August 2021), based on the applicable VWAP Price. The phantom Class A shares awarded to Mr. McCarthy include associated DERs. Beginning in August 2021, Mr. McCarthy will receive an annual grant of LTIP awards for PAGP phantom Class A shares having a market value on the date of grant equal to approximately $100,000 (based on the then applicable VWAP Price) and that will vest four years after the date of grant. The phantom Class A shares awarded to Mr. McCarthy include associated DERs.</w:t>
      </w:r>
    </w:p>
    <w:p>
      <w:pPr>
        <w:spacing w:after="0" w:line="118" w:lineRule="exact"/>
        <w:rPr>
          <w:sz w:val="20"/>
          <w:szCs w:val="20"/>
          <w:color w:val="auto"/>
        </w:rPr>
      </w:pPr>
    </w:p>
    <w:p>
      <w:pPr>
        <w:ind w:left="1260" w:right="419" w:firstLine="360"/>
        <w:spacing w:after="0" w:line="274" w:lineRule="auto"/>
        <w:rPr>
          <w:sz w:val="20"/>
          <w:szCs w:val="20"/>
          <w:color w:val="auto"/>
        </w:rPr>
      </w:pPr>
      <w:r>
        <w:rPr>
          <w:rFonts w:ascii="Arial" w:cs="Arial" w:eastAsia="Arial" w:hAnsi="Arial"/>
          <w:sz w:val="17"/>
          <w:szCs w:val="17"/>
          <w:color w:val="auto"/>
        </w:rPr>
        <w:t>All director LTIP awards vest in full upon the next following distribution date after the death or disability (as determined in good faith by the Board) of the director. The awards also vest in full if a director</w:t>
      </w:r>
    </w:p>
    <w:p>
      <w:pPr>
        <w:ind w:left="1260" w:right="459"/>
        <w:spacing w:after="0" w:line="255" w:lineRule="auto"/>
        <w:tabs>
          <w:tab w:leader="none" w:pos="14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retires (no longer with full-time employment and no longer serving as an officer or director of any public company) or (ii) is removed from the Board or is not reelected to the Board, unless such removal or failure to reelect is for “Cause,” as defined in the PAGP GP LLC Agreement.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PAA’s General Partner and its Affiliates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PAA does not pay its general partner a management fee, but it does reimburse its general partner for all direct and indirect costs of services provided to PAA, incurred on PAA’s behalf, including the costs of employee, officer and director compensation and benefits allocable to PAA, as well as all other expenses necessary or appropriate to the conduct of PAA’s business, allocable to PAA.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w:t>
      </w:r>
    </w:p>
    <w:p>
      <w:pPr>
        <w:spacing w:after="0" w:line="148" w:lineRule="exact"/>
        <w:rPr>
          <w:sz w:val="20"/>
          <w:szCs w:val="20"/>
          <w:color w:val="auto"/>
        </w:rPr>
      </w:pPr>
    </w:p>
    <w:p>
      <w:pPr>
        <w:ind w:left="1260" w:right="760" w:firstLine="360"/>
        <w:spacing w:after="0" w:line="254" w:lineRule="auto"/>
        <w:rPr>
          <w:sz w:val="20"/>
          <w:szCs w:val="20"/>
          <w:color w:val="auto"/>
        </w:rPr>
      </w:pPr>
      <w:r>
        <w:rPr>
          <w:rFonts w:ascii="Arial" w:cs="Arial" w:eastAsia="Arial" w:hAnsi="Arial"/>
          <w:sz w:val="18"/>
          <w:szCs w:val="18"/>
          <w:color w:val="auto"/>
        </w:rPr>
        <w:t>Our Class A, Class B and Class C shares outstanding represent 100% of our voting securities. The following table sets forth certain information regarding the beneficial ownership of our Class A, Class B and Class C shares as of March 26, 2021 (unless otherwise noted) by each person who is known to us to beneficially own more than 5% of our Class A shares, each person who is known to us to beneficially own more than 5% of our Class B shares, each person who is known to us to beneficially own more than 5% of our Class C shares, the Named Executive Officers, our directors, and all directors and executive officers as a group.</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3220" w:type="dxa"/>
            <w:vAlign w:val="bottom"/>
            <w:shd w:val="clear" w:color="auto" w:fill="434F69"/>
          </w:tcPr>
          <w:p>
            <w:pPr>
              <w:spacing w:after="0"/>
              <w:rPr>
                <w:sz w:val="16"/>
                <w:szCs w:val="16"/>
                <w:color w:val="auto"/>
              </w:rPr>
            </w:pPr>
          </w:p>
        </w:tc>
        <w:tc>
          <w:tcPr>
            <w:tcW w:w="1040" w:type="dxa"/>
            <w:vAlign w:val="bottom"/>
            <w:shd w:val="clear" w:color="auto" w:fill="434F69"/>
          </w:tcPr>
          <w:p>
            <w:pPr>
              <w:spacing w:after="0"/>
              <w:rPr>
                <w:sz w:val="16"/>
                <w:szCs w:val="16"/>
                <w:color w:val="auto"/>
              </w:rPr>
            </w:pPr>
          </w:p>
        </w:tc>
        <w:tc>
          <w:tcPr>
            <w:tcW w:w="840" w:type="dxa"/>
            <w:vAlign w:val="bottom"/>
            <w:shd w:val="clear" w:color="auto" w:fill="434F69"/>
          </w:tcPr>
          <w:p>
            <w:pPr>
              <w:spacing w:after="0"/>
              <w:rPr>
                <w:sz w:val="16"/>
                <w:szCs w:val="16"/>
                <w:color w:val="auto"/>
              </w:rPr>
            </w:pPr>
          </w:p>
        </w:tc>
        <w:tc>
          <w:tcPr>
            <w:tcW w:w="1000" w:type="dxa"/>
            <w:vAlign w:val="bottom"/>
            <w:shd w:val="clear" w:color="auto" w:fill="434F69"/>
          </w:tcPr>
          <w:p>
            <w:pPr>
              <w:spacing w:after="0"/>
              <w:rPr>
                <w:sz w:val="16"/>
                <w:szCs w:val="16"/>
                <w:color w:val="auto"/>
              </w:rPr>
            </w:pPr>
          </w:p>
        </w:tc>
        <w:tc>
          <w:tcPr>
            <w:tcW w:w="840" w:type="dxa"/>
            <w:vAlign w:val="bottom"/>
            <w:vMerge w:val="restart"/>
            <w:shd w:val="clear" w:color="auto" w:fill="434F69"/>
          </w:tcPr>
          <w:p>
            <w:pPr>
              <w:jc w:val="center"/>
              <w:ind w:right="28"/>
              <w:spacing w:after="0"/>
              <w:rPr>
                <w:sz w:val="20"/>
                <w:szCs w:val="20"/>
                <w:color w:val="auto"/>
              </w:rPr>
            </w:pPr>
            <w:r>
              <w:rPr>
                <w:rFonts w:ascii="Arial" w:cs="Arial" w:eastAsia="Arial" w:hAnsi="Arial"/>
                <w:sz w:val="14"/>
                <w:szCs w:val="14"/>
                <w:b w:val="1"/>
                <w:bCs w:val="1"/>
                <w:color w:val="FFFFFF"/>
                <w:w w:val="87"/>
              </w:rPr>
              <w:t>Percentage</w:t>
            </w:r>
          </w:p>
        </w:tc>
        <w:tc>
          <w:tcPr>
            <w:tcW w:w="940" w:type="dxa"/>
            <w:vAlign w:val="bottom"/>
            <w:shd w:val="clear" w:color="auto" w:fill="434F69"/>
          </w:tcPr>
          <w:p>
            <w:pPr>
              <w:spacing w:after="0"/>
              <w:rPr>
                <w:sz w:val="16"/>
                <w:szCs w:val="16"/>
                <w:color w:val="auto"/>
              </w:rPr>
            </w:pPr>
          </w:p>
        </w:tc>
        <w:tc>
          <w:tcPr>
            <w:tcW w:w="920" w:type="dxa"/>
            <w:vAlign w:val="bottom"/>
            <w:shd w:val="clear" w:color="auto" w:fill="434F69"/>
          </w:tcPr>
          <w:p>
            <w:pPr>
              <w:spacing w:after="0"/>
              <w:rPr>
                <w:sz w:val="16"/>
                <w:szCs w:val="16"/>
                <w:color w:val="auto"/>
              </w:rPr>
            </w:pPr>
          </w:p>
        </w:tc>
        <w:tc>
          <w:tcPr>
            <w:tcW w:w="9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4"/>
              </w:rPr>
              <w:t>Percentage</w:t>
            </w:r>
          </w:p>
        </w:tc>
        <w:tc>
          <w:tcPr>
            <w:tcW w:w="0" w:type="dxa"/>
            <w:vAlign w:val="bottom"/>
          </w:tcPr>
          <w:p>
            <w:pPr>
              <w:spacing w:after="0"/>
              <w:rPr>
                <w:sz w:val="1"/>
                <w:szCs w:val="1"/>
                <w:color w:val="auto"/>
              </w:rPr>
            </w:pPr>
          </w:p>
        </w:tc>
      </w:tr>
      <w:tr>
        <w:trPr>
          <w:trHeight w:val="148"/>
        </w:trPr>
        <w:tc>
          <w:tcPr>
            <w:tcW w:w="3220" w:type="dxa"/>
            <w:vAlign w:val="bottom"/>
            <w:shd w:val="clear" w:color="auto" w:fill="434F69"/>
          </w:tcPr>
          <w:p>
            <w:pPr>
              <w:spacing w:after="0"/>
              <w:rPr>
                <w:sz w:val="12"/>
                <w:szCs w:val="12"/>
                <w:color w:val="auto"/>
              </w:rPr>
            </w:pPr>
          </w:p>
        </w:tc>
        <w:tc>
          <w:tcPr>
            <w:tcW w:w="1040" w:type="dxa"/>
            <w:vAlign w:val="bottom"/>
            <w:shd w:val="clear" w:color="auto" w:fill="434F69"/>
          </w:tcPr>
          <w:p>
            <w:pPr>
              <w:spacing w:after="0"/>
              <w:rPr>
                <w:sz w:val="12"/>
                <w:szCs w:val="12"/>
                <w:color w:val="auto"/>
              </w:rPr>
            </w:pPr>
          </w:p>
        </w:tc>
        <w:tc>
          <w:tcPr>
            <w:tcW w:w="840" w:type="dxa"/>
            <w:vAlign w:val="bottom"/>
            <w:shd w:val="clear" w:color="auto" w:fill="434F69"/>
          </w:tcPr>
          <w:p>
            <w:pPr>
              <w:jc w:val="center"/>
              <w:ind w:right="8"/>
              <w:spacing w:after="0" w:line="149" w:lineRule="exact"/>
              <w:rPr>
                <w:sz w:val="20"/>
                <w:szCs w:val="20"/>
                <w:color w:val="auto"/>
              </w:rPr>
            </w:pPr>
            <w:r>
              <w:rPr>
                <w:rFonts w:ascii="Arial" w:cs="Arial" w:eastAsia="Arial" w:hAnsi="Arial"/>
                <w:sz w:val="14"/>
                <w:szCs w:val="14"/>
                <w:b w:val="1"/>
                <w:bCs w:val="1"/>
                <w:color w:val="FFFFFF"/>
                <w:w w:val="84"/>
              </w:rPr>
              <w:t>Percentage</w:t>
            </w:r>
          </w:p>
        </w:tc>
        <w:tc>
          <w:tcPr>
            <w:tcW w:w="1000" w:type="dxa"/>
            <w:vAlign w:val="bottom"/>
            <w:shd w:val="clear" w:color="auto" w:fill="434F69"/>
          </w:tcPr>
          <w:p>
            <w:pPr>
              <w:spacing w:after="0"/>
              <w:rPr>
                <w:sz w:val="12"/>
                <w:szCs w:val="12"/>
                <w:color w:val="auto"/>
              </w:rPr>
            </w:pPr>
          </w:p>
        </w:tc>
        <w:tc>
          <w:tcPr>
            <w:tcW w:w="840" w:type="dxa"/>
            <w:vAlign w:val="bottom"/>
            <w:vMerge w:val="continue"/>
            <w:shd w:val="clear" w:color="auto" w:fill="434F69"/>
          </w:tcPr>
          <w:p>
            <w:pPr>
              <w:spacing w:after="0"/>
              <w:rPr>
                <w:sz w:val="12"/>
                <w:szCs w:val="12"/>
                <w:color w:val="auto"/>
              </w:rPr>
            </w:pPr>
          </w:p>
        </w:tc>
        <w:tc>
          <w:tcPr>
            <w:tcW w:w="940" w:type="dxa"/>
            <w:vAlign w:val="bottom"/>
            <w:shd w:val="clear" w:color="auto" w:fill="434F69"/>
          </w:tcPr>
          <w:p>
            <w:pPr>
              <w:spacing w:after="0"/>
              <w:rPr>
                <w:sz w:val="12"/>
                <w:szCs w:val="12"/>
                <w:color w:val="auto"/>
              </w:rPr>
            </w:pPr>
          </w:p>
        </w:tc>
        <w:tc>
          <w:tcPr>
            <w:tcW w:w="920" w:type="dxa"/>
            <w:vAlign w:val="bottom"/>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84"/>
              </w:rPr>
              <w:t>Percentage</w:t>
            </w:r>
          </w:p>
        </w:tc>
        <w:tc>
          <w:tcPr>
            <w:tcW w:w="920" w:type="dxa"/>
            <w:vAlign w:val="bottom"/>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0"/>
              </w:rPr>
              <w:t>of</w:t>
            </w:r>
          </w:p>
        </w:tc>
        <w:tc>
          <w:tcPr>
            <w:tcW w:w="0" w:type="dxa"/>
            <w:vAlign w:val="bottom"/>
          </w:tcPr>
          <w:p>
            <w:pPr>
              <w:spacing w:after="0"/>
              <w:rPr>
                <w:sz w:val="1"/>
                <w:szCs w:val="1"/>
                <w:color w:val="auto"/>
              </w:rPr>
            </w:pPr>
          </w:p>
        </w:tc>
      </w:tr>
      <w:tr>
        <w:trPr>
          <w:trHeight w:val="162"/>
        </w:trPr>
        <w:tc>
          <w:tcPr>
            <w:tcW w:w="3220" w:type="dxa"/>
            <w:vAlign w:val="bottom"/>
            <w:shd w:val="clear" w:color="auto" w:fill="434F69"/>
          </w:tcPr>
          <w:p>
            <w:pPr>
              <w:spacing w:after="0"/>
              <w:rPr>
                <w:sz w:val="14"/>
                <w:szCs w:val="14"/>
                <w:color w:val="auto"/>
              </w:rPr>
            </w:pPr>
          </w:p>
        </w:tc>
        <w:tc>
          <w:tcPr>
            <w:tcW w:w="10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Class A</w:t>
            </w:r>
          </w:p>
        </w:tc>
        <w:tc>
          <w:tcPr>
            <w:tcW w:w="840" w:type="dxa"/>
            <w:vAlign w:val="bottom"/>
            <w:shd w:val="clear" w:color="auto" w:fill="434F69"/>
          </w:tcPr>
          <w:p>
            <w:pPr>
              <w:jc w:val="center"/>
              <w:ind w:right="8"/>
              <w:spacing w:after="0"/>
              <w:rPr>
                <w:sz w:val="20"/>
                <w:szCs w:val="20"/>
                <w:color w:val="auto"/>
              </w:rPr>
            </w:pPr>
            <w:r>
              <w:rPr>
                <w:rFonts w:ascii="Arial" w:cs="Arial" w:eastAsia="Arial" w:hAnsi="Arial"/>
                <w:sz w:val="14"/>
                <w:szCs w:val="14"/>
                <w:b w:val="1"/>
                <w:bCs w:val="1"/>
                <w:color w:val="FFFFFF"/>
                <w:w w:val="87"/>
              </w:rPr>
              <w:t>of Class A</w:t>
            </w:r>
          </w:p>
        </w:tc>
        <w:tc>
          <w:tcPr>
            <w:tcW w:w="1000" w:type="dxa"/>
            <w:vAlign w:val="bottom"/>
            <w:shd w:val="clear" w:color="auto" w:fill="434F69"/>
          </w:tcPr>
          <w:p>
            <w:pPr>
              <w:jc w:val="center"/>
              <w:ind w:right="11"/>
              <w:spacing w:after="0"/>
              <w:rPr>
                <w:sz w:val="20"/>
                <w:szCs w:val="20"/>
                <w:color w:val="auto"/>
              </w:rPr>
            </w:pPr>
            <w:r>
              <w:rPr>
                <w:rFonts w:ascii="Arial" w:cs="Arial" w:eastAsia="Arial" w:hAnsi="Arial"/>
                <w:sz w:val="14"/>
                <w:szCs w:val="14"/>
                <w:b w:val="1"/>
                <w:bCs w:val="1"/>
                <w:color w:val="FFFFFF"/>
                <w:w w:val="85"/>
              </w:rPr>
              <w:t>Class B</w:t>
            </w:r>
          </w:p>
        </w:tc>
        <w:tc>
          <w:tcPr>
            <w:tcW w:w="840" w:type="dxa"/>
            <w:vAlign w:val="bottom"/>
            <w:shd w:val="clear" w:color="auto" w:fill="434F69"/>
          </w:tcPr>
          <w:p>
            <w:pPr>
              <w:jc w:val="center"/>
              <w:ind w:right="28"/>
              <w:spacing w:after="0"/>
              <w:rPr>
                <w:sz w:val="20"/>
                <w:szCs w:val="20"/>
                <w:color w:val="auto"/>
              </w:rPr>
            </w:pPr>
            <w:r>
              <w:rPr>
                <w:rFonts w:ascii="Arial" w:cs="Arial" w:eastAsia="Arial" w:hAnsi="Arial"/>
                <w:sz w:val="14"/>
                <w:szCs w:val="14"/>
                <w:b w:val="1"/>
                <w:bCs w:val="1"/>
                <w:color w:val="FFFFFF"/>
                <w:w w:val="84"/>
              </w:rPr>
              <w:t>of Class B</w:t>
            </w:r>
          </w:p>
        </w:tc>
        <w:tc>
          <w:tcPr>
            <w:tcW w:w="9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Class C</w:t>
            </w:r>
          </w:p>
        </w:tc>
        <w:tc>
          <w:tcPr>
            <w:tcW w:w="9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of Class C</w:t>
            </w:r>
          </w:p>
        </w:tc>
        <w:tc>
          <w:tcPr>
            <w:tcW w:w="9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Class A,</w:t>
            </w:r>
          </w:p>
        </w:tc>
        <w:tc>
          <w:tcPr>
            <w:tcW w:w="0" w:type="dxa"/>
            <w:vAlign w:val="bottom"/>
          </w:tcPr>
          <w:p>
            <w:pPr>
              <w:spacing w:after="0"/>
              <w:rPr>
                <w:sz w:val="1"/>
                <w:szCs w:val="1"/>
                <w:color w:val="auto"/>
              </w:rPr>
            </w:pPr>
          </w:p>
        </w:tc>
      </w:tr>
      <w:tr>
        <w:trPr>
          <w:trHeight w:val="162"/>
        </w:trPr>
        <w:tc>
          <w:tcPr>
            <w:tcW w:w="3220" w:type="dxa"/>
            <w:vAlign w:val="bottom"/>
            <w:shd w:val="clear" w:color="auto" w:fill="434F69"/>
          </w:tcPr>
          <w:p>
            <w:pPr>
              <w:spacing w:after="0"/>
              <w:rPr>
                <w:sz w:val="14"/>
                <w:szCs w:val="14"/>
                <w:color w:val="auto"/>
              </w:rPr>
            </w:pPr>
          </w:p>
        </w:tc>
        <w:tc>
          <w:tcPr>
            <w:tcW w:w="10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Shares</w:t>
            </w:r>
          </w:p>
        </w:tc>
        <w:tc>
          <w:tcPr>
            <w:tcW w:w="840" w:type="dxa"/>
            <w:vAlign w:val="bottom"/>
            <w:shd w:val="clear" w:color="auto" w:fill="434F69"/>
          </w:tcPr>
          <w:p>
            <w:pPr>
              <w:jc w:val="center"/>
              <w:ind w:right="8"/>
              <w:spacing w:after="0"/>
              <w:rPr>
                <w:sz w:val="20"/>
                <w:szCs w:val="20"/>
                <w:color w:val="auto"/>
              </w:rPr>
            </w:pPr>
            <w:r>
              <w:rPr>
                <w:rFonts w:ascii="Arial" w:cs="Arial" w:eastAsia="Arial" w:hAnsi="Arial"/>
                <w:sz w:val="14"/>
                <w:szCs w:val="14"/>
                <w:b w:val="1"/>
                <w:bCs w:val="1"/>
                <w:color w:val="FFFFFF"/>
                <w:w w:val="85"/>
              </w:rPr>
              <w:t>Shares</w:t>
            </w:r>
          </w:p>
        </w:tc>
        <w:tc>
          <w:tcPr>
            <w:tcW w:w="1000" w:type="dxa"/>
            <w:vAlign w:val="bottom"/>
            <w:shd w:val="clear" w:color="auto" w:fill="434F69"/>
          </w:tcPr>
          <w:p>
            <w:pPr>
              <w:jc w:val="center"/>
              <w:ind w:right="11"/>
              <w:spacing w:after="0"/>
              <w:rPr>
                <w:sz w:val="20"/>
                <w:szCs w:val="20"/>
                <w:color w:val="auto"/>
              </w:rPr>
            </w:pPr>
            <w:r>
              <w:rPr>
                <w:rFonts w:ascii="Arial" w:cs="Arial" w:eastAsia="Arial" w:hAnsi="Arial"/>
                <w:sz w:val="14"/>
                <w:szCs w:val="14"/>
                <w:b w:val="1"/>
                <w:bCs w:val="1"/>
                <w:color w:val="FFFFFF"/>
                <w:w w:val="85"/>
              </w:rPr>
              <w:t>Shares</w:t>
            </w:r>
          </w:p>
        </w:tc>
        <w:tc>
          <w:tcPr>
            <w:tcW w:w="840" w:type="dxa"/>
            <w:vAlign w:val="bottom"/>
            <w:shd w:val="clear" w:color="auto" w:fill="434F69"/>
          </w:tcPr>
          <w:p>
            <w:pPr>
              <w:jc w:val="center"/>
              <w:ind w:right="8"/>
              <w:spacing w:after="0"/>
              <w:rPr>
                <w:sz w:val="20"/>
                <w:szCs w:val="20"/>
                <w:color w:val="auto"/>
              </w:rPr>
            </w:pPr>
            <w:r>
              <w:rPr>
                <w:rFonts w:ascii="Arial" w:cs="Arial" w:eastAsia="Arial" w:hAnsi="Arial"/>
                <w:sz w:val="14"/>
                <w:szCs w:val="14"/>
                <w:b w:val="1"/>
                <w:bCs w:val="1"/>
                <w:color w:val="FFFFFF"/>
                <w:w w:val="85"/>
              </w:rPr>
              <w:t>Shares</w:t>
            </w:r>
          </w:p>
        </w:tc>
        <w:tc>
          <w:tcPr>
            <w:tcW w:w="9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Shares</w:t>
            </w:r>
          </w:p>
        </w:tc>
        <w:tc>
          <w:tcPr>
            <w:tcW w:w="9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Shares</w:t>
            </w:r>
          </w:p>
        </w:tc>
        <w:tc>
          <w:tcPr>
            <w:tcW w:w="9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B and C</w:t>
            </w:r>
          </w:p>
        </w:tc>
        <w:tc>
          <w:tcPr>
            <w:tcW w:w="0" w:type="dxa"/>
            <w:vAlign w:val="bottom"/>
          </w:tcPr>
          <w:p>
            <w:pPr>
              <w:spacing w:after="0"/>
              <w:rPr>
                <w:sz w:val="1"/>
                <w:szCs w:val="1"/>
                <w:color w:val="auto"/>
              </w:rPr>
            </w:pPr>
          </w:p>
        </w:tc>
      </w:tr>
      <w:tr>
        <w:trPr>
          <w:trHeight w:val="158"/>
        </w:trPr>
        <w:tc>
          <w:tcPr>
            <w:tcW w:w="3220" w:type="dxa"/>
            <w:vAlign w:val="bottom"/>
            <w:shd w:val="clear" w:color="auto" w:fill="434F69"/>
          </w:tcPr>
          <w:p>
            <w:pPr>
              <w:ind w:left="80"/>
              <w:spacing w:after="0" w:line="158" w:lineRule="exact"/>
              <w:rPr>
                <w:sz w:val="20"/>
                <w:szCs w:val="20"/>
                <w:color w:val="auto"/>
              </w:rPr>
            </w:pPr>
            <w:r>
              <w:rPr>
                <w:rFonts w:ascii="Arial" w:cs="Arial" w:eastAsia="Arial" w:hAnsi="Arial"/>
                <w:sz w:val="14"/>
                <w:szCs w:val="14"/>
                <w:b w:val="1"/>
                <w:bCs w:val="1"/>
                <w:color w:val="FFFFFF"/>
                <w:w w:val="91"/>
              </w:rPr>
              <w:t>Name of Beneficial Owner and Address (in the case</w:t>
            </w:r>
          </w:p>
        </w:tc>
        <w:tc>
          <w:tcPr>
            <w:tcW w:w="104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7"/>
              </w:rPr>
              <w:t>Beneficially</w:t>
            </w:r>
          </w:p>
        </w:tc>
        <w:tc>
          <w:tcPr>
            <w:tcW w:w="840" w:type="dxa"/>
            <w:vAlign w:val="bottom"/>
            <w:shd w:val="clear" w:color="auto" w:fill="434F69"/>
          </w:tcPr>
          <w:p>
            <w:pPr>
              <w:jc w:val="center"/>
              <w:ind w:right="8"/>
              <w:spacing w:after="0" w:line="158" w:lineRule="exact"/>
              <w:rPr>
                <w:sz w:val="20"/>
                <w:szCs w:val="20"/>
                <w:color w:val="auto"/>
              </w:rPr>
            </w:pPr>
            <w:r>
              <w:rPr>
                <w:rFonts w:ascii="Arial" w:cs="Arial" w:eastAsia="Arial" w:hAnsi="Arial"/>
                <w:sz w:val="14"/>
                <w:szCs w:val="14"/>
                <w:b w:val="1"/>
                <w:bCs w:val="1"/>
                <w:color w:val="FFFFFF"/>
                <w:w w:val="87"/>
              </w:rPr>
              <w:t>Beneficially</w:t>
            </w:r>
          </w:p>
        </w:tc>
        <w:tc>
          <w:tcPr>
            <w:tcW w:w="1000" w:type="dxa"/>
            <w:vAlign w:val="bottom"/>
            <w:shd w:val="clear" w:color="auto" w:fill="434F69"/>
          </w:tcPr>
          <w:p>
            <w:pPr>
              <w:jc w:val="center"/>
              <w:ind w:right="11"/>
              <w:spacing w:after="0" w:line="158" w:lineRule="exact"/>
              <w:rPr>
                <w:sz w:val="20"/>
                <w:szCs w:val="20"/>
                <w:color w:val="auto"/>
              </w:rPr>
            </w:pPr>
            <w:r>
              <w:rPr>
                <w:rFonts w:ascii="Arial" w:cs="Arial" w:eastAsia="Arial" w:hAnsi="Arial"/>
                <w:sz w:val="14"/>
                <w:szCs w:val="14"/>
                <w:b w:val="1"/>
                <w:bCs w:val="1"/>
                <w:color w:val="FFFFFF"/>
                <w:w w:val="87"/>
              </w:rPr>
              <w:t>Beneficially</w:t>
            </w:r>
          </w:p>
        </w:tc>
        <w:tc>
          <w:tcPr>
            <w:tcW w:w="840" w:type="dxa"/>
            <w:vAlign w:val="bottom"/>
            <w:shd w:val="clear" w:color="auto" w:fill="434F69"/>
          </w:tcPr>
          <w:p>
            <w:pPr>
              <w:jc w:val="center"/>
              <w:ind w:right="28"/>
              <w:spacing w:after="0" w:line="158" w:lineRule="exact"/>
              <w:rPr>
                <w:sz w:val="20"/>
                <w:szCs w:val="20"/>
                <w:color w:val="auto"/>
              </w:rPr>
            </w:pPr>
            <w:r>
              <w:rPr>
                <w:rFonts w:ascii="Arial" w:cs="Arial" w:eastAsia="Arial" w:hAnsi="Arial"/>
                <w:sz w:val="14"/>
                <w:szCs w:val="14"/>
                <w:b w:val="1"/>
                <w:bCs w:val="1"/>
                <w:color w:val="FFFFFF"/>
                <w:w w:val="89"/>
              </w:rPr>
              <w:t>Beneficially</w:t>
            </w:r>
          </w:p>
        </w:tc>
        <w:tc>
          <w:tcPr>
            <w:tcW w:w="94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7"/>
              </w:rPr>
              <w:t>Beneficially</w:t>
            </w:r>
          </w:p>
        </w:tc>
        <w:tc>
          <w:tcPr>
            <w:tcW w:w="92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7"/>
              </w:rPr>
              <w:t>Beneficially</w:t>
            </w:r>
          </w:p>
        </w:tc>
        <w:tc>
          <w:tcPr>
            <w:tcW w:w="92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5"/>
              </w:rPr>
              <w:t>Shares</w:t>
            </w:r>
          </w:p>
        </w:tc>
        <w:tc>
          <w:tcPr>
            <w:tcW w:w="0" w:type="dxa"/>
            <w:vAlign w:val="bottom"/>
          </w:tcPr>
          <w:p>
            <w:pPr>
              <w:spacing w:after="0"/>
              <w:rPr>
                <w:sz w:val="1"/>
                <w:szCs w:val="1"/>
                <w:color w:val="auto"/>
              </w:rPr>
            </w:pPr>
          </w:p>
        </w:tc>
      </w:tr>
      <w:tr>
        <w:trPr>
          <w:trHeight w:val="203"/>
        </w:trPr>
        <w:tc>
          <w:tcPr>
            <w:tcW w:w="3220" w:type="dxa"/>
            <w:vAlign w:val="bottom"/>
            <w:shd w:val="clear" w:color="auto" w:fill="434F69"/>
          </w:tcPr>
          <w:p>
            <w:pPr>
              <w:ind w:left="80"/>
              <w:spacing w:after="0"/>
              <w:rPr>
                <w:sz w:val="20"/>
                <w:szCs w:val="20"/>
                <w:color w:val="auto"/>
              </w:rPr>
            </w:pPr>
            <w:r>
              <w:rPr>
                <w:rFonts w:ascii="Arial" w:cs="Arial" w:eastAsia="Arial" w:hAnsi="Arial"/>
                <w:sz w:val="14"/>
                <w:szCs w:val="14"/>
                <w:b w:val="1"/>
                <w:bCs w:val="1"/>
                <w:color w:val="FFFFFF"/>
              </w:rPr>
              <w:t>of Owners of more than 5%)</w:t>
            </w:r>
          </w:p>
        </w:tc>
        <w:tc>
          <w:tcPr>
            <w:tcW w:w="1040" w:type="dxa"/>
            <w:vAlign w:val="bottom"/>
            <w:shd w:val="clear" w:color="auto" w:fill="434F69"/>
          </w:tcPr>
          <w:p>
            <w:pPr>
              <w:jc w:val="center"/>
              <w:spacing w:after="0" w:line="203" w:lineRule="exact"/>
              <w:rPr>
                <w:sz w:val="20"/>
                <w:szCs w:val="20"/>
                <w:color w:val="auto"/>
              </w:rPr>
            </w:pPr>
            <w:r>
              <w:rPr>
                <w:rFonts w:ascii="Arial" w:cs="Arial" w:eastAsia="Arial" w:hAnsi="Arial"/>
                <w:sz w:val="14"/>
                <w:szCs w:val="14"/>
                <w:b w:val="1"/>
                <w:bCs w:val="1"/>
                <w:color w:val="FFFFFF"/>
                <w:w w:val="84"/>
              </w:rPr>
              <w:t>Owned</w:t>
            </w:r>
            <w:r>
              <w:rPr>
                <w:rFonts w:ascii="Arial" w:cs="Arial" w:eastAsia="Arial" w:hAnsi="Arial"/>
                <w:sz w:val="21"/>
                <w:szCs w:val="21"/>
                <w:b w:val="1"/>
                <w:bCs w:val="1"/>
                <w:color w:val="FFFFFF"/>
                <w:w w:val="84"/>
                <w:vertAlign w:val="superscript"/>
              </w:rPr>
              <w:t>(1)</w:t>
            </w:r>
          </w:p>
        </w:tc>
        <w:tc>
          <w:tcPr>
            <w:tcW w:w="84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Owned</w:t>
            </w:r>
          </w:p>
        </w:tc>
        <w:tc>
          <w:tcPr>
            <w:tcW w:w="1000" w:type="dxa"/>
            <w:vAlign w:val="bottom"/>
            <w:shd w:val="clear" w:color="auto" w:fill="434F69"/>
          </w:tcPr>
          <w:p>
            <w:pPr>
              <w:jc w:val="center"/>
              <w:spacing w:after="0" w:line="202" w:lineRule="exact"/>
              <w:rPr>
                <w:sz w:val="20"/>
                <w:szCs w:val="20"/>
                <w:color w:val="auto"/>
              </w:rPr>
            </w:pPr>
            <w:r>
              <w:rPr>
                <w:rFonts w:ascii="Arial" w:cs="Arial" w:eastAsia="Arial" w:hAnsi="Arial"/>
                <w:sz w:val="23"/>
                <w:szCs w:val="23"/>
                <w:b w:val="1"/>
                <w:bCs w:val="1"/>
                <w:color w:val="FFFFFF"/>
                <w:w w:val="87"/>
                <w:vertAlign w:val="subscript"/>
              </w:rPr>
              <w:t>Owned</w:t>
            </w:r>
            <w:r>
              <w:rPr>
                <w:rFonts w:ascii="Arial" w:cs="Arial" w:eastAsia="Arial" w:hAnsi="Arial"/>
                <w:sz w:val="10"/>
                <w:szCs w:val="10"/>
                <w:b w:val="1"/>
                <w:bCs w:val="1"/>
                <w:color w:val="FFFFFF"/>
                <w:w w:val="87"/>
              </w:rPr>
              <w:t>(1)(2)</w:t>
            </w:r>
          </w:p>
        </w:tc>
        <w:tc>
          <w:tcPr>
            <w:tcW w:w="840" w:type="dxa"/>
            <w:vAlign w:val="bottom"/>
            <w:shd w:val="clear" w:color="auto" w:fill="434F69"/>
          </w:tcPr>
          <w:p>
            <w:pPr>
              <w:jc w:val="center"/>
              <w:spacing w:after="0" w:line="203" w:lineRule="exact"/>
              <w:rPr>
                <w:sz w:val="20"/>
                <w:szCs w:val="20"/>
                <w:color w:val="auto"/>
              </w:rPr>
            </w:pPr>
            <w:r>
              <w:rPr>
                <w:rFonts w:ascii="Arial" w:cs="Arial" w:eastAsia="Arial" w:hAnsi="Arial"/>
                <w:sz w:val="14"/>
                <w:szCs w:val="14"/>
                <w:b w:val="1"/>
                <w:bCs w:val="1"/>
                <w:color w:val="FFFFFF"/>
                <w:w w:val="84"/>
              </w:rPr>
              <w:t>Owned</w:t>
            </w:r>
            <w:r>
              <w:rPr>
                <w:rFonts w:ascii="Arial" w:cs="Arial" w:eastAsia="Arial" w:hAnsi="Arial"/>
                <w:sz w:val="21"/>
                <w:szCs w:val="21"/>
                <w:b w:val="1"/>
                <w:bCs w:val="1"/>
                <w:color w:val="FFFFFF"/>
                <w:w w:val="84"/>
                <w:vertAlign w:val="superscript"/>
              </w:rPr>
              <w:t>(2)</w:t>
            </w:r>
          </w:p>
        </w:tc>
        <w:tc>
          <w:tcPr>
            <w:tcW w:w="940" w:type="dxa"/>
            <w:vAlign w:val="bottom"/>
            <w:shd w:val="clear" w:color="auto" w:fill="434F69"/>
          </w:tcPr>
          <w:p>
            <w:pPr>
              <w:jc w:val="center"/>
              <w:spacing w:after="0" w:line="203" w:lineRule="exact"/>
              <w:rPr>
                <w:sz w:val="20"/>
                <w:szCs w:val="20"/>
                <w:color w:val="auto"/>
              </w:rPr>
            </w:pPr>
            <w:r>
              <w:rPr>
                <w:rFonts w:ascii="Arial" w:cs="Arial" w:eastAsia="Arial" w:hAnsi="Arial"/>
                <w:sz w:val="14"/>
                <w:szCs w:val="14"/>
                <w:b w:val="1"/>
                <w:bCs w:val="1"/>
                <w:color w:val="FFFFFF"/>
                <w:w w:val="84"/>
              </w:rPr>
              <w:t>Owned</w:t>
            </w:r>
            <w:r>
              <w:rPr>
                <w:rFonts w:ascii="Arial" w:cs="Arial" w:eastAsia="Arial" w:hAnsi="Arial"/>
                <w:sz w:val="21"/>
                <w:szCs w:val="21"/>
                <w:b w:val="1"/>
                <w:bCs w:val="1"/>
                <w:color w:val="FFFFFF"/>
                <w:w w:val="84"/>
                <w:vertAlign w:val="superscript"/>
              </w:rPr>
              <w:t>(3)</w:t>
            </w:r>
          </w:p>
        </w:tc>
        <w:tc>
          <w:tcPr>
            <w:tcW w:w="9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Owned</w:t>
            </w:r>
          </w:p>
        </w:tc>
        <w:tc>
          <w:tcPr>
            <w:tcW w:w="92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Combined</w:t>
            </w:r>
          </w:p>
        </w:tc>
        <w:tc>
          <w:tcPr>
            <w:tcW w:w="0" w:type="dxa"/>
            <w:vAlign w:val="bottom"/>
          </w:tcPr>
          <w:p>
            <w:pPr>
              <w:spacing w:after="0"/>
              <w:rPr>
                <w:sz w:val="1"/>
                <w:szCs w:val="1"/>
                <w:color w:val="auto"/>
              </w:rPr>
            </w:pPr>
          </w:p>
        </w:tc>
      </w:tr>
      <w:tr>
        <w:trPr>
          <w:trHeight w:val="203"/>
        </w:trPr>
        <w:tc>
          <w:tcPr>
            <w:tcW w:w="3220" w:type="dxa"/>
            <w:vAlign w:val="bottom"/>
            <w:shd w:val="clear" w:color="auto" w:fill="D9DCE1"/>
          </w:tcPr>
          <w:p>
            <w:pPr>
              <w:ind w:left="80"/>
              <w:spacing w:after="0" w:line="203" w:lineRule="exact"/>
              <w:rPr>
                <w:sz w:val="20"/>
                <w:szCs w:val="20"/>
                <w:color w:val="auto"/>
              </w:rPr>
            </w:pPr>
            <w:r>
              <w:rPr>
                <w:rFonts w:ascii="Arial" w:cs="Arial" w:eastAsia="Arial" w:hAnsi="Arial"/>
                <w:sz w:val="14"/>
                <w:szCs w:val="14"/>
                <w:color w:val="auto"/>
              </w:rPr>
              <w:t>Massachusetts Financial Services Company</w:t>
            </w:r>
            <w:r>
              <w:rPr>
                <w:rFonts w:ascii="Arial" w:cs="Arial" w:eastAsia="Arial" w:hAnsi="Arial"/>
                <w:sz w:val="21"/>
                <w:szCs w:val="21"/>
                <w:color w:val="auto"/>
                <w:vertAlign w:val="superscript"/>
              </w:rPr>
              <w:t>(4)</w:t>
            </w:r>
          </w:p>
        </w:tc>
        <w:tc>
          <w:tcPr>
            <w:tcW w:w="10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16,228,837</w:t>
            </w:r>
          </w:p>
        </w:tc>
        <w:tc>
          <w:tcPr>
            <w:tcW w:w="8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8.4%</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4"/>
        </w:trPr>
        <w:tc>
          <w:tcPr>
            <w:tcW w:w="3220" w:type="dxa"/>
            <w:vAlign w:val="bottom"/>
          </w:tcPr>
          <w:p>
            <w:pPr>
              <w:ind w:left="220"/>
              <w:spacing w:after="0"/>
              <w:rPr>
                <w:sz w:val="20"/>
                <w:szCs w:val="20"/>
                <w:color w:val="auto"/>
              </w:rPr>
            </w:pPr>
            <w:r>
              <w:rPr>
                <w:rFonts w:ascii="Arial" w:cs="Arial" w:eastAsia="Arial" w:hAnsi="Arial"/>
                <w:sz w:val="14"/>
                <w:szCs w:val="14"/>
                <w:color w:val="auto"/>
              </w:rPr>
              <w:t>111 Huntington Avenue</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220" w:type="dxa"/>
            <w:vAlign w:val="bottom"/>
          </w:tcPr>
          <w:p>
            <w:pPr>
              <w:ind w:left="220"/>
              <w:spacing w:after="0"/>
              <w:rPr>
                <w:sz w:val="20"/>
                <w:szCs w:val="20"/>
                <w:color w:val="auto"/>
              </w:rPr>
            </w:pPr>
            <w:r>
              <w:rPr>
                <w:rFonts w:ascii="Arial" w:cs="Arial" w:eastAsia="Arial" w:hAnsi="Arial"/>
                <w:sz w:val="14"/>
                <w:szCs w:val="14"/>
                <w:color w:val="auto"/>
              </w:rPr>
              <w:t>Boston, MA 02199</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D9DCE1"/>
          </w:tcPr>
          <w:p>
            <w:pPr>
              <w:ind w:left="80"/>
              <w:spacing w:after="0" w:line="203" w:lineRule="exact"/>
              <w:rPr>
                <w:sz w:val="20"/>
                <w:szCs w:val="20"/>
                <w:color w:val="auto"/>
              </w:rPr>
            </w:pPr>
            <w:r>
              <w:rPr>
                <w:rFonts w:ascii="Arial" w:cs="Arial" w:eastAsia="Arial" w:hAnsi="Arial"/>
                <w:sz w:val="14"/>
                <w:szCs w:val="14"/>
                <w:color w:val="auto"/>
              </w:rPr>
              <w:t>Tortoise Capital Advisors, L.L.C.</w:t>
            </w:r>
            <w:r>
              <w:rPr>
                <w:rFonts w:ascii="Arial" w:cs="Arial" w:eastAsia="Arial" w:hAnsi="Arial"/>
                <w:sz w:val="21"/>
                <w:szCs w:val="21"/>
                <w:color w:val="auto"/>
                <w:vertAlign w:val="superscript"/>
              </w:rPr>
              <w:t>(5)</w:t>
            </w:r>
          </w:p>
        </w:tc>
        <w:tc>
          <w:tcPr>
            <w:tcW w:w="10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13,973,270</w:t>
            </w:r>
          </w:p>
        </w:tc>
        <w:tc>
          <w:tcPr>
            <w:tcW w:w="8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7.2%</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28,898,675</w:t>
            </w:r>
          </w:p>
        </w:tc>
        <w:tc>
          <w:tcPr>
            <w:tcW w:w="92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5.3%</w:t>
            </w:r>
          </w:p>
        </w:tc>
        <w:tc>
          <w:tcPr>
            <w:tcW w:w="92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24"/>
        </w:trPr>
        <w:tc>
          <w:tcPr>
            <w:tcW w:w="3220" w:type="dxa"/>
            <w:vAlign w:val="bottom"/>
          </w:tcPr>
          <w:p>
            <w:pPr>
              <w:ind w:left="220"/>
              <w:spacing w:after="0" w:line="224" w:lineRule="exact"/>
              <w:rPr>
                <w:sz w:val="20"/>
                <w:szCs w:val="20"/>
                <w:color w:val="auto"/>
              </w:rPr>
            </w:pPr>
            <w:r>
              <w:rPr>
                <w:rFonts w:ascii="Arial" w:cs="Arial" w:eastAsia="Arial" w:hAnsi="Arial"/>
                <w:sz w:val="14"/>
                <w:szCs w:val="14"/>
                <w:color w:val="auto"/>
              </w:rPr>
              <w:t>5100 W 115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Place</w:t>
            </w: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220" w:type="dxa"/>
            <w:vAlign w:val="bottom"/>
          </w:tcPr>
          <w:p>
            <w:pPr>
              <w:ind w:left="220"/>
              <w:spacing w:after="0"/>
              <w:rPr>
                <w:sz w:val="20"/>
                <w:szCs w:val="20"/>
                <w:color w:val="auto"/>
              </w:rPr>
            </w:pPr>
            <w:r>
              <w:rPr>
                <w:rFonts w:ascii="Arial" w:cs="Arial" w:eastAsia="Arial" w:hAnsi="Arial"/>
                <w:sz w:val="14"/>
                <w:szCs w:val="14"/>
                <w:color w:val="auto"/>
              </w:rPr>
              <w:t>Leawood, KS 66211</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D9DCE1"/>
          </w:tcPr>
          <w:p>
            <w:pPr>
              <w:ind w:left="80"/>
              <w:spacing w:after="0" w:line="203" w:lineRule="exact"/>
              <w:rPr>
                <w:sz w:val="20"/>
                <w:szCs w:val="20"/>
                <w:color w:val="auto"/>
              </w:rPr>
            </w:pPr>
            <w:r>
              <w:rPr>
                <w:rFonts w:ascii="Arial" w:cs="Arial" w:eastAsia="Arial" w:hAnsi="Arial"/>
                <w:sz w:val="14"/>
                <w:szCs w:val="14"/>
                <w:color w:val="auto"/>
              </w:rPr>
              <w:t>Chickasaw Capital Management, LLC</w:t>
            </w:r>
            <w:r>
              <w:rPr>
                <w:rFonts w:ascii="Arial" w:cs="Arial" w:eastAsia="Arial" w:hAnsi="Arial"/>
                <w:sz w:val="21"/>
                <w:szCs w:val="21"/>
                <w:color w:val="auto"/>
                <w:vertAlign w:val="superscript"/>
              </w:rPr>
              <w:t>(6)</w:t>
            </w:r>
          </w:p>
        </w:tc>
        <w:tc>
          <w:tcPr>
            <w:tcW w:w="10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10,327,410</w:t>
            </w:r>
          </w:p>
        </w:tc>
        <w:tc>
          <w:tcPr>
            <w:tcW w:w="8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5.3%</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4"/>
        </w:trPr>
        <w:tc>
          <w:tcPr>
            <w:tcW w:w="3220" w:type="dxa"/>
            <w:vAlign w:val="bottom"/>
          </w:tcPr>
          <w:p>
            <w:pPr>
              <w:ind w:left="220"/>
              <w:spacing w:after="0"/>
              <w:rPr>
                <w:sz w:val="20"/>
                <w:szCs w:val="20"/>
                <w:color w:val="auto"/>
              </w:rPr>
            </w:pPr>
            <w:r>
              <w:rPr>
                <w:rFonts w:ascii="Arial" w:cs="Arial" w:eastAsia="Arial" w:hAnsi="Arial"/>
                <w:sz w:val="14"/>
                <w:szCs w:val="14"/>
                <w:color w:val="auto"/>
              </w:rPr>
              <w:t>6075 Poplar Avenue, Suite 720</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220" w:type="dxa"/>
            <w:vAlign w:val="bottom"/>
          </w:tcPr>
          <w:p>
            <w:pPr>
              <w:ind w:left="220"/>
              <w:spacing w:after="0"/>
              <w:rPr>
                <w:sz w:val="20"/>
                <w:szCs w:val="20"/>
                <w:color w:val="auto"/>
              </w:rPr>
            </w:pPr>
            <w:r>
              <w:rPr>
                <w:rFonts w:ascii="Arial" w:cs="Arial" w:eastAsia="Arial" w:hAnsi="Arial"/>
                <w:sz w:val="14"/>
                <w:szCs w:val="14"/>
                <w:color w:val="auto"/>
              </w:rPr>
              <w:t>Memphis, TN 38119</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D9DCE1"/>
          </w:tcPr>
          <w:p>
            <w:pPr>
              <w:ind w:left="80"/>
              <w:spacing w:after="0"/>
              <w:rPr>
                <w:sz w:val="20"/>
                <w:szCs w:val="20"/>
                <w:color w:val="auto"/>
              </w:rPr>
            </w:pPr>
            <w:r>
              <w:rPr>
                <w:rFonts w:ascii="Arial" w:cs="Arial" w:eastAsia="Arial" w:hAnsi="Arial"/>
                <w:sz w:val="14"/>
                <w:szCs w:val="14"/>
                <w:color w:val="auto"/>
              </w:rPr>
              <w:t>Kayne Anderson Capital Advisors, L.P./</w:t>
            </w:r>
          </w:p>
        </w:tc>
        <w:tc>
          <w:tcPr>
            <w:tcW w:w="1040" w:type="dxa"/>
            <w:vAlign w:val="bottom"/>
            <w:shd w:val="clear" w:color="auto" w:fill="D9DCE1"/>
          </w:tcPr>
          <w:p>
            <w:pPr>
              <w:spacing w:after="0"/>
              <w:rPr>
                <w:sz w:val="14"/>
                <w:szCs w:val="14"/>
                <w:color w:val="auto"/>
              </w:rPr>
            </w:pPr>
          </w:p>
        </w:tc>
        <w:tc>
          <w:tcPr>
            <w:tcW w:w="840" w:type="dxa"/>
            <w:vAlign w:val="bottom"/>
            <w:shd w:val="clear" w:color="auto" w:fill="D9DCE1"/>
          </w:tcPr>
          <w:p>
            <w:pPr>
              <w:spacing w:after="0"/>
              <w:rPr>
                <w:sz w:val="14"/>
                <w:szCs w:val="14"/>
                <w:color w:val="auto"/>
              </w:rPr>
            </w:pPr>
          </w:p>
        </w:tc>
        <w:tc>
          <w:tcPr>
            <w:tcW w:w="1000" w:type="dxa"/>
            <w:vAlign w:val="bottom"/>
            <w:shd w:val="clear" w:color="auto" w:fill="D9DCE1"/>
          </w:tcPr>
          <w:p>
            <w:pPr>
              <w:spacing w:after="0"/>
              <w:rPr>
                <w:sz w:val="14"/>
                <w:szCs w:val="14"/>
                <w:color w:val="auto"/>
              </w:rPr>
            </w:pPr>
          </w:p>
        </w:tc>
        <w:tc>
          <w:tcPr>
            <w:tcW w:w="840" w:type="dxa"/>
            <w:vAlign w:val="bottom"/>
            <w:shd w:val="clear" w:color="auto" w:fill="D9DCE1"/>
          </w:tcPr>
          <w:p>
            <w:pPr>
              <w:spacing w:after="0"/>
              <w:rPr>
                <w:sz w:val="14"/>
                <w:szCs w:val="14"/>
                <w:color w:val="auto"/>
              </w:rPr>
            </w:pPr>
          </w:p>
        </w:tc>
        <w:tc>
          <w:tcPr>
            <w:tcW w:w="940" w:type="dxa"/>
            <w:vAlign w:val="bottom"/>
            <w:shd w:val="clear" w:color="auto" w:fill="D9DCE1"/>
          </w:tcPr>
          <w:p>
            <w:pPr>
              <w:spacing w:after="0"/>
              <w:rPr>
                <w:sz w:val="14"/>
                <w:szCs w:val="14"/>
                <w:color w:val="auto"/>
              </w:rPr>
            </w:pPr>
          </w:p>
        </w:tc>
        <w:tc>
          <w:tcPr>
            <w:tcW w:w="920" w:type="dxa"/>
            <w:vAlign w:val="bottom"/>
            <w:shd w:val="clear" w:color="auto" w:fill="D9DCE1"/>
          </w:tcPr>
          <w:p>
            <w:pPr>
              <w:spacing w:after="0"/>
              <w:rPr>
                <w:sz w:val="14"/>
                <w:szCs w:val="14"/>
                <w:color w:val="auto"/>
              </w:rPr>
            </w:pPr>
          </w:p>
        </w:tc>
        <w:tc>
          <w:tcPr>
            <w:tcW w:w="920" w:type="dxa"/>
            <w:vAlign w:val="bottom"/>
            <w:shd w:val="clear" w:color="auto" w:fill="D9DCE1"/>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D9DCE1"/>
          </w:tcPr>
          <w:p>
            <w:pPr>
              <w:ind w:left="220"/>
              <w:spacing w:after="0" w:line="176" w:lineRule="exact"/>
              <w:rPr>
                <w:sz w:val="20"/>
                <w:szCs w:val="20"/>
                <w:color w:val="auto"/>
              </w:rPr>
            </w:pPr>
            <w:r>
              <w:rPr>
                <w:rFonts w:ascii="Arial" w:cs="Arial" w:eastAsia="Arial" w:hAnsi="Arial"/>
                <w:sz w:val="14"/>
                <w:szCs w:val="14"/>
                <w:color w:val="auto"/>
              </w:rPr>
              <w:t>Richard A. Kayne</w:t>
            </w:r>
            <w:r>
              <w:rPr>
                <w:rFonts w:ascii="Arial" w:cs="Arial" w:eastAsia="Arial" w:hAnsi="Arial"/>
                <w:sz w:val="20"/>
                <w:szCs w:val="20"/>
                <w:color w:val="auto"/>
                <w:vertAlign w:val="superscript"/>
              </w:rPr>
              <w:t>(7)</w:t>
            </w:r>
          </w:p>
        </w:tc>
        <w:tc>
          <w:tcPr>
            <w:tcW w:w="10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4,253,858</w:t>
            </w:r>
          </w:p>
        </w:tc>
        <w:tc>
          <w:tcPr>
            <w:tcW w:w="84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2.2%</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13,465,642</w:t>
            </w:r>
          </w:p>
        </w:tc>
        <w:tc>
          <w:tcPr>
            <w:tcW w:w="92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2.5%</w:t>
            </w:r>
          </w:p>
        </w:tc>
        <w:tc>
          <w:tcPr>
            <w:tcW w:w="92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4"/>
        </w:trPr>
        <w:tc>
          <w:tcPr>
            <w:tcW w:w="3220" w:type="dxa"/>
            <w:vAlign w:val="bottom"/>
          </w:tcPr>
          <w:p>
            <w:pPr>
              <w:ind w:left="220"/>
              <w:spacing w:after="0"/>
              <w:rPr>
                <w:sz w:val="20"/>
                <w:szCs w:val="20"/>
                <w:color w:val="auto"/>
              </w:rPr>
            </w:pPr>
            <w:r>
              <w:rPr>
                <w:rFonts w:ascii="Arial" w:cs="Arial" w:eastAsia="Arial" w:hAnsi="Arial"/>
                <w:sz w:val="14"/>
                <w:szCs w:val="14"/>
                <w:color w:val="auto"/>
              </w:rPr>
              <w:t>1800 Avenue of the Stars, 3rd Floor</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220" w:type="dxa"/>
            <w:vAlign w:val="bottom"/>
          </w:tcPr>
          <w:p>
            <w:pPr>
              <w:ind w:left="220"/>
              <w:spacing w:after="0"/>
              <w:rPr>
                <w:sz w:val="20"/>
                <w:szCs w:val="20"/>
                <w:color w:val="auto"/>
              </w:rPr>
            </w:pPr>
            <w:r>
              <w:rPr>
                <w:rFonts w:ascii="Arial" w:cs="Arial" w:eastAsia="Arial" w:hAnsi="Arial"/>
                <w:sz w:val="14"/>
                <w:szCs w:val="14"/>
                <w:color w:val="auto"/>
              </w:rPr>
              <w:t>Los Angeles, CA 90067</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D9DCE1"/>
          </w:tcPr>
          <w:p>
            <w:pPr>
              <w:ind w:left="80"/>
              <w:spacing w:after="0"/>
              <w:rPr>
                <w:sz w:val="20"/>
                <w:szCs w:val="20"/>
                <w:color w:val="auto"/>
              </w:rPr>
            </w:pPr>
            <w:r>
              <w:rPr>
                <w:rFonts w:ascii="Arial" w:cs="Arial" w:eastAsia="Arial" w:hAnsi="Arial"/>
                <w:sz w:val="14"/>
                <w:szCs w:val="14"/>
                <w:color w:val="auto"/>
              </w:rPr>
              <w:t>KAFU Holdings (QP), L.P. et al</w:t>
            </w:r>
          </w:p>
        </w:tc>
        <w:tc>
          <w:tcPr>
            <w:tcW w:w="10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18,151,552</w:t>
            </w:r>
          </w:p>
        </w:tc>
        <w:tc>
          <w:tcPr>
            <w:tcW w:w="8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35.7%</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4"/>
        </w:trPr>
        <w:tc>
          <w:tcPr>
            <w:tcW w:w="3220" w:type="dxa"/>
            <w:vAlign w:val="bottom"/>
          </w:tcPr>
          <w:p>
            <w:pPr>
              <w:ind w:left="220"/>
              <w:spacing w:after="0"/>
              <w:rPr>
                <w:sz w:val="20"/>
                <w:szCs w:val="20"/>
                <w:color w:val="auto"/>
              </w:rPr>
            </w:pPr>
            <w:r>
              <w:rPr>
                <w:rFonts w:ascii="Arial" w:cs="Arial" w:eastAsia="Arial" w:hAnsi="Arial"/>
                <w:sz w:val="14"/>
                <w:szCs w:val="14"/>
                <w:color w:val="auto"/>
              </w:rPr>
              <w:t>1800 Avenue of the Stars, 3rd Floor</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220" w:type="dxa"/>
            <w:vAlign w:val="bottom"/>
          </w:tcPr>
          <w:p>
            <w:pPr>
              <w:ind w:left="220"/>
              <w:spacing w:after="0"/>
              <w:rPr>
                <w:sz w:val="20"/>
                <w:szCs w:val="20"/>
                <w:color w:val="auto"/>
              </w:rPr>
            </w:pPr>
            <w:r>
              <w:rPr>
                <w:rFonts w:ascii="Arial" w:cs="Arial" w:eastAsia="Arial" w:hAnsi="Arial"/>
                <w:sz w:val="14"/>
                <w:szCs w:val="14"/>
                <w:color w:val="auto"/>
              </w:rPr>
              <w:t>Los Angeles, CA 90067</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D9DCE1"/>
          </w:tcPr>
          <w:p>
            <w:pPr>
              <w:ind w:left="80"/>
              <w:spacing w:after="0" w:line="203" w:lineRule="exact"/>
              <w:rPr>
                <w:sz w:val="20"/>
                <w:szCs w:val="20"/>
                <w:color w:val="auto"/>
              </w:rPr>
            </w:pPr>
            <w:r>
              <w:rPr>
                <w:rFonts w:ascii="Arial" w:cs="Arial" w:eastAsia="Arial" w:hAnsi="Arial"/>
                <w:sz w:val="14"/>
                <w:szCs w:val="14"/>
                <w:color w:val="auto"/>
              </w:rPr>
              <w:t>Plains All American Pipeline, L.P.</w:t>
            </w:r>
            <w:r>
              <w:rPr>
                <w:rFonts w:ascii="Arial" w:cs="Arial" w:eastAsia="Arial" w:hAnsi="Arial"/>
                <w:sz w:val="21"/>
                <w:szCs w:val="21"/>
                <w:color w:val="auto"/>
                <w:vertAlign w:val="superscript"/>
              </w:rPr>
              <w:t>(3)</w:t>
            </w:r>
          </w:p>
        </w:tc>
        <w:tc>
          <w:tcPr>
            <w:tcW w:w="10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547,590,593</w:t>
            </w:r>
          </w:p>
        </w:tc>
        <w:tc>
          <w:tcPr>
            <w:tcW w:w="92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100%</w:t>
            </w:r>
          </w:p>
        </w:tc>
        <w:tc>
          <w:tcPr>
            <w:tcW w:w="92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204"/>
        </w:trPr>
        <w:tc>
          <w:tcPr>
            <w:tcW w:w="3220" w:type="dxa"/>
            <w:vAlign w:val="bottom"/>
          </w:tcPr>
          <w:p>
            <w:pPr>
              <w:ind w:left="220"/>
              <w:spacing w:after="0"/>
              <w:rPr>
                <w:sz w:val="20"/>
                <w:szCs w:val="20"/>
                <w:color w:val="auto"/>
              </w:rPr>
            </w:pPr>
            <w:r>
              <w:rPr>
                <w:rFonts w:ascii="Arial" w:cs="Arial" w:eastAsia="Arial" w:hAnsi="Arial"/>
                <w:sz w:val="14"/>
                <w:szCs w:val="14"/>
                <w:color w:val="auto"/>
              </w:rPr>
              <w:t>333 Clay Street, Suite 1600</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220" w:type="dxa"/>
            <w:vAlign w:val="bottom"/>
          </w:tcPr>
          <w:p>
            <w:pPr>
              <w:ind w:left="220"/>
              <w:spacing w:after="0"/>
              <w:rPr>
                <w:sz w:val="20"/>
                <w:szCs w:val="20"/>
                <w:color w:val="auto"/>
              </w:rPr>
            </w:pPr>
            <w:r>
              <w:rPr>
                <w:rFonts w:ascii="Arial" w:cs="Arial" w:eastAsia="Arial" w:hAnsi="Arial"/>
                <w:sz w:val="14"/>
                <w:szCs w:val="14"/>
                <w:color w:val="auto"/>
              </w:rPr>
              <w:t>Houston, TX 77002</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D9DCE1"/>
          </w:tcPr>
          <w:p>
            <w:pPr>
              <w:ind w:left="80"/>
              <w:spacing w:after="0"/>
              <w:rPr>
                <w:sz w:val="20"/>
                <w:szCs w:val="20"/>
                <w:color w:val="auto"/>
              </w:rPr>
            </w:pPr>
            <w:r>
              <w:rPr>
                <w:rFonts w:ascii="Arial" w:cs="Arial" w:eastAsia="Arial" w:hAnsi="Arial"/>
                <w:sz w:val="14"/>
                <w:szCs w:val="14"/>
                <w:color w:val="auto"/>
              </w:rPr>
              <w:t>Willie Chiang</w:t>
            </w:r>
          </w:p>
        </w:tc>
        <w:tc>
          <w:tcPr>
            <w:tcW w:w="10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241,704</w:t>
            </w:r>
          </w:p>
        </w:tc>
        <w:tc>
          <w:tcPr>
            <w:tcW w:w="84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jc w:val="right"/>
              <w:ind w:right="11"/>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9"/>
                <w:szCs w:val="9"/>
                <w:color w:val="auto"/>
              </w:rPr>
              <w:t>(8)</w:t>
            </w:r>
          </w:p>
        </w:tc>
        <w:tc>
          <w:tcPr>
            <w:tcW w:w="84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261,814</w:t>
            </w:r>
          </w:p>
        </w:tc>
        <w:tc>
          <w:tcPr>
            <w:tcW w:w="92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20" w:type="dxa"/>
            <w:vAlign w:val="bottom"/>
          </w:tcPr>
          <w:p>
            <w:pPr>
              <w:ind w:left="80"/>
              <w:spacing w:after="0"/>
              <w:rPr>
                <w:sz w:val="20"/>
                <w:szCs w:val="20"/>
                <w:color w:val="auto"/>
              </w:rPr>
            </w:pPr>
            <w:r>
              <w:rPr>
                <w:rFonts w:ascii="Arial" w:cs="Arial" w:eastAsia="Arial" w:hAnsi="Arial"/>
                <w:sz w:val="14"/>
                <w:szCs w:val="14"/>
                <w:color w:val="auto"/>
              </w:rPr>
              <w:t>Harry N. Pefanis</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1,108,653</w:t>
            </w: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2,268,988</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4.5%</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460,194</w:t>
            </w: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20" w:type="dxa"/>
            <w:vAlign w:val="bottom"/>
            <w:shd w:val="clear" w:color="auto" w:fill="D9DCE1"/>
          </w:tcPr>
          <w:p>
            <w:pPr>
              <w:ind w:left="80"/>
              <w:spacing w:after="0"/>
              <w:rPr>
                <w:sz w:val="20"/>
                <w:szCs w:val="20"/>
                <w:color w:val="auto"/>
              </w:rPr>
            </w:pPr>
            <w:r>
              <w:rPr>
                <w:rFonts w:ascii="Arial" w:cs="Arial" w:eastAsia="Arial" w:hAnsi="Arial"/>
                <w:sz w:val="14"/>
                <w:szCs w:val="14"/>
                <w:color w:val="auto"/>
              </w:rPr>
              <w:t>Al Swanson</w:t>
            </w:r>
          </w:p>
        </w:tc>
        <w:tc>
          <w:tcPr>
            <w:tcW w:w="10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1,351,839</w:t>
            </w:r>
          </w:p>
        </w:tc>
        <w:tc>
          <w:tcPr>
            <w:tcW w:w="84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248,306</w:t>
            </w:r>
          </w:p>
        </w:tc>
        <w:tc>
          <w:tcPr>
            <w:tcW w:w="92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80"/>
              <w:spacing w:after="0"/>
              <w:rPr>
                <w:sz w:val="20"/>
                <w:szCs w:val="20"/>
                <w:color w:val="auto"/>
              </w:rPr>
            </w:pPr>
            <w:r>
              <w:rPr>
                <w:rFonts w:ascii="Arial" w:cs="Arial" w:eastAsia="Arial" w:hAnsi="Arial"/>
                <w:sz w:val="14"/>
                <w:szCs w:val="14"/>
                <w:color w:val="auto"/>
              </w:rPr>
              <w:t>Richard McGee</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2,500</w:t>
            </w: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429,346</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254,422</w:t>
            </w: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shd w:val="clear" w:color="auto" w:fill="D9DCE1"/>
          </w:tcPr>
          <w:p>
            <w:pPr>
              <w:ind w:left="80"/>
              <w:spacing w:after="0"/>
              <w:rPr>
                <w:sz w:val="20"/>
                <w:szCs w:val="20"/>
                <w:color w:val="auto"/>
              </w:rPr>
            </w:pPr>
            <w:r>
              <w:rPr>
                <w:rFonts w:ascii="Arial" w:cs="Arial" w:eastAsia="Arial" w:hAnsi="Arial"/>
                <w:sz w:val="14"/>
                <w:szCs w:val="14"/>
                <w:color w:val="auto"/>
              </w:rPr>
              <w:t>Chris Chandler</w:t>
            </w:r>
          </w:p>
        </w:tc>
        <w:tc>
          <w:tcPr>
            <w:tcW w:w="10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55,632</w:t>
            </w:r>
          </w:p>
        </w:tc>
        <w:tc>
          <w:tcPr>
            <w:tcW w:w="92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80"/>
              <w:spacing w:after="0"/>
              <w:rPr>
                <w:sz w:val="20"/>
                <w:szCs w:val="20"/>
                <w:color w:val="auto"/>
              </w:rPr>
            </w:pPr>
            <w:r>
              <w:rPr>
                <w:rFonts w:ascii="Arial" w:cs="Arial" w:eastAsia="Arial" w:hAnsi="Arial"/>
                <w:sz w:val="14"/>
                <w:szCs w:val="14"/>
                <w:color w:val="auto"/>
              </w:rPr>
              <w:t>Jeremy Goebel</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1,314</w:t>
            </w: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(9)</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139,087</w:t>
            </w: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shd w:val="clear" w:color="auto" w:fill="D9DCE1"/>
          </w:tcPr>
          <w:p>
            <w:pPr>
              <w:ind w:left="80"/>
              <w:spacing w:after="0"/>
              <w:rPr>
                <w:sz w:val="20"/>
                <w:szCs w:val="20"/>
                <w:color w:val="auto"/>
              </w:rPr>
            </w:pPr>
            <w:r>
              <w:rPr>
                <w:rFonts w:ascii="Arial" w:cs="Arial" w:eastAsia="Arial" w:hAnsi="Arial"/>
                <w:sz w:val="14"/>
                <w:szCs w:val="14"/>
                <w:color w:val="auto"/>
              </w:rPr>
              <w:t>Greg L. Armstrong</w:t>
            </w:r>
          </w:p>
        </w:tc>
        <w:tc>
          <w:tcPr>
            <w:tcW w:w="10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1,865,812</w:t>
            </w:r>
          </w:p>
        </w:tc>
        <w:tc>
          <w:tcPr>
            <w:tcW w:w="84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4,492,268</w:t>
            </w:r>
          </w:p>
        </w:tc>
        <w:tc>
          <w:tcPr>
            <w:tcW w:w="8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8.8%</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1,508,418</w:t>
            </w:r>
          </w:p>
        </w:tc>
        <w:tc>
          <w:tcPr>
            <w:tcW w:w="92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80"/>
              <w:spacing w:after="0"/>
              <w:rPr>
                <w:sz w:val="20"/>
                <w:szCs w:val="20"/>
                <w:color w:val="auto"/>
              </w:rPr>
            </w:pPr>
            <w:r>
              <w:rPr>
                <w:rFonts w:ascii="Arial" w:cs="Arial" w:eastAsia="Arial" w:hAnsi="Arial"/>
                <w:sz w:val="14"/>
                <w:szCs w:val="14"/>
                <w:color w:val="auto"/>
              </w:rPr>
              <w:t>Victor Burk</w:t>
            </w:r>
          </w:p>
        </w:tc>
        <w:tc>
          <w:tcPr>
            <w:tcW w:w="1040" w:type="dxa"/>
            <w:vAlign w:val="bottom"/>
          </w:tcPr>
          <w:p>
            <w:pPr>
              <w:jc w:val="right"/>
              <w:spacing w:after="0" w:line="203" w:lineRule="exact"/>
              <w:rPr>
                <w:sz w:val="20"/>
                <w:szCs w:val="20"/>
                <w:color w:val="auto"/>
              </w:rPr>
            </w:pPr>
            <w:r>
              <w:rPr>
                <w:rFonts w:ascii="Arial" w:cs="Arial" w:eastAsia="Arial" w:hAnsi="Arial"/>
                <w:sz w:val="14"/>
                <w:szCs w:val="14"/>
                <w:color w:val="auto"/>
              </w:rPr>
              <w:t>7,134</w:t>
            </w:r>
            <w:r>
              <w:rPr>
                <w:rFonts w:ascii="Arial" w:cs="Arial" w:eastAsia="Arial" w:hAnsi="Arial"/>
                <w:sz w:val="21"/>
                <w:szCs w:val="21"/>
                <w:color w:val="auto"/>
                <w:vertAlign w:val="superscript"/>
              </w:rPr>
              <w:t>(10)</w:t>
            </w: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32,043</w:t>
            </w: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shd w:val="clear" w:color="auto" w:fill="D9DCE1"/>
          </w:tcPr>
          <w:p>
            <w:pPr>
              <w:ind w:left="80"/>
              <w:spacing w:after="0"/>
              <w:rPr>
                <w:sz w:val="20"/>
                <w:szCs w:val="20"/>
                <w:color w:val="auto"/>
              </w:rPr>
            </w:pPr>
            <w:r>
              <w:rPr>
                <w:rFonts w:ascii="Arial" w:cs="Arial" w:eastAsia="Arial" w:hAnsi="Arial"/>
                <w:sz w:val="14"/>
                <w:szCs w:val="14"/>
                <w:color w:val="auto"/>
              </w:rPr>
              <w:t>Kevin S. McCarthy</w:t>
            </w:r>
          </w:p>
        </w:tc>
        <w:tc>
          <w:tcPr>
            <w:tcW w:w="1040" w:type="dxa"/>
            <w:vAlign w:val="bottom"/>
            <w:shd w:val="clear" w:color="auto" w:fill="D9DCE1"/>
          </w:tcPr>
          <w:p>
            <w:pPr>
              <w:jc w:val="right"/>
              <w:spacing w:after="0" w:line="203" w:lineRule="exact"/>
              <w:rPr>
                <w:sz w:val="20"/>
                <w:szCs w:val="20"/>
                <w:color w:val="auto"/>
              </w:rPr>
            </w:pPr>
            <w:r>
              <w:rPr>
                <w:rFonts w:ascii="Arial" w:cs="Arial" w:eastAsia="Arial" w:hAnsi="Arial"/>
                <w:sz w:val="14"/>
                <w:szCs w:val="14"/>
                <w:color w:val="auto"/>
              </w:rPr>
              <w:t>99,069</w:t>
            </w:r>
            <w:r>
              <w:rPr>
                <w:rFonts w:ascii="Arial" w:cs="Arial" w:eastAsia="Arial" w:hAnsi="Arial"/>
                <w:sz w:val="21"/>
                <w:szCs w:val="21"/>
                <w:color w:val="auto"/>
                <w:vertAlign w:val="superscript"/>
              </w:rPr>
              <w:t>(10)</w:t>
            </w:r>
          </w:p>
        </w:tc>
        <w:tc>
          <w:tcPr>
            <w:tcW w:w="84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jc w:val="right"/>
              <w:spacing w:after="0" w:line="203" w:lineRule="exact"/>
              <w:rPr>
                <w:sz w:val="20"/>
                <w:szCs w:val="20"/>
                <w:color w:val="auto"/>
              </w:rPr>
            </w:pPr>
            <w:r>
              <w:rPr>
                <w:rFonts w:ascii="Arial" w:cs="Arial" w:eastAsia="Arial" w:hAnsi="Arial"/>
                <w:sz w:val="14"/>
                <w:szCs w:val="14"/>
                <w:color w:val="auto"/>
              </w:rPr>
              <w:t>15,839,726</w:t>
            </w:r>
            <w:r>
              <w:rPr>
                <w:rFonts w:ascii="Arial" w:cs="Arial" w:eastAsia="Arial" w:hAnsi="Arial"/>
                <w:sz w:val="21"/>
                <w:szCs w:val="21"/>
                <w:color w:val="auto"/>
                <w:vertAlign w:val="superscript"/>
              </w:rPr>
              <w:t>(11)</w:t>
            </w:r>
          </w:p>
        </w:tc>
        <w:tc>
          <w:tcPr>
            <w:tcW w:w="84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31.2%</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1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3220" w:type="dxa"/>
            <w:vAlign w:val="bottom"/>
          </w:tcPr>
          <w:p>
            <w:pPr>
              <w:ind w:left="80"/>
              <w:spacing w:after="0"/>
              <w:rPr>
                <w:sz w:val="20"/>
                <w:szCs w:val="20"/>
                <w:color w:val="auto"/>
              </w:rPr>
            </w:pPr>
            <w:r>
              <w:rPr>
                <w:rFonts w:ascii="Arial" w:cs="Arial" w:eastAsia="Arial" w:hAnsi="Arial"/>
                <w:sz w:val="14"/>
                <w:szCs w:val="14"/>
                <w:color w:val="auto"/>
              </w:rPr>
              <w:t>Gary R. Petersen</w:t>
            </w:r>
          </w:p>
        </w:tc>
        <w:tc>
          <w:tcPr>
            <w:tcW w:w="1040" w:type="dxa"/>
            <w:vAlign w:val="bottom"/>
          </w:tcPr>
          <w:p>
            <w:pPr>
              <w:jc w:val="right"/>
              <w:spacing w:after="0" w:line="203" w:lineRule="exact"/>
              <w:rPr>
                <w:sz w:val="20"/>
                <w:szCs w:val="20"/>
                <w:color w:val="auto"/>
              </w:rPr>
            </w:pPr>
            <w:r>
              <w:rPr>
                <w:rFonts w:ascii="Arial" w:cs="Arial" w:eastAsia="Arial" w:hAnsi="Arial"/>
                <w:sz w:val="14"/>
                <w:szCs w:val="14"/>
                <w:color w:val="auto"/>
              </w:rPr>
              <w:t>3,755</w:t>
            </w:r>
            <w:r>
              <w:rPr>
                <w:rFonts w:ascii="Arial" w:cs="Arial" w:eastAsia="Arial" w:hAnsi="Arial"/>
                <w:sz w:val="21"/>
                <w:szCs w:val="21"/>
                <w:color w:val="auto"/>
                <w:vertAlign w:val="superscript"/>
              </w:rPr>
              <w:t>(10)</w:t>
            </w: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25,421,570</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4.6%</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3"/>
        </w:trPr>
        <w:tc>
          <w:tcPr>
            <w:tcW w:w="3220" w:type="dxa"/>
            <w:vAlign w:val="bottom"/>
            <w:shd w:val="clear" w:color="auto" w:fill="D9DCE1"/>
          </w:tcPr>
          <w:p>
            <w:pPr>
              <w:ind w:left="80"/>
              <w:spacing w:after="0"/>
              <w:rPr>
                <w:sz w:val="20"/>
                <w:szCs w:val="20"/>
                <w:color w:val="auto"/>
              </w:rPr>
            </w:pPr>
            <w:r>
              <w:rPr>
                <w:rFonts w:ascii="Arial" w:cs="Arial" w:eastAsia="Arial" w:hAnsi="Arial"/>
                <w:sz w:val="14"/>
                <w:szCs w:val="14"/>
                <w:color w:val="auto"/>
              </w:rPr>
              <w:t>Alexandra D. Pruner</w:t>
            </w:r>
          </w:p>
        </w:tc>
        <w:tc>
          <w:tcPr>
            <w:tcW w:w="1040" w:type="dxa"/>
            <w:vAlign w:val="bottom"/>
            <w:shd w:val="clear" w:color="auto" w:fill="D9DCE1"/>
          </w:tcPr>
          <w:p>
            <w:pPr>
              <w:jc w:val="right"/>
              <w:spacing w:after="0" w:line="203" w:lineRule="exact"/>
              <w:rPr>
                <w:sz w:val="20"/>
                <w:szCs w:val="20"/>
                <w:color w:val="auto"/>
              </w:rPr>
            </w:pPr>
            <w:r>
              <w:rPr>
                <w:rFonts w:ascii="Arial" w:cs="Arial" w:eastAsia="Arial" w:hAnsi="Arial"/>
                <w:sz w:val="14"/>
                <w:szCs w:val="14"/>
                <w:color w:val="auto"/>
              </w:rPr>
              <w:t>9,752</w:t>
            </w:r>
            <w:r>
              <w:rPr>
                <w:rFonts w:ascii="Arial" w:cs="Arial" w:eastAsia="Arial" w:hAnsi="Arial"/>
                <w:sz w:val="21"/>
                <w:szCs w:val="21"/>
                <w:color w:val="auto"/>
                <w:vertAlign w:val="superscript"/>
              </w:rPr>
              <w:t>(10)</w:t>
            </w:r>
          </w:p>
        </w:tc>
        <w:tc>
          <w:tcPr>
            <w:tcW w:w="84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80"/>
              <w:spacing w:after="0"/>
              <w:rPr>
                <w:sz w:val="20"/>
                <w:szCs w:val="20"/>
                <w:color w:val="auto"/>
              </w:rPr>
            </w:pPr>
            <w:r>
              <w:rPr>
                <w:rFonts w:ascii="Arial" w:cs="Arial" w:eastAsia="Arial" w:hAnsi="Arial"/>
                <w:sz w:val="14"/>
                <w:szCs w:val="14"/>
                <w:color w:val="auto"/>
              </w:rPr>
              <w:t>John T. Raymond</w:t>
            </w:r>
          </w:p>
        </w:tc>
        <w:tc>
          <w:tcPr>
            <w:tcW w:w="1040" w:type="dxa"/>
            <w:vAlign w:val="bottom"/>
          </w:tcPr>
          <w:p>
            <w:pPr>
              <w:jc w:val="right"/>
              <w:spacing w:after="0" w:line="203" w:lineRule="exact"/>
              <w:rPr>
                <w:sz w:val="20"/>
                <w:szCs w:val="20"/>
                <w:color w:val="auto"/>
              </w:rPr>
            </w:pPr>
            <w:r>
              <w:rPr>
                <w:rFonts w:ascii="Arial" w:cs="Arial" w:eastAsia="Arial" w:hAnsi="Arial"/>
                <w:sz w:val="14"/>
                <w:szCs w:val="14"/>
                <w:color w:val="auto"/>
              </w:rPr>
              <w:t>250,531</w:t>
            </w:r>
            <w:r>
              <w:rPr>
                <w:rFonts w:ascii="Arial" w:cs="Arial" w:eastAsia="Arial" w:hAnsi="Arial"/>
                <w:sz w:val="21"/>
                <w:szCs w:val="21"/>
                <w:color w:val="auto"/>
                <w:vertAlign w:val="superscript"/>
              </w:rPr>
              <w:t>(10)</w:t>
            </w: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4"/>
                <w:szCs w:val="14"/>
                <w:color w:val="auto"/>
              </w:rPr>
              <w:t>11,458,736</w:t>
            </w:r>
            <w:r>
              <w:rPr>
                <w:rFonts w:ascii="Arial" w:cs="Arial" w:eastAsia="Arial" w:hAnsi="Arial"/>
                <w:sz w:val="21"/>
                <w:szCs w:val="21"/>
                <w:color w:val="auto"/>
                <w:vertAlign w:val="superscript"/>
              </w:rPr>
              <w:t>(12)</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22.5%</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21,975,875</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4.0%</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3"/>
        </w:trPr>
        <w:tc>
          <w:tcPr>
            <w:tcW w:w="3220" w:type="dxa"/>
            <w:vAlign w:val="bottom"/>
            <w:shd w:val="clear" w:color="auto" w:fill="D9DCE1"/>
          </w:tcPr>
          <w:p>
            <w:pPr>
              <w:ind w:left="80"/>
              <w:spacing w:after="0"/>
              <w:rPr>
                <w:sz w:val="20"/>
                <w:szCs w:val="20"/>
                <w:color w:val="auto"/>
              </w:rPr>
            </w:pPr>
            <w:r>
              <w:rPr>
                <w:rFonts w:ascii="Arial" w:cs="Arial" w:eastAsia="Arial" w:hAnsi="Arial"/>
                <w:sz w:val="14"/>
                <w:szCs w:val="14"/>
                <w:color w:val="auto"/>
              </w:rPr>
              <w:t>Bobby S. Shackouls</w:t>
            </w:r>
          </w:p>
        </w:tc>
        <w:tc>
          <w:tcPr>
            <w:tcW w:w="1040" w:type="dxa"/>
            <w:vAlign w:val="bottom"/>
            <w:shd w:val="clear" w:color="auto" w:fill="D9DCE1"/>
          </w:tcPr>
          <w:p>
            <w:pPr>
              <w:jc w:val="right"/>
              <w:spacing w:after="0" w:line="203" w:lineRule="exact"/>
              <w:rPr>
                <w:sz w:val="20"/>
                <w:szCs w:val="20"/>
                <w:color w:val="auto"/>
              </w:rPr>
            </w:pPr>
            <w:r>
              <w:rPr>
                <w:rFonts w:ascii="Arial" w:cs="Arial" w:eastAsia="Arial" w:hAnsi="Arial"/>
                <w:sz w:val="14"/>
                <w:szCs w:val="14"/>
                <w:color w:val="auto"/>
              </w:rPr>
              <w:t>9,012</w:t>
            </w:r>
            <w:r>
              <w:rPr>
                <w:rFonts w:ascii="Arial" w:cs="Arial" w:eastAsia="Arial" w:hAnsi="Arial"/>
                <w:sz w:val="21"/>
                <w:szCs w:val="21"/>
                <w:color w:val="auto"/>
                <w:vertAlign w:val="superscript"/>
              </w:rPr>
              <w:t>(10)</w:t>
            </w:r>
          </w:p>
        </w:tc>
        <w:tc>
          <w:tcPr>
            <w:tcW w:w="84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31,283</w:t>
            </w:r>
          </w:p>
        </w:tc>
        <w:tc>
          <w:tcPr>
            <w:tcW w:w="92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tcPr>
          <w:p>
            <w:pPr>
              <w:ind w:left="80"/>
              <w:spacing w:after="0"/>
              <w:rPr>
                <w:sz w:val="20"/>
                <w:szCs w:val="20"/>
                <w:color w:val="auto"/>
              </w:rPr>
            </w:pPr>
            <w:r>
              <w:rPr>
                <w:rFonts w:ascii="Arial" w:cs="Arial" w:eastAsia="Arial" w:hAnsi="Arial"/>
                <w:sz w:val="14"/>
                <w:szCs w:val="14"/>
                <w:color w:val="auto"/>
              </w:rPr>
              <w:t>Christopher M. Temple</w:t>
            </w:r>
          </w:p>
        </w:tc>
        <w:tc>
          <w:tcPr>
            <w:tcW w:w="1040" w:type="dxa"/>
            <w:vAlign w:val="bottom"/>
          </w:tcPr>
          <w:p>
            <w:pPr>
              <w:jc w:val="right"/>
              <w:spacing w:after="0" w:line="203" w:lineRule="exact"/>
              <w:rPr>
                <w:sz w:val="20"/>
                <w:szCs w:val="20"/>
                <w:color w:val="auto"/>
              </w:rPr>
            </w:pPr>
            <w:r>
              <w:rPr>
                <w:rFonts w:ascii="Arial" w:cs="Arial" w:eastAsia="Arial" w:hAnsi="Arial"/>
                <w:sz w:val="14"/>
                <w:szCs w:val="14"/>
                <w:color w:val="auto"/>
              </w:rPr>
              <w:t>15,000</w:t>
            </w:r>
            <w:r>
              <w:rPr>
                <w:rFonts w:ascii="Arial" w:cs="Arial" w:eastAsia="Arial" w:hAnsi="Arial"/>
                <w:sz w:val="21"/>
                <w:szCs w:val="21"/>
                <w:color w:val="auto"/>
                <w:vertAlign w:val="superscript"/>
              </w:rPr>
              <w:t>(10)</w:t>
            </w: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220" w:type="dxa"/>
            <w:vAlign w:val="bottom"/>
            <w:shd w:val="clear" w:color="auto" w:fill="D9DCE1"/>
          </w:tcPr>
          <w:p>
            <w:pPr>
              <w:ind w:left="80"/>
              <w:spacing w:after="0"/>
              <w:rPr>
                <w:sz w:val="20"/>
                <w:szCs w:val="20"/>
                <w:color w:val="auto"/>
              </w:rPr>
            </w:pPr>
            <w:r>
              <w:rPr>
                <w:rFonts w:ascii="Arial" w:cs="Arial" w:eastAsia="Arial" w:hAnsi="Arial"/>
                <w:sz w:val="14"/>
                <w:szCs w:val="14"/>
                <w:color w:val="auto"/>
              </w:rPr>
              <w:t>Lawrence M. Ziemba</w:t>
            </w:r>
          </w:p>
        </w:tc>
        <w:tc>
          <w:tcPr>
            <w:tcW w:w="1040" w:type="dxa"/>
            <w:vAlign w:val="bottom"/>
            <w:shd w:val="clear" w:color="auto" w:fill="D9DCE1"/>
          </w:tcPr>
          <w:p>
            <w:pPr>
              <w:jc w:val="right"/>
              <w:spacing w:after="0" w:line="203" w:lineRule="exact"/>
              <w:rPr>
                <w:sz w:val="20"/>
                <w:szCs w:val="20"/>
                <w:color w:val="auto"/>
              </w:rPr>
            </w:pPr>
            <w:r>
              <w:rPr>
                <w:rFonts w:ascii="Arial" w:cs="Arial" w:eastAsia="Arial" w:hAnsi="Arial"/>
                <w:sz w:val="14"/>
                <w:szCs w:val="14"/>
                <w:color w:val="auto"/>
              </w:rPr>
              <w:t>14,050</w:t>
            </w:r>
            <w:r>
              <w:rPr>
                <w:rFonts w:ascii="Arial" w:cs="Arial" w:eastAsia="Arial" w:hAnsi="Arial"/>
                <w:sz w:val="21"/>
                <w:szCs w:val="21"/>
                <w:color w:val="auto"/>
                <w:vertAlign w:val="superscript"/>
              </w:rPr>
              <w:t>(10)</w:t>
            </w:r>
          </w:p>
        </w:tc>
        <w:tc>
          <w:tcPr>
            <w:tcW w:w="84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9DCE1"/>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2,346</w:t>
            </w:r>
          </w:p>
        </w:tc>
        <w:tc>
          <w:tcPr>
            <w:tcW w:w="920" w:type="dxa"/>
            <w:vAlign w:val="bottom"/>
            <w:shd w:val="clear" w:color="auto" w:fill="D9DCE1"/>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CE1"/>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220" w:type="dxa"/>
            <w:vAlign w:val="bottom"/>
          </w:tcPr>
          <w:p>
            <w:pPr>
              <w:ind w:left="80"/>
              <w:spacing w:after="0"/>
              <w:rPr>
                <w:sz w:val="20"/>
                <w:szCs w:val="20"/>
                <w:color w:val="auto"/>
              </w:rPr>
            </w:pPr>
            <w:r>
              <w:rPr>
                <w:rFonts w:ascii="Arial" w:cs="Arial" w:eastAsia="Arial" w:hAnsi="Arial"/>
                <w:sz w:val="14"/>
                <w:szCs w:val="14"/>
                <w:color w:val="auto"/>
              </w:rPr>
              <w:t>All directors and executive officers as a group</w:t>
            </w:r>
          </w:p>
        </w:tc>
        <w:tc>
          <w:tcPr>
            <w:tcW w:w="188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4,980,125</w:t>
            </w:r>
            <w:r>
              <w:rPr>
                <w:rFonts w:ascii="Arial" w:cs="Arial" w:eastAsia="Arial" w:hAnsi="Arial"/>
                <w:sz w:val="21"/>
                <w:szCs w:val="21"/>
                <w:color w:val="auto"/>
                <w:vertAlign w:val="superscript"/>
              </w:rPr>
              <w:t>(10)(13)</w:t>
            </w:r>
            <w:r>
              <w:rPr>
                <w:rFonts w:ascii="Arial" w:cs="Arial" w:eastAsia="Arial" w:hAnsi="Arial"/>
                <w:sz w:val="14"/>
                <w:szCs w:val="14"/>
                <w:color w:val="auto"/>
              </w:rPr>
              <w:t xml:space="preserve">   2.6%</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34,635,468</w:t>
            </w:r>
            <w:r>
              <w:rPr>
                <w:rFonts w:ascii="Arial" w:cs="Arial" w:eastAsia="Arial" w:hAnsi="Arial"/>
                <w:sz w:val="21"/>
                <w:szCs w:val="21"/>
                <w:color w:val="auto"/>
                <w:vertAlign w:val="superscript"/>
              </w:rPr>
              <w:t>(13)</w:t>
            </w: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color w:val="auto"/>
              </w:rPr>
              <w:t>68.2%</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50,449,834</w:t>
            </w: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color w:val="auto"/>
              </w:rPr>
              <w:t>9.2%</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57"/>
        </w:trPr>
        <w:tc>
          <w:tcPr>
            <w:tcW w:w="3220" w:type="dxa"/>
            <w:vAlign w:val="bottom"/>
          </w:tcPr>
          <w:p>
            <w:pPr>
              <w:ind w:left="220"/>
              <w:spacing w:after="0"/>
              <w:rPr>
                <w:sz w:val="20"/>
                <w:szCs w:val="20"/>
                <w:color w:val="auto"/>
              </w:rPr>
            </w:pPr>
            <w:r>
              <w:rPr>
                <w:rFonts w:ascii="Arial" w:cs="Arial" w:eastAsia="Arial" w:hAnsi="Arial"/>
                <w:sz w:val="14"/>
                <w:szCs w:val="14"/>
                <w:color w:val="auto"/>
              </w:rPr>
              <w:t>(16 persons)</w:t>
            </w:r>
          </w:p>
        </w:tc>
        <w:tc>
          <w:tcPr>
            <w:tcW w:w="188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85090</wp:posOffset>
            </wp:positionV>
            <wp:extent cx="12344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62" w:lineRule="exact"/>
        <w:rPr>
          <w:sz w:val="20"/>
          <w:szCs w:val="20"/>
          <w:color w:val="auto"/>
        </w:rPr>
      </w:pPr>
    </w:p>
    <w:p>
      <w:pPr>
        <w:ind w:left="1620" w:hanging="360"/>
        <w:spacing w:after="0"/>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820" w:hanging="360"/>
        <w:spacing w:after="0" w:line="286" w:lineRule="auto"/>
        <w:tabs>
          <w:tab w:leader="none" w:pos="1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w:t>
      </w:r>
    </w:p>
    <w:p>
      <w:pPr>
        <w:sectPr>
          <w:pgSz w:w="11900" w:h="16838" w:orient="portrait"/>
          <w:cols w:equalWidth="0" w:num="1">
            <w:col w:w="10220"/>
          </w:cols>
          <w:pgMar w:left="580" w:top="132" w:right="1099" w:bottom="1440" w:gutter="0" w:footer="0" w:header="0"/>
        </w:sectPr>
      </w:pPr>
    </w:p>
    <w:p>
      <w:pPr>
        <w:spacing w:after="0" w:line="34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41" w:lineRule="auto"/>
        <w:rPr>
          <w:sz w:val="20"/>
          <w:szCs w:val="20"/>
          <w:color w:val="auto"/>
        </w:rPr>
      </w:pPr>
      <w:r>
        <w:rPr>
          <w:rFonts w:ascii="Arial" w:cs="Arial" w:eastAsia="Arial" w:hAnsi="Arial"/>
          <w:sz w:val="18"/>
          <w:szCs w:val="18"/>
          <w:color w:val="auto"/>
        </w:rPr>
        <w:t>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27" w:lineRule="exact"/>
        <w:rPr>
          <w:sz w:val="20"/>
          <w:szCs w:val="20"/>
          <w:color w:val="auto"/>
        </w:rPr>
      </w:pPr>
    </w:p>
    <w:p>
      <w:pPr>
        <w:ind w:left="1620" w:right="439" w:hanging="360"/>
        <w:spacing w:after="0" w:line="275" w:lineRule="auto"/>
        <w:tabs>
          <w:tab w:leader="none" w:pos="1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Holders of vested AAP Management Units will be entitled to convert such AAP Management Units into Class B shares and a like number of AAP units based on a conversion ratio of approximately 0.941 AAP units (and Class B shares) for each AAP Management Unit. Figures presented for Class B shares beneficially owned and percentage of Class B shares beneficially owned do not include Class B shares to be issued upon the conversion of all outstanding AAP Management Units.</w:t>
      </w:r>
    </w:p>
    <w:p>
      <w:pPr>
        <w:spacing w:after="0" w:line="14" w:lineRule="exact"/>
        <w:rPr>
          <w:rFonts w:ascii="Arial" w:cs="Arial" w:eastAsia="Arial" w:hAnsi="Arial"/>
          <w:sz w:val="17"/>
          <w:szCs w:val="17"/>
          <w:color w:val="auto"/>
        </w:rPr>
      </w:pPr>
    </w:p>
    <w:p>
      <w:pPr>
        <w:ind w:left="1620" w:right="439" w:hanging="360"/>
        <w:spacing w:after="0" w:line="269" w:lineRule="auto"/>
        <w:tabs>
          <w:tab w:leader="none" w:pos="1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Class C share represents a non-economic limited partner interest in PAGP. The number of Class C shares owned by PAA is equal to the number of outstanding PAA common units and PAA Series A preferred units that are entitled to vote, pro rata with the holders of PAGP Class A and Class B shares, for the election of eligible PAGP GP directors. Thus, the Class C shares function as a “pass-through” voting mechanism through which PAA votes at the direction of and as proxy for holders of PAA common units (other than AAP) and holders of PAA Series A preferred units on the election of directors. Holders of our Class A shares and Class B shares who also directly or indirectly beneficially own PAA common units and/or Series A preferred units will, in addition to voting their Class A and Class B shares, be able to direct PAA how to vote their pro rata share of the Class C shares owned by PAA. Numbers in the column for holders other than PAA represent PAA common units and/or PAA Series A preferred units directly or indirectly beneficially owned by such holders.</w:t>
      </w:r>
    </w:p>
    <w:p>
      <w:pPr>
        <w:spacing w:after="0" w:line="19" w:lineRule="exact"/>
        <w:rPr>
          <w:rFonts w:ascii="Arial" w:cs="Arial" w:eastAsia="Arial" w:hAnsi="Arial"/>
          <w:sz w:val="17"/>
          <w:szCs w:val="17"/>
          <w:color w:val="auto"/>
        </w:rPr>
      </w:pPr>
    </w:p>
    <w:p>
      <w:pPr>
        <w:ind w:left="1620" w:right="879" w:hanging="360"/>
        <w:spacing w:after="0" w:line="277"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Reflects ownership as of December 31, 2020 as reported in a Schedule 13G filed with the SEC on February 11, 2021.</w:t>
      </w:r>
    </w:p>
    <w:p>
      <w:pPr>
        <w:spacing w:after="0" w:line="8" w:lineRule="exact"/>
        <w:rPr>
          <w:rFonts w:ascii="Arial" w:cs="Arial" w:eastAsia="Arial" w:hAnsi="Arial"/>
          <w:sz w:val="18"/>
          <w:szCs w:val="18"/>
          <w:color w:val="auto"/>
        </w:rPr>
      </w:pPr>
    </w:p>
    <w:p>
      <w:pPr>
        <w:ind w:left="1620" w:right="879" w:hanging="360"/>
        <w:spacing w:after="0" w:line="277"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Reflects ownership as of December 31, 2020 as reported in a Schedule 13G filed with the SEC on February 12, 2021.</w:t>
      </w:r>
    </w:p>
    <w:p>
      <w:pPr>
        <w:spacing w:after="0" w:line="8" w:lineRule="exact"/>
        <w:rPr>
          <w:rFonts w:ascii="Arial" w:cs="Arial" w:eastAsia="Arial" w:hAnsi="Arial"/>
          <w:sz w:val="18"/>
          <w:szCs w:val="18"/>
          <w:color w:val="auto"/>
        </w:rPr>
      </w:pPr>
    </w:p>
    <w:p>
      <w:pPr>
        <w:ind w:left="1620" w:right="879" w:hanging="360"/>
        <w:spacing w:after="0" w:line="277"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Reflects ownership as of December 31, 2020 as reported in a Schedule 13G filed with the SEC on February 5, 2021.</w:t>
      </w:r>
    </w:p>
    <w:p>
      <w:pPr>
        <w:spacing w:after="0" w:line="8" w:lineRule="exact"/>
        <w:rPr>
          <w:rFonts w:ascii="Arial" w:cs="Arial" w:eastAsia="Arial" w:hAnsi="Arial"/>
          <w:sz w:val="18"/>
          <w:szCs w:val="18"/>
          <w:color w:val="auto"/>
        </w:rPr>
      </w:pPr>
    </w:p>
    <w:p>
      <w:pPr>
        <w:ind w:left="1620" w:right="479" w:hanging="360"/>
        <w:spacing w:after="0" w:line="272" w:lineRule="auto"/>
        <w:tabs>
          <w:tab w:leader="none" w:pos="1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Richard A. Kayne is Chief Executive Officer and Director of Kayne Anderson Investment Management, Inc., which is the general partner of Kayne Anderson Capital Advisors, L.P. (“KACALP”). Various accounts under the management or control of KACALP own 3,528,256 Class A shares. Mr. Kayne may be deemed to beneficially own such shares. In addition, Mr. Kayne directly owns or has sole voting and dispositive power over 725,602 Class A shares. Mr. Kayne disclaims beneficial ownership of any of our Class A shares other than Class A shares held by him or attributable to him by virtue of his interests in the accounts that own our Class A shares.</w:t>
      </w:r>
    </w:p>
    <w:p>
      <w:pPr>
        <w:spacing w:after="0" w:line="28" w:lineRule="exact"/>
        <w:rPr>
          <w:rFonts w:ascii="Arial" w:cs="Arial" w:eastAsia="Arial" w:hAnsi="Arial"/>
          <w:sz w:val="17"/>
          <w:szCs w:val="17"/>
          <w:color w:val="auto"/>
        </w:rPr>
      </w:pPr>
    </w:p>
    <w:p>
      <w:pPr>
        <w:ind w:left="1620" w:right="679" w:hanging="360"/>
        <w:spacing w:after="0" w:line="274" w:lineRule="auto"/>
        <w:tabs>
          <w:tab w:leader="none" w:pos="1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Does not include 375,521 unvested AAP Management Units owned by Mr. Chiang, which are convertible, upon vesting, into 353,489 AAP units and Class B shares based on a conversion ratio of</w:t>
      </w:r>
    </w:p>
    <w:p>
      <w:pPr>
        <w:ind w:left="1620" w:right="519"/>
        <w:spacing w:after="0" w:line="289" w:lineRule="auto"/>
        <w:rPr>
          <w:rFonts w:ascii="Arial" w:cs="Arial" w:eastAsia="Arial" w:hAnsi="Arial"/>
          <w:sz w:val="17"/>
          <w:szCs w:val="17"/>
          <w:color w:val="auto"/>
        </w:rPr>
      </w:pPr>
      <w:r>
        <w:rPr>
          <w:rFonts w:ascii="Arial" w:cs="Arial" w:eastAsia="Arial" w:hAnsi="Arial"/>
          <w:sz w:val="17"/>
          <w:szCs w:val="17"/>
          <w:color w:val="auto"/>
        </w:rPr>
        <w:t>0.941 AAP units and Class B shares for each AAP Management Unit. Mr. Chiang’s AAP Management Units are scheduled to vest in December 2022 subject to satisfaction of vesting conditions.</w:t>
      </w:r>
    </w:p>
    <w:p>
      <w:pPr>
        <w:ind w:left="1620" w:right="719" w:hanging="360"/>
        <w:spacing w:after="0" w:line="274" w:lineRule="auto"/>
        <w:tabs>
          <w:tab w:leader="none" w:pos="1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Does not include 37,552 unvested AAP Management Units owned by Mr. Goebel, which are convertible, upon vesting, into 35,350 AAP units and Class B shares, based on a conversion ratio of</w:t>
      </w:r>
    </w:p>
    <w:p>
      <w:pPr>
        <w:ind w:left="1620" w:right="519"/>
        <w:spacing w:after="0" w:line="289" w:lineRule="auto"/>
        <w:rPr>
          <w:rFonts w:ascii="Arial" w:cs="Arial" w:eastAsia="Arial" w:hAnsi="Arial"/>
          <w:sz w:val="17"/>
          <w:szCs w:val="17"/>
          <w:color w:val="auto"/>
        </w:rPr>
      </w:pPr>
      <w:r>
        <w:rPr>
          <w:rFonts w:ascii="Arial" w:cs="Arial" w:eastAsia="Arial" w:hAnsi="Arial"/>
          <w:sz w:val="17"/>
          <w:szCs w:val="17"/>
          <w:color w:val="auto"/>
        </w:rPr>
        <w:t>0.941 AAP units and Class B shares for each AAP Management Unit. Mr. Goebel’s AAP Management Units are scheduled to vest in December 2022 subject to satisfaction of vesting conditions.</w:t>
      </w:r>
    </w:p>
    <w:p>
      <w:pPr>
        <w:ind w:left="1620" w:right="639" w:hanging="360"/>
        <w:spacing w:after="0" w:line="277"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Does not include unvested phantom Class A shares granted under our Long-Term Incentive Plan. See “Director Compensation.”</w:t>
      </w:r>
    </w:p>
    <w:p>
      <w:pPr>
        <w:spacing w:after="0" w:line="8" w:lineRule="exact"/>
        <w:rPr>
          <w:rFonts w:ascii="Arial" w:cs="Arial" w:eastAsia="Arial" w:hAnsi="Arial"/>
          <w:sz w:val="18"/>
          <w:szCs w:val="18"/>
          <w:color w:val="auto"/>
        </w:rPr>
      </w:pPr>
    </w:p>
    <w:p>
      <w:pPr>
        <w:ind w:left="1620" w:right="539" w:hanging="360"/>
        <w:spacing w:after="0" w:line="259"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McCarthy has shared voting and dispositive power over the Class B shares owned by KAFU Holdings (QP), L.P. (“KAFU QP”), which entity owns 15,839,726 Class B shares. Mr. McCarthy disclaims any deemed beneficial ownership of the interests owned by KAFU QP beyond his pecuniary interest therein.</w:t>
      </w:r>
    </w:p>
    <w:p>
      <w:pPr>
        <w:spacing w:after="0" w:line="24" w:lineRule="exact"/>
        <w:rPr>
          <w:rFonts w:ascii="Arial" w:cs="Arial" w:eastAsia="Arial" w:hAnsi="Arial"/>
          <w:sz w:val="18"/>
          <w:szCs w:val="18"/>
          <w:color w:val="auto"/>
        </w:rPr>
      </w:pPr>
    </w:p>
    <w:p>
      <w:pPr>
        <w:ind w:left="1620" w:right="479" w:hanging="360"/>
        <w:spacing w:after="0" w:line="263"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Raymond is the sole member of Lynx Holdings I, LLC, which entity owns 3,183,216 Class B shares. As such, Mr. Raymond has sole voting and dispositive power over the Class B shares owned by Lynx Holdings I, LLC.</w:t>
      </w:r>
    </w:p>
    <w:p>
      <w:pPr>
        <w:spacing w:after="0" w:line="21" w:lineRule="exact"/>
        <w:rPr>
          <w:rFonts w:ascii="Arial" w:cs="Arial" w:eastAsia="Arial" w:hAnsi="Arial"/>
          <w:sz w:val="18"/>
          <w:szCs w:val="18"/>
          <w:color w:val="auto"/>
        </w:rPr>
      </w:pPr>
    </w:p>
    <w:p>
      <w:pPr>
        <w:ind w:left="1620" w:right="1019" w:hanging="360"/>
        <w:spacing w:after="0" w:line="277"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of March 26, 2021, no Class A shares or Class B shares were pledged by directors or Named Executive Officers.</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Plains AAP, L.P.</w:t>
      </w:r>
    </w:p>
    <w:p>
      <w:pPr>
        <w:spacing w:after="0" w:line="148" w:lineRule="exact"/>
        <w:rPr>
          <w:sz w:val="20"/>
          <w:szCs w:val="20"/>
          <w:color w:val="auto"/>
        </w:rPr>
      </w:pPr>
    </w:p>
    <w:p>
      <w:pPr>
        <w:ind w:left="1260" w:right="599" w:firstLine="360"/>
        <w:spacing w:after="0" w:line="286" w:lineRule="auto"/>
        <w:rPr>
          <w:sz w:val="20"/>
          <w:szCs w:val="20"/>
          <w:color w:val="auto"/>
        </w:rPr>
      </w:pPr>
      <w:r>
        <w:rPr>
          <w:rFonts w:ascii="Arial" w:cs="Arial" w:eastAsia="Arial" w:hAnsi="Arial"/>
          <w:sz w:val="17"/>
          <w:szCs w:val="17"/>
          <w:color w:val="auto"/>
        </w:rPr>
        <w:t>The following table sets forth the percentage ownership of the Class A limited partners of AAP, including our directors and Named Executive Officers, and the resulting economic interest of such limited partners and the holders of the AAP Management Units as a group, in each case as of March 26, 2021:</w:t>
      </w:r>
    </w:p>
    <w:p>
      <w:pPr>
        <w:spacing w:after="0" w:line="153"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60" w:type="dxa"/>
            <w:vAlign w:val="bottom"/>
            <w:tcBorders>
              <w:left w:val="single" w:sz="8" w:color="434F69"/>
            </w:tcBorders>
            <w:shd w:val="clear" w:color="auto" w:fill="434F69"/>
          </w:tcPr>
          <w:p>
            <w:pPr>
              <w:spacing w:after="0"/>
              <w:rPr>
                <w:sz w:val="16"/>
                <w:szCs w:val="16"/>
                <w:color w:val="auto"/>
              </w:rPr>
            </w:pPr>
          </w:p>
        </w:tc>
        <w:tc>
          <w:tcPr>
            <w:tcW w:w="5600" w:type="dxa"/>
            <w:vAlign w:val="bottom"/>
            <w:tcBorders>
              <w:right w:val="single" w:sz="8" w:color="434F69"/>
            </w:tcBorders>
            <w:shd w:val="clear" w:color="auto" w:fill="434F69"/>
          </w:tcPr>
          <w:p>
            <w:pPr>
              <w:spacing w:after="0"/>
              <w:rPr>
                <w:sz w:val="16"/>
                <w:szCs w:val="16"/>
                <w:color w:val="auto"/>
              </w:rPr>
            </w:pP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Percentage</w:t>
            </w:r>
          </w:p>
        </w:tc>
        <w:tc>
          <w:tcPr>
            <w:tcW w:w="1020" w:type="dxa"/>
            <w:vAlign w:val="bottom"/>
            <w:shd w:val="clear" w:color="auto" w:fill="434F69"/>
          </w:tcPr>
          <w:p>
            <w:pPr>
              <w:spacing w:after="0"/>
              <w:rPr>
                <w:sz w:val="16"/>
                <w:szCs w:val="16"/>
                <w:color w:val="auto"/>
              </w:rPr>
            </w:pPr>
          </w:p>
        </w:tc>
        <w:tc>
          <w:tcPr>
            <w:tcW w:w="300" w:type="dxa"/>
            <w:vAlign w:val="bottom"/>
            <w:tcBorders>
              <w:right w:val="single" w:sz="8" w:color="434F69"/>
            </w:tcBorders>
            <w:shd w:val="clear" w:color="auto" w:fill="434F6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 w:type="dxa"/>
            <w:vAlign w:val="bottom"/>
            <w:tcBorders>
              <w:left w:val="single" w:sz="8" w:color="434F69"/>
            </w:tcBorders>
            <w:shd w:val="clear" w:color="auto" w:fill="434F69"/>
          </w:tcPr>
          <w:p>
            <w:pPr>
              <w:spacing w:after="0"/>
              <w:rPr>
                <w:sz w:val="14"/>
                <w:szCs w:val="14"/>
                <w:color w:val="auto"/>
              </w:rPr>
            </w:pPr>
          </w:p>
        </w:tc>
        <w:tc>
          <w:tcPr>
            <w:tcW w:w="5600" w:type="dxa"/>
            <w:vAlign w:val="bottom"/>
            <w:tcBorders>
              <w:right w:val="single" w:sz="8" w:color="434F69"/>
            </w:tcBorders>
            <w:shd w:val="clear" w:color="auto" w:fill="434F69"/>
          </w:tcPr>
          <w:p>
            <w:pPr>
              <w:spacing w:after="0"/>
              <w:rPr>
                <w:sz w:val="14"/>
                <w:szCs w:val="14"/>
                <w:color w:val="auto"/>
              </w:rPr>
            </w:pP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Ownership of</w:t>
            </w:r>
          </w:p>
        </w:tc>
        <w:tc>
          <w:tcPr>
            <w:tcW w:w="1020" w:type="dxa"/>
            <w:vAlign w:val="bottom"/>
            <w:vMerge w:val="restart"/>
            <w:shd w:val="clear" w:color="auto" w:fill="434F69"/>
          </w:tcPr>
          <w:p>
            <w:pPr>
              <w:jc w:val="right"/>
              <w:spacing w:after="0"/>
              <w:rPr>
                <w:sz w:val="20"/>
                <w:szCs w:val="20"/>
                <w:color w:val="auto"/>
              </w:rPr>
            </w:pPr>
            <w:r>
              <w:rPr>
                <w:rFonts w:ascii="Arial" w:cs="Arial" w:eastAsia="Arial" w:hAnsi="Arial"/>
                <w:sz w:val="14"/>
                <w:szCs w:val="14"/>
                <w:b w:val="1"/>
                <w:bCs w:val="1"/>
                <w:color w:val="FFFFFF"/>
              </w:rPr>
              <w:t>Economic</w:t>
            </w:r>
          </w:p>
        </w:tc>
        <w:tc>
          <w:tcPr>
            <w:tcW w:w="300" w:type="dxa"/>
            <w:vAlign w:val="bottom"/>
            <w:tcBorders>
              <w:right w:val="single" w:sz="8" w:color="434F69"/>
            </w:tcBorders>
            <w:shd w:val="clear" w:color="auto" w:fill="434F6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434F69"/>
            </w:tcBorders>
            <w:shd w:val="clear" w:color="auto" w:fill="434F69"/>
          </w:tcPr>
          <w:p>
            <w:pPr>
              <w:spacing w:after="0"/>
              <w:rPr>
                <w:sz w:val="12"/>
                <w:szCs w:val="12"/>
                <w:color w:val="auto"/>
              </w:rPr>
            </w:pPr>
          </w:p>
        </w:tc>
        <w:tc>
          <w:tcPr>
            <w:tcW w:w="5600" w:type="dxa"/>
            <w:vAlign w:val="bottom"/>
            <w:tcBorders>
              <w:right w:val="single" w:sz="8" w:color="434F69"/>
            </w:tcBorders>
            <w:shd w:val="clear" w:color="auto" w:fill="434F69"/>
          </w:tcPr>
          <w:p>
            <w:pPr>
              <w:spacing w:after="0"/>
              <w:rPr>
                <w:sz w:val="12"/>
                <w:szCs w:val="12"/>
                <w:color w:val="auto"/>
              </w:rPr>
            </w:pPr>
          </w:p>
        </w:tc>
        <w:tc>
          <w:tcPr>
            <w:tcW w:w="124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0"/>
              </w:rPr>
              <w:t>Plains AAP, L.P.</w:t>
            </w:r>
          </w:p>
        </w:tc>
        <w:tc>
          <w:tcPr>
            <w:tcW w:w="1020" w:type="dxa"/>
            <w:vAlign w:val="bottom"/>
            <w:vMerge w:val="continue"/>
            <w:shd w:val="clear" w:color="auto" w:fill="434F69"/>
          </w:tcPr>
          <w:p>
            <w:pPr>
              <w:spacing w:after="0"/>
              <w:rPr>
                <w:sz w:val="12"/>
                <w:szCs w:val="12"/>
                <w:color w:val="auto"/>
              </w:rPr>
            </w:pPr>
          </w:p>
        </w:tc>
        <w:tc>
          <w:tcPr>
            <w:tcW w:w="300" w:type="dxa"/>
            <w:vAlign w:val="bottom"/>
            <w:tcBorders>
              <w:right w:val="single" w:sz="8" w:color="434F69"/>
            </w:tcBorders>
            <w:shd w:val="clear" w:color="auto" w:fill="434F69"/>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 w:type="dxa"/>
            <w:vAlign w:val="bottom"/>
            <w:tcBorders>
              <w:left w:val="single" w:sz="8" w:color="434F69"/>
            </w:tcBorders>
            <w:shd w:val="clear" w:color="auto" w:fill="434F69"/>
          </w:tcPr>
          <w:p>
            <w:pPr>
              <w:spacing w:after="0"/>
              <w:rPr>
                <w:sz w:val="15"/>
                <w:szCs w:val="15"/>
                <w:color w:val="auto"/>
              </w:rPr>
            </w:pPr>
          </w:p>
        </w:tc>
        <w:tc>
          <w:tcPr>
            <w:tcW w:w="5600" w:type="dxa"/>
            <w:vAlign w:val="bottom"/>
            <w:tcBorders>
              <w:right w:val="single" w:sz="8" w:color="434F69"/>
            </w:tcBorders>
            <w:vMerge w:val="restart"/>
            <w:shd w:val="clear" w:color="auto" w:fill="434F69"/>
          </w:tcPr>
          <w:p>
            <w:pPr>
              <w:spacing w:after="0"/>
              <w:rPr>
                <w:sz w:val="20"/>
                <w:szCs w:val="20"/>
                <w:color w:val="auto"/>
              </w:rPr>
            </w:pPr>
            <w:r>
              <w:rPr>
                <w:rFonts w:ascii="Arial" w:cs="Arial" w:eastAsia="Arial" w:hAnsi="Arial"/>
                <w:sz w:val="14"/>
                <w:szCs w:val="14"/>
                <w:b w:val="1"/>
                <w:bCs w:val="1"/>
                <w:color w:val="FFFFFF"/>
              </w:rPr>
              <w:t>Name of Owner and Address (in the case of Owners of more than 5%)</w:t>
            </w:r>
          </w:p>
        </w:tc>
        <w:tc>
          <w:tcPr>
            <w:tcW w:w="12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Class A LP</w:t>
            </w:r>
          </w:p>
        </w:tc>
        <w:tc>
          <w:tcPr>
            <w:tcW w:w="1020" w:type="dxa"/>
            <w:vAlign w:val="bottom"/>
            <w:shd w:val="clear" w:color="auto" w:fill="434F69"/>
          </w:tcPr>
          <w:p>
            <w:pPr>
              <w:jc w:val="right"/>
              <w:spacing w:after="0"/>
              <w:rPr>
                <w:sz w:val="20"/>
                <w:szCs w:val="20"/>
                <w:color w:val="auto"/>
              </w:rPr>
            </w:pPr>
            <w:r>
              <w:rPr>
                <w:rFonts w:ascii="Arial" w:cs="Arial" w:eastAsia="Arial" w:hAnsi="Arial"/>
                <w:sz w:val="14"/>
                <w:szCs w:val="14"/>
                <w:b w:val="1"/>
                <w:bCs w:val="1"/>
                <w:color w:val="FFFFFF"/>
              </w:rPr>
              <w:t>Interest in</w:t>
            </w:r>
          </w:p>
        </w:tc>
        <w:tc>
          <w:tcPr>
            <w:tcW w:w="300" w:type="dxa"/>
            <w:vAlign w:val="bottom"/>
            <w:tcBorders>
              <w:right w:val="single" w:sz="8" w:color="434F69"/>
            </w:tcBorders>
            <w:shd w:val="clear" w:color="auto" w:fill="434F69"/>
          </w:tcPr>
          <w:p>
            <w:pPr>
              <w:jc w:val="right"/>
              <w:ind w:right="66"/>
              <w:spacing w:after="0"/>
              <w:rPr>
                <w:sz w:val="20"/>
                <w:szCs w:val="20"/>
                <w:color w:val="auto"/>
              </w:rPr>
            </w:pPr>
            <w:r>
              <w:rPr>
                <w:rFonts w:ascii="Arial" w:cs="Arial" w:eastAsia="Arial" w:hAnsi="Arial"/>
                <w:sz w:val="11"/>
                <w:szCs w:val="11"/>
                <w:b w:val="1"/>
                <w:bCs w:val="1"/>
                <w:color w:val="FFFFFF"/>
              </w:rPr>
              <w:t>(1)</w:t>
            </w:r>
          </w:p>
        </w:tc>
        <w:tc>
          <w:tcPr>
            <w:tcW w:w="0" w:type="dxa"/>
            <w:vAlign w:val="bottom"/>
          </w:tcPr>
          <w:p>
            <w:pPr>
              <w:spacing w:after="0"/>
              <w:rPr>
                <w:sz w:val="1"/>
                <w:szCs w:val="1"/>
                <w:color w:val="auto"/>
              </w:rPr>
            </w:pPr>
          </w:p>
        </w:tc>
      </w:tr>
      <w:tr>
        <w:trPr>
          <w:trHeight w:val="189"/>
        </w:trPr>
        <w:tc>
          <w:tcPr>
            <w:tcW w:w="60" w:type="dxa"/>
            <w:vAlign w:val="bottom"/>
            <w:tcBorders>
              <w:left w:val="single" w:sz="8" w:color="434F69"/>
              <w:bottom w:val="single" w:sz="8" w:color="434F69"/>
            </w:tcBorders>
            <w:shd w:val="clear" w:color="auto" w:fill="434F69"/>
          </w:tcPr>
          <w:p>
            <w:pPr>
              <w:spacing w:after="0"/>
              <w:rPr>
                <w:sz w:val="16"/>
                <w:szCs w:val="16"/>
                <w:color w:val="auto"/>
              </w:rPr>
            </w:pPr>
          </w:p>
        </w:tc>
        <w:tc>
          <w:tcPr>
            <w:tcW w:w="5600" w:type="dxa"/>
            <w:vAlign w:val="bottom"/>
            <w:tcBorders>
              <w:bottom w:val="single" w:sz="8" w:color="434F69"/>
              <w:right w:val="single" w:sz="8" w:color="434F69"/>
            </w:tcBorders>
            <w:vMerge w:val="continue"/>
            <w:shd w:val="clear" w:color="auto" w:fill="434F69"/>
          </w:tcPr>
          <w:p>
            <w:pPr>
              <w:spacing w:after="0"/>
              <w:rPr>
                <w:sz w:val="16"/>
                <w:szCs w:val="16"/>
                <w:color w:val="auto"/>
              </w:rPr>
            </w:pPr>
          </w:p>
        </w:tc>
        <w:tc>
          <w:tcPr>
            <w:tcW w:w="124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Interest</w:t>
            </w:r>
          </w:p>
        </w:tc>
        <w:tc>
          <w:tcPr>
            <w:tcW w:w="1320" w:type="dxa"/>
            <w:vAlign w:val="bottom"/>
            <w:tcBorders>
              <w:bottom w:val="single" w:sz="8" w:color="434F69"/>
              <w:right w:val="single" w:sz="8" w:color="434F69"/>
            </w:tcBorders>
            <w:gridSpan w:val="2"/>
            <w:shd w:val="clear" w:color="auto" w:fill="434F69"/>
          </w:tcPr>
          <w:p>
            <w:pPr>
              <w:jc w:val="right"/>
              <w:ind w:right="186"/>
              <w:spacing w:after="0"/>
              <w:rPr>
                <w:sz w:val="20"/>
                <w:szCs w:val="20"/>
                <w:color w:val="auto"/>
              </w:rPr>
            </w:pPr>
            <w:r>
              <w:rPr>
                <w:rFonts w:ascii="Arial" w:cs="Arial" w:eastAsia="Arial" w:hAnsi="Arial"/>
                <w:sz w:val="14"/>
                <w:szCs w:val="14"/>
                <w:b w:val="1"/>
                <w:bCs w:val="1"/>
                <w:color w:val="FFFFFF"/>
                <w:w w:val="97"/>
              </w:rPr>
              <w:t>Plains AAP, L.P.</w:t>
            </w: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shd w:val="clear" w:color="auto" w:fill="D9DCE1"/>
          </w:tcPr>
          <w:p>
            <w:pPr>
              <w:spacing w:after="0"/>
              <w:rPr>
                <w:sz w:val="21"/>
                <w:szCs w:val="21"/>
                <w:color w:val="auto"/>
              </w:rPr>
            </w:pPr>
          </w:p>
        </w:tc>
        <w:tc>
          <w:tcPr>
            <w:tcW w:w="5600" w:type="dxa"/>
            <w:vAlign w:val="bottom"/>
            <w:tcBorders>
              <w:bottom w:val="single" w:sz="8" w:color="434F69"/>
              <w:right w:val="single" w:sz="8" w:color="434F69"/>
            </w:tcBorders>
            <w:shd w:val="clear" w:color="auto" w:fill="D9DCE1"/>
          </w:tcPr>
          <w:p>
            <w:pPr>
              <w:spacing w:after="0"/>
              <w:rPr>
                <w:sz w:val="20"/>
                <w:szCs w:val="20"/>
                <w:color w:val="auto"/>
              </w:rPr>
            </w:pPr>
            <w:r>
              <w:rPr>
                <w:rFonts w:ascii="Arial" w:cs="Arial" w:eastAsia="Arial" w:hAnsi="Arial"/>
                <w:sz w:val="18"/>
                <w:szCs w:val="18"/>
                <w:color w:val="auto"/>
              </w:rPr>
              <w:t>Plains GP Holdings, L.P. and Plains All American GP LLC</w:t>
            </w:r>
          </w:p>
        </w:tc>
        <w:tc>
          <w:tcPr>
            <w:tcW w:w="1240" w:type="dxa"/>
            <w:vAlign w:val="bottom"/>
            <w:tcBorders>
              <w:bottom w:val="single" w:sz="8" w:color="434F69"/>
              <w:right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79.3%</w:t>
            </w:r>
          </w:p>
        </w:tc>
        <w:tc>
          <w:tcPr>
            <w:tcW w:w="10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79.0%</w:t>
            </w:r>
          </w:p>
        </w:tc>
        <w:tc>
          <w:tcPr>
            <w:tcW w:w="300" w:type="dxa"/>
            <w:vAlign w:val="bottom"/>
            <w:tcBorders>
              <w:bottom w:val="single" w:sz="8" w:color="434F69"/>
              <w:right w:val="single" w:sz="8" w:color="434F69"/>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tcPr>
          <w:p>
            <w:pPr>
              <w:spacing w:after="0"/>
              <w:rPr>
                <w:sz w:val="21"/>
                <w:szCs w:val="21"/>
                <w:color w:val="auto"/>
              </w:rPr>
            </w:pPr>
          </w:p>
        </w:tc>
        <w:tc>
          <w:tcPr>
            <w:tcW w:w="5600" w:type="dxa"/>
            <w:vAlign w:val="bottom"/>
            <w:tcBorders>
              <w:bottom w:val="single" w:sz="8" w:color="434F69"/>
              <w:right w:val="single" w:sz="8" w:color="434F69"/>
            </w:tcBorders>
          </w:tcPr>
          <w:p>
            <w:pPr>
              <w:ind w:left="180"/>
              <w:spacing w:after="0"/>
              <w:rPr>
                <w:sz w:val="20"/>
                <w:szCs w:val="20"/>
                <w:color w:val="auto"/>
              </w:rPr>
            </w:pPr>
            <w:r>
              <w:rPr>
                <w:rFonts w:ascii="Arial" w:cs="Arial" w:eastAsia="Arial" w:hAnsi="Arial"/>
                <w:sz w:val="18"/>
                <w:szCs w:val="18"/>
                <w:color w:val="auto"/>
              </w:rPr>
              <w:t>333 Clay Street, Suite 1600</w:t>
            </w:r>
          </w:p>
        </w:tc>
        <w:tc>
          <w:tcPr>
            <w:tcW w:w="1240" w:type="dxa"/>
            <w:vAlign w:val="bottom"/>
            <w:tcBorders>
              <w:bottom w:val="single" w:sz="8" w:color="434F69"/>
              <w:right w:val="single" w:sz="8" w:color="434F69"/>
            </w:tcBorders>
          </w:tcPr>
          <w:p>
            <w:pPr>
              <w:spacing w:after="0"/>
              <w:rPr>
                <w:sz w:val="21"/>
                <w:szCs w:val="21"/>
                <w:color w:val="auto"/>
              </w:rPr>
            </w:pPr>
          </w:p>
        </w:tc>
        <w:tc>
          <w:tcPr>
            <w:tcW w:w="1020" w:type="dxa"/>
            <w:vAlign w:val="bottom"/>
            <w:tcBorders>
              <w:bottom w:val="single" w:sz="8" w:color="434F69"/>
            </w:tcBorders>
          </w:tcPr>
          <w:p>
            <w:pPr>
              <w:spacing w:after="0"/>
              <w:rPr>
                <w:sz w:val="21"/>
                <w:szCs w:val="21"/>
                <w:color w:val="auto"/>
              </w:rPr>
            </w:pPr>
          </w:p>
        </w:tc>
        <w:tc>
          <w:tcPr>
            <w:tcW w:w="30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tcPr>
          <w:p>
            <w:pPr>
              <w:spacing w:after="0"/>
              <w:rPr>
                <w:sz w:val="21"/>
                <w:szCs w:val="21"/>
                <w:color w:val="auto"/>
              </w:rPr>
            </w:pPr>
          </w:p>
        </w:tc>
        <w:tc>
          <w:tcPr>
            <w:tcW w:w="5600" w:type="dxa"/>
            <w:vAlign w:val="bottom"/>
            <w:tcBorders>
              <w:bottom w:val="single" w:sz="8" w:color="434F69"/>
              <w:right w:val="single" w:sz="8" w:color="434F69"/>
            </w:tcBorders>
          </w:tcPr>
          <w:p>
            <w:pPr>
              <w:ind w:left="180"/>
              <w:spacing w:after="0"/>
              <w:rPr>
                <w:sz w:val="20"/>
                <w:szCs w:val="20"/>
                <w:color w:val="auto"/>
              </w:rPr>
            </w:pPr>
            <w:r>
              <w:rPr>
                <w:rFonts w:ascii="Arial" w:cs="Arial" w:eastAsia="Arial" w:hAnsi="Arial"/>
                <w:sz w:val="18"/>
                <w:szCs w:val="18"/>
                <w:color w:val="auto"/>
              </w:rPr>
              <w:t>Houston, TX 77002</w:t>
            </w:r>
          </w:p>
        </w:tc>
        <w:tc>
          <w:tcPr>
            <w:tcW w:w="1240" w:type="dxa"/>
            <w:vAlign w:val="bottom"/>
            <w:tcBorders>
              <w:bottom w:val="single" w:sz="8" w:color="434F69"/>
              <w:right w:val="single" w:sz="8" w:color="434F69"/>
            </w:tcBorders>
          </w:tcPr>
          <w:p>
            <w:pPr>
              <w:spacing w:after="0"/>
              <w:rPr>
                <w:sz w:val="21"/>
                <w:szCs w:val="21"/>
                <w:color w:val="auto"/>
              </w:rPr>
            </w:pPr>
          </w:p>
        </w:tc>
        <w:tc>
          <w:tcPr>
            <w:tcW w:w="1020" w:type="dxa"/>
            <w:vAlign w:val="bottom"/>
            <w:tcBorders>
              <w:bottom w:val="single" w:sz="8" w:color="434F69"/>
            </w:tcBorders>
          </w:tcPr>
          <w:p>
            <w:pPr>
              <w:spacing w:after="0"/>
              <w:rPr>
                <w:sz w:val="21"/>
                <w:szCs w:val="21"/>
                <w:color w:val="auto"/>
              </w:rPr>
            </w:pPr>
          </w:p>
        </w:tc>
        <w:tc>
          <w:tcPr>
            <w:tcW w:w="30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shd w:val="clear" w:color="auto" w:fill="D9DCE1"/>
          </w:tcPr>
          <w:p>
            <w:pPr>
              <w:spacing w:after="0"/>
              <w:rPr>
                <w:sz w:val="21"/>
                <w:szCs w:val="21"/>
                <w:color w:val="auto"/>
              </w:rPr>
            </w:pPr>
          </w:p>
        </w:tc>
        <w:tc>
          <w:tcPr>
            <w:tcW w:w="5600" w:type="dxa"/>
            <w:vAlign w:val="bottom"/>
            <w:tcBorders>
              <w:bottom w:val="single" w:sz="8" w:color="434F69"/>
              <w:right w:val="single" w:sz="8" w:color="434F69"/>
            </w:tcBorders>
            <w:shd w:val="clear" w:color="auto" w:fill="D9DCE1"/>
          </w:tcPr>
          <w:p>
            <w:pPr>
              <w:spacing w:after="0"/>
              <w:rPr>
                <w:sz w:val="20"/>
                <w:szCs w:val="20"/>
                <w:color w:val="auto"/>
              </w:rPr>
            </w:pPr>
            <w:r>
              <w:rPr>
                <w:rFonts w:ascii="Arial" w:cs="Arial" w:eastAsia="Arial" w:hAnsi="Arial"/>
                <w:sz w:val="18"/>
                <w:szCs w:val="18"/>
                <w:color w:val="auto"/>
              </w:rPr>
              <w:t>KAFU Holdings (QP), L.P. and Affiliates</w:t>
            </w:r>
          </w:p>
        </w:tc>
        <w:tc>
          <w:tcPr>
            <w:tcW w:w="1240" w:type="dxa"/>
            <w:vAlign w:val="bottom"/>
            <w:tcBorders>
              <w:bottom w:val="single" w:sz="8" w:color="434F69"/>
              <w:right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7.4%</w:t>
            </w:r>
          </w:p>
        </w:tc>
        <w:tc>
          <w:tcPr>
            <w:tcW w:w="10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7.4%</w:t>
            </w:r>
          </w:p>
        </w:tc>
        <w:tc>
          <w:tcPr>
            <w:tcW w:w="300" w:type="dxa"/>
            <w:vAlign w:val="bottom"/>
            <w:tcBorders>
              <w:bottom w:val="single" w:sz="8" w:color="434F69"/>
              <w:right w:val="single" w:sz="8" w:color="434F69"/>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tcPr>
          <w:p>
            <w:pPr>
              <w:spacing w:after="0"/>
              <w:rPr>
                <w:sz w:val="21"/>
                <w:szCs w:val="21"/>
                <w:color w:val="auto"/>
              </w:rPr>
            </w:pPr>
          </w:p>
        </w:tc>
        <w:tc>
          <w:tcPr>
            <w:tcW w:w="5600" w:type="dxa"/>
            <w:vAlign w:val="bottom"/>
            <w:tcBorders>
              <w:bottom w:val="single" w:sz="8" w:color="434F69"/>
              <w:right w:val="single" w:sz="8" w:color="434F69"/>
            </w:tcBorders>
          </w:tcPr>
          <w:p>
            <w:pPr>
              <w:ind w:left="180"/>
              <w:spacing w:after="0"/>
              <w:rPr>
                <w:sz w:val="20"/>
                <w:szCs w:val="20"/>
                <w:color w:val="auto"/>
              </w:rPr>
            </w:pPr>
            <w:r>
              <w:rPr>
                <w:rFonts w:ascii="Arial" w:cs="Arial" w:eastAsia="Arial" w:hAnsi="Arial"/>
                <w:sz w:val="18"/>
                <w:szCs w:val="18"/>
                <w:color w:val="auto"/>
              </w:rPr>
              <w:t>1800 Avenue of the Stars, 3rd Floor</w:t>
            </w:r>
          </w:p>
        </w:tc>
        <w:tc>
          <w:tcPr>
            <w:tcW w:w="1240" w:type="dxa"/>
            <w:vAlign w:val="bottom"/>
            <w:tcBorders>
              <w:bottom w:val="single" w:sz="8" w:color="434F69"/>
              <w:right w:val="single" w:sz="8" w:color="434F69"/>
            </w:tcBorders>
          </w:tcPr>
          <w:p>
            <w:pPr>
              <w:spacing w:after="0"/>
              <w:rPr>
                <w:sz w:val="21"/>
                <w:szCs w:val="21"/>
                <w:color w:val="auto"/>
              </w:rPr>
            </w:pPr>
          </w:p>
        </w:tc>
        <w:tc>
          <w:tcPr>
            <w:tcW w:w="1020" w:type="dxa"/>
            <w:vAlign w:val="bottom"/>
            <w:tcBorders>
              <w:bottom w:val="single" w:sz="8" w:color="434F69"/>
            </w:tcBorders>
          </w:tcPr>
          <w:p>
            <w:pPr>
              <w:spacing w:after="0"/>
              <w:rPr>
                <w:sz w:val="21"/>
                <w:szCs w:val="21"/>
                <w:color w:val="auto"/>
              </w:rPr>
            </w:pPr>
          </w:p>
        </w:tc>
        <w:tc>
          <w:tcPr>
            <w:tcW w:w="30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tcPr>
          <w:p>
            <w:pPr>
              <w:spacing w:after="0"/>
              <w:rPr>
                <w:sz w:val="21"/>
                <w:szCs w:val="21"/>
                <w:color w:val="auto"/>
              </w:rPr>
            </w:pPr>
          </w:p>
        </w:tc>
        <w:tc>
          <w:tcPr>
            <w:tcW w:w="5600" w:type="dxa"/>
            <w:vAlign w:val="bottom"/>
            <w:tcBorders>
              <w:bottom w:val="single" w:sz="8" w:color="434F69"/>
              <w:right w:val="single" w:sz="8" w:color="434F69"/>
            </w:tcBorders>
          </w:tcPr>
          <w:p>
            <w:pPr>
              <w:ind w:left="180"/>
              <w:spacing w:after="0"/>
              <w:rPr>
                <w:sz w:val="20"/>
                <w:szCs w:val="20"/>
                <w:color w:val="auto"/>
              </w:rPr>
            </w:pPr>
            <w:r>
              <w:rPr>
                <w:rFonts w:ascii="Arial" w:cs="Arial" w:eastAsia="Arial" w:hAnsi="Arial"/>
                <w:sz w:val="18"/>
                <w:szCs w:val="18"/>
                <w:color w:val="auto"/>
              </w:rPr>
              <w:t>Los Angeles, CA 90067</w:t>
            </w:r>
          </w:p>
        </w:tc>
        <w:tc>
          <w:tcPr>
            <w:tcW w:w="1240" w:type="dxa"/>
            <w:vAlign w:val="bottom"/>
            <w:tcBorders>
              <w:bottom w:val="single" w:sz="8" w:color="434F69"/>
              <w:right w:val="single" w:sz="8" w:color="434F69"/>
            </w:tcBorders>
          </w:tcPr>
          <w:p>
            <w:pPr>
              <w:spacing w:after="0"/>
              <w:rPr>
                <w:sz w:val="21"/>
                <w:szCs w:val="21"/>
                <w:color w:val="auto"/>
              </w:rPr>
            </w:pPr>
          </w:p>
        </w:tc>
        <w:tc>
          <w:tcPr>
            <w:tcW w:w="1020" w:type="dxa"/>
            <w:vAlign w:val="bottom"/>
            <w:tcBorders>
              <w:bottom w:val="single" w:sz="8" w:color="434F69"/>
            </w:tcBorders>
          </w:tcPr>
          <w:p>
            <w:pPr>
              <w:spacing w:after="0"/>
              <w:rPr>
                <w:sz w:val="21"/>
                <w:szCs w:val="21"/>
                <w:color w:val="auto"/>
              </w:rPr>
            </w:pPr>
          </w:p>
        </w:tc>
        <w:tc>
          <w:tcPr>
            <w:tcW w:w="30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shd w:val="clear" w:color="auto" w:fill="D9DCE1"/>
          </w:tcPr>
          <w:p>
            <w:pPr>
              <w:spacing w:after="0"/>
              <w:rPr>
                <w:sz w:val="21"/>
                <w:szCs w:val="21"/>
                <w:color w:val="auto"/>
              </w:rPr>
            </w:pPr>
          </w:p>
        </w:tc>
        <w:tc>
          <w:tcPr>
            <w:tcW w:w="5600" w:type="dxa"/>
            <w:vAlign w:val="bottom"/>
            <w:tcBorders>
              <w:bottom w:val="single" w:sz="8" w:color="434F69"/>
              <w:right w:val="single" w:sz="8" w:color="434F69"/>
            </w:tcBorders>
            <w:shd w:val="clear" w:color="auto" w:fill="D9DCE1"/>
          </w:tcPr>
          <w:p>
            <w:pPr>
              <w:spacing w:after="0"/>
              <w:rPr>
                <w:sz w:val="20"/>
                <w:szCs w:val="20"/>
                <w:color w:val="auto"/>
              </w:rPr>
            </w:pPr>
            <w:r>
              <w:rPr>
                <w:rFonts w:ascii="Arial" w:cs="Arial" w:eastAsia="Arial" w:hAnsi="Arial"/>
                <w:sz w:val="18"/>
                <w:szCs w:val="18"/>
                <w:color w:val="auto"/>
              </w:rPr>
              <w:t>Lynx Holdings I, LLC</w:t>
            </w:r>
          </w:p>
        </w:tc>
        <w:tc>
          <w:tcPr>
            <w:tcW w:w="1240" w:type="dxa"/>
            <w:vAlign w:val="bottom"/>
            <w:tcBorders>
              <w:bottom w:val="single" w:sz="8" w:color="434F69"/>
              <w:right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1.3%</w:t>
            </w:r>
          </w:p>
        </w:tc>
        <w:tc>
          <w:tcPr>
            <w:tcW w:w="10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434F69"/>
              <w:right w:val="single" w:sz="8" w:color="434F69"/>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tcPr>
          <w:p>
            <w:pPr>
              <w:spacing w:after="0"/>
              <w:rPr>
                <w:sz w:val="21"/>
                <w:szCs w:val="21"/>
                <w:color w:val="auto"/>
              </w:rPr>
            </w:pPr>
          </w:p>
        </w:tc>
        <w:tc>
          <w:tcPr>
            <w:tcW w:w="5600" w:type="dxa"/>
            <w:vAlign w:val="bottom"/>
            <w:tcBorders>
              <w:bottom w:val="single" w:sz="8" w:color="434F69"/>
              <w:right w:val="single" w:sz="8" w:color="434F69"/>
            </w:tcBorders>
          </w:tcPr>
          <w:p>
            <w:pPr>
              <w:spacing w:after="0"/>
              <w:rPr>
                <w:sz w:val="20"/>
                <w:szCs w:val="20"/>
                <w:color w:val="auto"/>
              </w:rPr>
            </w:pPr>
            <w:r>
              <w:rPr>
                <w:rFonts w:ascii="Arial" w:cs="Arial" w:eastAsia="Arial" w:hAnsi="Arial"/>
                <w:sz w:val="18"/>
                <w:szCs w:val="18"/>
                <w:color w:val="auto"/>
              </w:rPr>
              <w:t>John T. Raymond</w:t>
            </w:r>
          </w:p>
        </w:tc>
        <w:tc>
          <w:tcPr>
            <w:tcW w:w="1240" w:type="dxa"/>
            <w:vAlign w:val="bottom"/>
            <w:tcBorders>
              <w:bottom w:val="single" w:sz="8" w:color="434F69"/>
              <w:right w:val="single" w:sz="8" w:color="434F69"/>
            </w:tcBorders>
          </w:tcPr>
          <w:p>
            <w:pPr>
              <w:jc w:val="right"/>
              <w:ind w:right="236"/>
              <w:spacing w:after="0"/>
              <w:rPr>
                <w:sz w:val="20"/>
                <w:szCs w:val="20"/>
                <w:color w:val="auto"/>
              </w:rPr>
            </w:pPr>
            <w:r>
              <w:rPr>
                <w:rFonts w:ascii="Arial" w:cs="Arial" w:eastAsia="Arial" w:hAnsi="Arial"/>
                <w:sz w:val="18"/>
                <w:szCs w:val="18"/>
                <w:color w:val="auto"/>
              </w:rPr>
              <w:t>3.4%</w:t>
            </w:r>
          </w:p>
        </w:tc>
        <w:tc>
          <w:tcPr>
            <w:tcW w:w="10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shd w:val="clear" w:color="auto" w:fill="D9DCE1"/>
          </w:tcPr>
          <w:p>
            <w:pPr>
              <w:spacing w:after="0"/>
              <w:rPr>
                <w:sz w:val="21"/>
                <w:szCs w:val="21"/>
                <w:color w:val="auto"/>
              </w:rPr>
            </w:pPr>
          </w:p>
        </w:tc>
        <w:tc>
          <w:tcPr>
            <w:tcW w:w="5600" w:type="dxa"/>
            <w:vAlign w:val="bottom"/>
            <w:tcBorders>
              <w:bottom w:val="single" w:sz="8" w:color="434F69"/>
              <w:right w:val="single" w:sz="8" w:color="434F69"/>
            </w:tcBorders>
            <w:shd w:val="clear" w:color="auto" w:fill="D9DCE1"/>
          </w:tcPr>
          <w:p>
            <w:pPr>
              <w:spacing w:after="0"/>
              <w:rPr>
                <w:sz w:val="20"/>
                <w:szCs w:val="20"/>
                <w:color w:val="auto"/>
              </w:rPr>
            </w:pPr>
            <w:r>
              <w:rPr>
                <w:rFonts w:ascii="Arial" w:cs="Arial" w:eastAsia="Arial" w:hAnsi="Arial"/>
                <w:sz w:val="18"/>
                <w:szCs w:val="18"/>
                <w:color w:val="auto"/>
              </w:rPr>
              <w:t>Greg L. Armstrong</w:t>
            </w:r>
          </w:p>
        </w:tc>
        <w:tc>
          <w:tcPr>
            <w:tcW w:w="1240" w:type="dxa"/>
            <w:vAlign w:val="bottom"/>
            <w:tcBorders>
              <w:bottom w:val="single" w:sz="8" w:color="434F69"/>
              <w:right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434F69"/>
              <w:right w:val="single" w:sz="8" w:color="434F69"/>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tcPr>
          <w:p>
            <w:pPr>
              <w:spacing w:after="0"/>
              <w:rPr>
                <w:sz w:val="21"/>
                <w:szCs w:val="21"/>
                <w:color w:val="auto"/>
              </w:rPr>
            </w:pPr>
          </w:p>
        </w:tc>
        <w:tc>
          <w:tcPr>
            <w:tcW w:w="5600" w:type="dxa"/>
            <w:vAlign w:val="bottom"/>
            <w:tcBorders>
              <w:bottom w:val="single" w:sz="8" w:color="434F69"/>
              <w:right w:val="single" w:sz="8" w:color="434F69"/>
            </w:tcBorders>
          </w:tcPr>
          <w:p>
            <w:pPr>
              <w:spacing w:after="0"/>
              <w:rPr>
                <w:sz w:val="20"/>
                <w:szCs w:val="20"/>
                <w:color w:val="auto"/>
              </w:rPr>
            </w:pPr>
            <w:r>
              <w:rPr>
                <w:rFonts w:ascii="Arial" w:cs="Arial" w:eastAsia="Arial" w:hAnsi="Arial"/>
                <w:sz w:val="18"/>
                <w:szCs w:val="18"/>
                <w:color w:val="auto"/>
              </w:rPr>
              <w:t>Harry N. Pefanis</w:t>
            </w:r>
          </w:p>
        </w:tc>
        <w:tc>
          <w:tcPr>
            <w:tcW w:w="1240" w:type="dxa"/>
            <w:vAlign w:val="bottom"/>
            <w:tcBorders>
              <w:bottom w:val="single" w:sz="8" w:color="434F69"/>
              <w:right w:val="single" w:sz="8" w:color="434F69"/>
            </w:tcBorders>
          </w:tcPr>
          <w:p>
            <w:pPr>
              <w:jc w:val="right"/>
              <w:ind w:right="236"/>
              <w:spacing w:after="0"/>
              <w:rPr>
                <w:sz w:val="20"/>
                <w:szCs w:val="20"/>
                <w:color w:val="auto"/>
              </w:rPr>
            </w:pPr>
            <w:r>
              <w:rPr>
                <w:rFonts w:ascii="Arial" w:cs="Arial" w:eastAsia="Arial" w:hAnsi="Arial"/>
                <w:sz w:val="18"/>
                <w:szCs w:val="18"/>
                <w:color w:val="auto"/>
              </w:rPr>
              <w:t>0.9%</w:t>
            </w:r>
          </w:p>
        </w:tc>
        <w:tc>
          <w:tcPr>
            <w:tcW w:w="10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shd w:val="clear" w:color="auto" w:fill="D9DCE1"/>
          </w:tcPr>
          <w:p>
            <w:pPr>
              <w:spacing w:after="0"/>
              <w:rPr>
                <w:sz w:val="21"/>
                <w:szCs w:val="21"/>
                <w:color w:val="auto"/>
              </w:rPr>
            </w:pPr>
          </w:p>
        </w:tc>
        <w:tc>
          <w:tcPr>
            <w:tcW w:w="5600" w:type="dxa"/>
            <w:vAlign w:val="bottom"/>
            <w:tcBorders>
              <w:bottom w:val="single" w:sz="8" w:color="434F69"/>
              <w:right w:val="single" w:sz="8" w:color="434F69"/>
            </w:tcBorders>
            <w:shd w:val="clear" w:color="auto" w:fill="D9DCE1"/>
          </w:tcPr>
          <w:p>
            <w:pPr>
              <w:spacing w:after="0"/>
              <w:rPr>
                <w:sz w:val="20"/>
                <w:szCs w:val="20"/>
                <w:color w:val="auto"/>
              </w:rPr>
            </w:pPr>
            <w:r>
              <w:rPr>
                <w:rFonts w:ascii="Arial" w:cs="Arial" w:eastAsia="Arial" w:hAnsi="Arial"/>
                <w:sz w:val="18"/>
                <w:szCs w:val="18"/>
                <w:color w:val="auto"/>
              </w:rPr>
              <w:t>Richard McGee</w:t>
            </w:r>
          </w:p>
        </w:tc>
        <w:tc>
          <w:tcPr>
            <w:tcW w:w="1240" w:type="dxa"/>
            <w:vAlign w:val="bottom"/>
            <w:tcBorders>
              <w:bottom w:val="single" w:sz="8" w:color="434F69"/>
              <w:right w:val="single" w:sz="8" w:color="434F69"/>
            </w:tcBorders>
            <w:shd w:val="clear" w:color="auto" w:fill="D9DCE1"/>
          </w:tcPr>
          <w:p>
            <w:pPr>
              <w:jc w:val="right"/>
              <w:ind w:right="236"/>
              <w:spacing w:after="0"/>
              <w:rPr>
                <w:sz w:val="20"/>
                <w:szCs w:val="20"/>
                <w:color w:val="auto"/>
              </w:rPr>
            </w:pPr>
            <w:r>
              <w:rPr>
                <w:rFonts w:ascii="Arial" w:cs="Arial" w:eastAsia="Arial" w:hAnsi="Arial"/>
                <w:sz w:val="18"/>
                <w:szCs w:val="18"/>
                <w:color w:val="auto"/>
              </w:rPr>
              <w:t>0.2%</w:t>
            </w:r>
          </w:p>
        </w:tc>
        <w:tc>
          <w:tcPr>
            <w:tcW w:w="10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434F69"/>
              <w:right w:val="single" w:sz="8" w:color="434F69"/>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Borders>
              <w:left w:val="single" w:sz="8" w:color="434F69"/>
              <w:bottom w:val="single" w:sz="8" w:color="434F69"/>
            </w:tcBorders>
          </w:tcPr>
          <w:p>
            <w:pPr>
              <w:spacing w:after="0"/>
              <w:rPr>
                <w:sz w:val="21"/>
                <w:szCs w:val="21"/>
                <w:color w:val="auto"/>
              </w:rPr>
            </w:pPr>
          </w:p>
        </w:tc>
        <w:tc>
          <w:tcPr>
            <w:tcW w:w="5600" w:type="dxa"/>
            <w:vAlign w:val="bottom"/>
            <w:tcBorders>
              <w:bottom w:val="single" w:sz="8" w:color="434F69"/>
              <w:right w:val="single" w:sz="8" w:color="434F69"/>
            </w:tcBorders>
          </w:tcPr>
          <w:p>
            <w:pPr>
              <w:spacing w:after="0"/>
              <w:rPr>
                <w:sz w:val="20"/>
                <w:szCs w:val="20"/>
                <w:color w:val="auto"/>
              </w:rPr>
            </w:pPr>
            <w:r>
              <w:rPr>
                <w:rFonts w:ascii="Arial" w:cs="Arial" w:eastAsia="Arial" w:hAnsi="Arial"/>
                <w:sz w:val="18"/>
                <w:szCs w:val="18"/>
                <w:color w:val="auto"/>
              </w:rPr>
              <w:t>Various Individual Investors</w:t>
            </w:r>
          </w:p>
        </w:tc>
        <w:tc>
          <w:tcPr>
            <w:tcW w:w="1240" w:type="dxa"/>
            <w:vAlign w:val="bottom"/>
            <w:tcBorders>
              <w:bottom w:val="single" w:sz="8" w:color="434F69"/>
              <w:right w:val="single" w:sz="8" w:color="434F69"/>
            </w:tcBorders>
          </w:tcPr>
          <w:p>
            <w:pPr>
              <w:jc w:val="right"/>
              <w:ind w:right="236"/>
              <w:spacing w:after="0"/>
              <w:rPr>
                <w:sz w:val="20"/>
                <w:szCs w:val="20"/>
                <w:color w:val="auto"/>
              </w:rPr>
            </w:pPr>
            <w:r>
              <w:rPr>
                <w:rFonts w:ascii="Arial" w:cs="Arial" w:eastAsia="Arial" w:hAnsi="Arial"/>
                <w:sz w:val="18"/>
                <w:szCs w:val="18"/>
                <w:color w:val="auto"/>
              </w:rPr>
              <w:t>5.7%</w:t>
            </w:r>
          </w:p>
        </w:tc>
        <w:tc>
          <w:tcPr>
            <w:tcW w:w="102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434F69"/>
              <w:right w:val="single" w:sz="8" w:color="434F69"/>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Borders>
              <w:left w:val="single" w:sz="8" w:color="434F69"/>
              <w:bottom w:val="single" w:sz="8" w:color="434F69"/>
            </w:tcBorders>
            <w:shd w:val="clear" w:color="auto" w:fill="D9DCE1"/>
          </w:tcPr>
          <w:p>
            <w:pPr>
              <w:spacing w:after="0"/>
              <w:rPr>
                <w:sz w:val="23"/>
                <w:szCs w:val="23"/>
                <w:color w:val="auto"/>
              </w:rPr>
            </w:pPr>
          </w:p>
        </w:tc>
        <w:tc>
          <w:tcPr>
            <w:tcW w:w="5600" w:type="dxa"/>
            <w:vAlign w:val="bottom"/>
            <w:tcBorders>
              <w:bottom w:val="single" w:sz="8" w:color="434F69"/>
              <w:right w:val="single" w:sz="8" w:color="434F69"/>
            </w:tcBorders>
            <w:shd w:val="clear" w:color="auto" w:fill="D9DCE1"/>
          </w:tcPr>
          <w:p>
            <w:pPr>
              <w:spacing w:after="0" w:line="270" w:lineRule="exact"/>
              <w:rPr>
                <w:sz w:val="20"/>
                <w:szCs w:val="20"/>
                <w:color w:val="auto"/>
              </w:rPr>
            </w:pPr>
            <w:r>
              <w:rPr>
                <w:rFonts w:ascii="Arial" w:cs="Arial" w:eastAsia="Arial" w:hAnsi="Arial"/>
                <w:sz w:val="18"/>
                <w:szCs w:val="18"/>
                <w:color w:val="auto"/>
              </w:rPr>
              <w:t>AAP Management Unitholders</w:t>
            </w:r>
            <w:r>
              <w:rPr>
                <w:rFonts w:ascii="Arial" w:cs="Arial" w:eastAsia="Arial" w:hAnsi="Arial"/>
                <w:sz w:val="26"/>
                <w:szCs w:val="26"/>
                <w:color w:val="auto"/>
                <w:vertAlign w:val="superscript"/>
              </w:rPr>
              <w:t>(2)</w:t>
            </w:r>
          </w:p>
        </w:tc>
        <w:tc>
          <w:tcPr>
            <w:tcW w:w="1240" w:type="dxa"/>
            <w:vAlign w:val="bottom"/>
            <w:tcBorders>
              <w:bottom w:val="single" w:sz="8" w:color="434F69"/>
              <w:right w:val="single" w:sz="8" w:color="434F69"/>
            </w:tcBorders>
            <w:shd w:val="clear" w:color="auto" w:fill="D9DCE1"/>
          </w:tcPr>
          <w:p>
            <w:pPr>
              <w:jc w:val="right"/>
              <w:ind w:right="396"/>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434F69"/>
              <w:right w:val="single" w:sz="8" w:color="434F69"/>
            </w:tcBorders>
            <w:shd w:val="clear" w:color="auto" w:fill="D9DCE1"/>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1" w:lineRule="exact"/>
        <w:rPr>
          <w:sz w:val="20"/>
          <w:szCs w:val="20"/>
          <w:color w:val="auto"/>
        </w:rPr>
      </w:pPr>
    </w:p>
    <w:p>
      <w:pPr>
        <w:ind w:left="1620" w:right="779" w:hanging="360"/>
        <w:spacing w:after="0" w:line="207" w:lineRule="auto"/>
        <w:tabs>
          <w:tab w:leader="none" w:pos="1620" w:val="left"/>
        </w:tabs>
        <w:numPr>
          <w:ilvl w:val="0"/>
          <w:numId w:val="82"/>
        </w:numPr>
        <w:rPr>
          <w:rFonts w:ascii="Arial" w:cs="Arial" w:eastAsia="Arial" w:hAnsi="Arial"/>
          <w:sz w:val="27"/>
          <w:szCs w:val="27"/>
          <w:color w:val="auto"/>
          <w:vertAlign w:val="superscript"/>
        </w:rPr>
      </w:pPr>
      <w:r>
        <w:rPr>
          <w:rFonts w:ascii="Arial" w:cs="Arial" w:eastAsia="Arial" w:hAnsi="Arial"/>
          <w:sz w:val="18"/>
          <w:szCs w:val="18"/>
          <w:color w:val="auto"/>
        </w:rPr>
        <w:t>AAP owns approximately 246 million PAA common units and a 100% member interest in PAA GP LLC, which owns PAA’s non-economic general partner interest.</w:t>
      </w:r>
    </w:p>
    <w:p>
      <w:pPr>
        <w:spacing w:after="0" w:line="53" w:lineRule="exact"/>
        <w:rPr>
          <w:rFonts w:ascii="Arial" w:cs="Arial" w:eastAsia="Arial" w:hAnsi="Arial"/>
          <w:sz w:val="27"/>
          <w:szCs w:val="27"/>
          <w:color w:val="auto"/>
          <w:vertAlign w:val="superscript"/>
        </w:rPr>
      </w:pPr>
    </w:p>
    <w:p>
      <w:pPr>
        <w:ind w:left="1620" w:right="459" w:hanging="360"/>
        <w:spacing w:after="0" w:line="207" w:lineRule="auto"/>
        <w:tabs>
          <w:tab w:leader="none" w:pos="1620" w:val="left"/>
        </w:tabs>
        <w:numPr>
          <w:ilvl w:val="0"/>
          <w:numId w:val="82"/>
        </w:numPr>
        <w:rPr>
          <w:rFonts w:ascii="Arial" w:cs="Arial" w:eastAsia="Arial" w:hAnsi="Arial"/>
          <w:sz w:val="27"/>
          <w:szCs w:val="27"/>
          <w:color w:val="auto"/>
          <w:vertAlign w:val="superscript"/>
        </w:rPr>
      </w:pPr>
      <w:r>
        <w:rPr>
          <w:rFonts w:ascii="Arial" w:cs="Arial" w:eastAsia="Arial" w:hAnsi="Arial"/>
          <w:sz w:val="18"/>
          <w:szCs w:val="18"/>
          <w:color w:val="auto"/>
        </w:rPr>
        <w:t>Represents a profits interest in AAP in the form of AAP Management Units owned by certain members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48"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The following table sets forth certain information with respect to our equity compensation plan as of December 31, 2020. For a description of this plan, see “Certain Relationships and Related Transactions — Plains GP Holdings, L.P. Long Term Incentive Plan.”</w:t>
      </w:r>
    </w:p>
    <w:p>
      <w:pPr>
        <w:spacing w:after="0" w:line="171"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1940" w:type="dxa"/>
            <w:vAlign w:val="bottom"/>
            <w:tcBorders>
              <w:left w:val="single" w:sz="8" w:color="434F69"/>
            </w:tcBorders>
            <w:shd w:val="clear" w:color="auto" w:fill="434F69"/>
          </w:tcPr>
          <w:p>
            <w:pPr>
              <w:spacing w:after="0"/>
              <w:rPr>
                <w:sz w:val="20"/>
                <w:szCs w:val="20"/>
                <w:color w:val="auto"/>
              </w:rPr>
            </w:pPr>
          </w:p>
        </w:tc>
        <w:tc>
          <w:tcPr>
            <w:tcW w:w="2500" w:type="dxa"/>
            <w:vAlign w:val="bottom"/>
            <w:tcBorders>
              <w:right w:val="single" w:sz="8" w:color="434F69"/>
            </w:tcBorders>
            <w:shd w:val="clear" w:color="auto" w:fill="434F69"/>
          </w:tcPr>
          <w:p>
            <w:pPr>
              <w:spacing w:after="0"/>
              <w:rPr>
                <w:sz w:val="20"/>
                <w:szCs w:val="20"/>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Number of Units</w:t>
            </w:r>
          </w:p>
        </w:tc>
        <w:tc>
          <w:tcPr>
            <w:tcW w:w="1320" w:type="dxa"/>
            <w:vAlign w:val="bottom"/>
            <w:tcBorders>
              <w:right w:val="single" w:sz="8" w:color="434F69"/>
            </w:tcBorders>
            <w:shd w:val="clear" w:color="auto" w:fill="434F69"/>
          </w:tcPr>
          <w:p>
            <w:pPr>
              <w:spacing w:after="0"/>
              <w:rPr>
                <w:sz w:val="20"/>
                <w:szCs w:val="20"/>
                <w:color w:val="auto"/>
              </w:rPr>
            </w:pP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Number of Units</w:t>
            </w: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250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to be Issued upon</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Weighted Average</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Remaining</w:t>
            </w: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250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5"/>
              </w:rPr>
              <w:t>Exercise/Vesting</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6"/>
              </w:rPr>
              <w:t>Exercise Price of</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Available for</w:t>
            </w: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250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of Outstanding</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Outstanding</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Future Issuance</w:t>
            </w: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250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Options,</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Options,</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under Equity</w:t>
            </w: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250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Warrants and</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Warrants and</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8"/>
              </w:rPr>
              <w:t>Compensation</w:t>
            </w:r>
          </w:p>
        </w:tc>
      </w:tr>
      <w:tr>
        <w:trPr>
          <w:trHeight w:val="162"/>
        </w:trPr>
        <w:tc>
          <w:tcPr>
            <w:tcW w:w="1940" w:type="dxa"/>
            <w:vAlign w:val="bottom"/>
            <w:tcBorders>
              <w:left w:val="single" w:sz="8" w:color="434F69"/>
            </w:tcBorders>
            <w:shd w:val="clear" w:color="auto" w:fill="434F69"/>
          </w:tcPr>
          <w:p>
            <w:pPr>
              <w:spacing w:after="0"/>
              <w:rPr>
                <w:sz w:val="14"/>
                <w:szCs w:val="14"/>
                <w:color w:val="auto"/>
              </w:rPr>
            </w:pPr>
          </w:p>
        </w:tc>
        <w:tc>
          <w:tcPr>
            <w:tcW w:w="2500" w:type="dxa"/>
            <w:vAlign w:val="bottom"/>
            <w:tcBorders>
              <w:right w:val="single" w:sz="8" w:color="434F69"/>
            </w:tcBorders>
            <w:shd w:val="clear" w:color="auto" w:fill="434F69"/>
          </w:tcPr>
          <w:p>
            <w:pPr>
              <w:spacing w:after="0"/>
              <w:rPr>
                <w:sz w:val="14"/>
                <w:szCs w:val="14"/>
                <w:color w:val="auto"/>
              </w:rPr>
            </w:pPr>
          </w:p>
        </w:tc>
        <w:tc>
          <w:tcPr>
            <w:tcW w:w="12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Rights</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7"/>
              </w:rPr>
              <w:t>Rights</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Plans</w:t>
            </w:r>
          </w:p>
        </w:tc>
      </w:tr>
      <w:tr>
        <w:trPr>
          <w:trHeight w:val="192"/>
        </w:trPr>
        <w:tc>
          <w:tcPr>
            <w:tcW w:w="4440" w:type="dxa"/>
            <w:vAlign w:val="bottom"/>
            <w:tcBorders>
              <w:left w:val="single" w:sz="8" w:color="434F69"/>
              <w:bottom w:val="single" w:sz="8" w:color="434F69"/>
              <w:right w:val="single" w:sz="8" w:color="434F69"/>
            </w:tcBorders>
            <w:gridSpan w:val="2"/>
            <w:shd w:val="clear" w:color="auto" w:fill="434F69"/>
          </w:tcPr>
          <w:p>
            <w:pPr>
              <w:ind w:left="60"/>
              <w:spacing w:after="0"/>
              <w:rPr>
                <w:sz w:val="20"/>
                <w:szCs w:val="20"/>
                <w:color w:val="auto"/>
              </w:rPr>
            </w:pPr>
            <w:r>
              <w:rPr>
                <w:rFonts w:ascii="Arial" w:cs="Arial" w:eastAsia="Arial" w:hAnsi="Arial"/>
                <w:sz w:val="14"/>
                <w:szCs w:val="14"/>
                <w:b w:val="1"/>
                <w:bCs w:val="1"/>
                <w:color w:val="FFFFFF"/>
              </w:rPr>
              <w:t>Plan Category</w:t>
            </w:r>
          </w:p>
        </w:tc>
        <w:tc>
          <w:tcPr>
            <w:tcW w:w="126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(a)</w:t>
            </w:r>
          </w:p>
        </w:tc>
        <w:tc>
          <w:tcPr>
            <w:tcW w:w="132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(b)</w:t>
            </w:r>
          </w:p>
        </w:tc>
        <w:tc>
          <w:tcPr>
            <w:tcW w:w="120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1"/>
              </w:rPr>
              <w:t>(c)</w:t>
            </w:r>
          </w:p>
        </w:tc>
      </w:tr>
      <w:tr>
        <w:trPr>
          <w:trHeight w:val="304"/>
        </w:trPr>
        <w:tc>
          <w:tcPr>
            <w:tcW w:w="4440" w:type="dxa"/>
            <w:vAlign w:val="bottom"/>
            <w:tcBorders>
              <w:left w:val="single" w:sz="8" w:color="434F69"/>
              <w:bottom w:val="single" w:sz="8" w:color="434F69"/>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rPr>
              <w:t>Equity compensation plans approved by unitholders:</w:t>
            </w:r>
          </w:p>
        </w:tc>
        <w:tc>
          <w:tcPr>
            <w:tcW w:w="1260" w:type="dxa"/>
            <w:vAlign w:val="bottom"/>
            <w:tcBorders>
              <w:bottom w:val="single" w:sz="8" w:color="434F69"/>
              <w:right w:val="single" w:sz="8" w:color="434F69"/>
            </w:tcBorders>
            <w:shd w:val="clear" w:color="auto" w:fill="D9DCE1"/>
          </w:tcPr>
          <w:p>
            <w:pPr>
              <w:spacing w:after="0"/>
              <w:rPr>
                <w:sz w:val="24"/>
                <w:szCs w:val="24"/>
                <w:color w:val="auto"/>
              </w:rPr>
            </w:pPr>
          </w:p>
        </w:tc>
        <w:tc>
          <w:tcPr>
            <w:tcW w:w="1320" w:type="dxa"/>
            <w:vAlign w:val="bottom"/>
            <w:tcBorders>
              <w:bottom w:val="single" w:sz="8" w:color="434F69"/>
              <w:right w:val="single" w:sz="8" w:color="434F69"/>
            </w:tcBorders>
            <w:shd w:val="clear" w:color="auto" w:fill="D9DCE1"/>
          </w:tcPr>
          <w:p>
            <w:pPr>
              <w:spacing w:after="0"/>
              <w:rPr>
                <w:sz w:val="24"/>
                <w:szCs w:val="24"/>
                <w:color w:val="auto"/>
              </w:rPr>
            </w:pPr>
          </w:p>
        </w:tc>
        <w:tc>
          <w:tcPr>
            <w:tcW w:w="1200" w:type="dxa"/>
            <w:vAlign w:val="bottom"/>
            <w:tcBorders>
              <w:bottom w:val="single" w:sz="8" w:color="434F69"/>
              <w:right w:val="single" w:sz="8" w:color="434F69"/>
            </w:tcBorders>
            <w:shd w:val="clear" w:color="auto" w:fill="D9DCE1"/>
          </w:tcPr>
          <w:p>
            <w:pPr>
              <w:spacing w:after="0"/>
              <w:rPr>
                <w:sz w:val="24"/>
                <w:szCs w:val="24"/>
                <w:color w:val="auto"/>
              </w:rPr>
            </w:pPr>
          </w:p>
        </w:tc>
      </w:tr>
      <w:tr>
        <w:trPr>
          <w:trHeight w:val="310"/>
        </w:trPr>
        <w:tc>
          <w:tcPr>
            <w:tcW w:w="4440" w:type="dxa"/>
            <w:vAlign w:val="bottom"/>
            <w:tcBorders>
              <w:left w:val="single" w:sz="8" w:color="434F69"/>
              <w:bottom w:val="single" w:sz="8" w:color="434F69"/>
              <w:right w:val="single" w:sz="8" w:color="434F69"/>
            </w:tcBorders>
            <w:gridSpan w:val="2"/>
          </w:tcPr>
          <w:p>
            <w:pPr>
              <w:ind w:left="240"/>
              <w:spacing w:after="0"/>
              <w:rPr>
                <w:sz w:val="20"/>
                <w:szCs w:val="20"/>
                <w:color w:val="auto"/>
              </w:rPr>
            </w:pPr>
            <w:r>
              <w:rPr>
                <w:rFonts w:ascii="Arial" w:cs="Arial" w:eastAsia="Arial" w:hAnsi="Arial"/>
                <w:sz w:val="18"/>
                <w:szCs w:val="18"/>
                <w:color w:val="auto"/>
              </w:rPr>
              <w:t>Long Term Incentive Plan</w:t>
            </w:r>
          </w:p>
        </w:tc>
        <w:tc>
          <w:tcPr>
            <w:tcW w:w="1260" w:type="dxa"/>
            <w:vAlign w:val="bottom"/>
            <w:tcBorders>
              <w:bottom w:val="single" w:sz="8" w:color="434F69"/>
              <w:right w:val="single" w:sz="8" w:color="434F69"/>
            </w:tcBorders>
          </w:tcPr>
          <w:p>
            <w:pPr>
              <w:jc w:val="right"/>
              <w:ind w:right="124"/>
              <w:spacing w:after="0"/>
              <w:rPr>
                <w:sz w:val="20"/>
                <w:szCs w:val="20"/>
                <w:color w:val="auto"/>
              </w:rPr>
            </w:pPr>
            <w:r>
              <w:rPr>
                <w:rFonts w:ascii="Arial" w:cs="Arial" w:eastAsia="Arial" w:hAnsi="Arial"/>
                <w:sz w:val="18"/>
                <w:szCs w:val="18"/>
                <w:color w:val="auto"/>
              </w:rPr>
              <w:t>208,663</w:t>
            </w:r>
            <w:r>
              <w:rPr>
                <w:rFonts w:ascii="Arial" w:cs="Arial" w:eastAsia="Arial" w:hAnsi="Arial"/>
                <w:sz w:val="26"/>
                <w:szCs w:val="26"/>
                <w:color w:val="auto"/>
                <w:vertAlign w:val="superscript"/>
              </w:rPr>
              <w:t>(1)</w:t>
            </w:r>
          </w:p>
        </w:tc>
        <w:tc>
          <w:tcPr>
            <w:tcW w:w="132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bottom w:val="single" w:sz="8" w:color="434F69"/>
              <w:right w:val="single" w:sz="8" w:color="434F69"/>
            </w:tcBorders>
          </w:tcPr>
          <w:p>
            <w:pPr>
              <w:jc w:val="right"/>
              <w:ind w:right="4"/>
              <w:spacing w:after="0"/>
              <w:rPr>
                <w:sz w:val="20"/>
                <w:szCs w:val="20"/>
                <w:color w:val="auto"/>
              </w:rPr>
            </w:pPr>
            <w:r>
              <w:rPr>
                <w:rFonts w:ascii="Arial" w:cs="Arial" w:eastAsia="Arial" w:hAnsi="Arial"/>
                <w:sz w:val="18"/>
                <w:szCs w:val="18"/>
                <w:color w:val="auto"/>
              </w:rPr>
              <w:t>3,431,041</w:t>
            </w:r>
            <w:r>
              <w:rPr>
                <w:rFonts w:ascii="Arial" w:cs="Arial" w:eastAsia="Arial" w:hAnsi="Arial"/>
                <w:sz w:val="26"/>
                <w:szCs w:val="26"/>
                <w:color w:val="auto"/>
                <w:vertAlign w:val="superscript"/>
              </w:rPr>
              <w:t>(1)</w:t>
            </w:r>
          </w:p>
        </w:tc>
      </w:tr>
      <w:tr>
        <w:trPr>
          <w:trHeight w:val="323"/>
        </w:trPr>
        <w:tc>
          <w:tcPr>
            <w:tcW w:w="4440" w:type="dxa"/>
            <w:vAlign w:val="bottom"/>
            <w:tcBorders>
              <w:left w:val="single" w:sz="8" w:color="434F69"/>
              <w:bottom w:val="single" w:sz="8" w:color="D9DCE1"/>
              <w:right w:val="single" w:sz="8" w:color="434F69"/>
            </w:tcBorders>
            <w:gridSpan w:val="2"/>
            <w:shd w:val="clear" w:color="auto" w:fill="D9DCE1"/>
          </w:tcPr>
          <w:p>
            <w:pPr>
              <w:ind w:left="60"/>
              <w:spacing w:after="0"/>
              <w:rPr>
                <w:sz w:val="20"/>
                <w:szCs w:val="20"/>
                <w:color w:val="auto"/>
              </w:rPr>
            </w:pPr>
            <w:r>
              <w:rPr>
                <w:rFonts w:ascii="Arial" w:cs="Arial" w:eastAsia="Arial" w:hAnsi="Arial"/>
                <w:sz w:val="18"/>
                <w:szCs w:val="18"/>
                <w:color w:val="auto"/>
                <w:w w:val="97"/>
              </w:rPr>
              <w:t>Equity compensation plans not approved by unitholders:</w:t>
            </w:r>
          </w:p>
        </w:tc>
        <w:tc>
          <w:tcPr>
            <w:tcW w:w="1260" w:type="dxa"/>
            <w:vAlign w:val="bottom"/>
            <w:tcBorders>
              <w:bottom w:val="single" w:sz="8" w:color="D9DCE1"/>
              <w:right w:val="single" w:sz="8" w:color="434F69"/>
            </w:tcBorders>
            <w:shd w:val="clear" w:color="auto" w:fill="D9DCE1"/>
          </w:tcPr>
          <w:p>
            <w:pPr>
              <w:jc w:val="right"/>
              <w:ind w:right="284"/>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9"/>
              </w:rPr>
              <w:t>N/A</w:t>
            </w:r>
          </w:p>
        </w:tc>
        <w:tc>
          <w:tcPr>
            <w:tcW w:w="1200" w:type="dxa"/>
            <w:vAlign w:val="bottom"/>
            <w:tcBorders>
              <w:bottom w:val="single" w:sz="8" w:color="D9DCE1"/>
              <w:right w:val="single" w:sz="8" w:color="434F69"/>
            </w:tcBorders>
            <w:shd w:val="clear" w:color="auto" w:fill="D9DCE1"/>
          </w:tcPr>
          <w:p>
            <w:pPr>
              <w:jc w:val="right"/>
              <w:ind w:right="144"/>
              <w:spacing w:after="0"/>
              <w:rPr>
                <w:sz w:val="20"/>
                <w:szCs w:val="20"/>
                <w:color w:val="auto"/>
              </w:rPr>
            </w:pPr>
            <w:r>
              <w:rPr>
                <w:rFonts w:ascii="Arial" w:cs="Arial" w:eastAsia="Arial" w:hAnsi="Arial"/>
                <w:sz w:val="18"/>
                <w:szCs w:val="18"/>
                <w:color w:val="auto"/>
              </w:rPr>
              <w:t>N/A</w:t>
            </w:r>
          </w:p>
        </w:tc>
      </w:tr>
      <w:tr>
        <w:trPr>
          <w:trHeight w:val="237"/>
        </w:trPr>
        <w:tc>
          <w:tcPr>
            <w:tcW w:w="1940" w:type="dxa"/>
            <w:vAlign w:val="bottom"/>
            <w:tcBorders>
              <w:top w:val="single" w:sz="8" w:color="434F69"/>
              <w:bottom w:val="single" w:sz="8" w:color="auto"/>
            </w:tcBorders>
          </w:tcPr>
          <w:p>
            <w:pPr>
              <w:spacing w:after="0"/>
              <w:rPr>
                <w:sz w:val="20"/>
                <w:szCs w:val="20"/>
                <w:color w:val="auto"/>
              </w:rPr>
            </w:pPr>
          </w:p>
        </w:tc>
        <w:tc>
          <w:tcPr>
            <w:tcW w:w="2500" w:type="dxa"/>
            <w:vAlign w:val="bottom"/>
            <w:tcBorders>
              <w:top w:val="single" w:sz="8" w:color="434F69"/>
            </w:tcBorders>
          </w:tcPr>
          <w:p>
            <w:pPr>
              <w:spacing w:after="0"/>
              <w:rPr>
                <w:sz w:val="20"/>
                <w:szCs w:val="20"/>
                <w:color w:val="auto"/>
              </w:rPr>
            </w:pPr>
          </w:p>
        </w:tc>
        <w:tc>
          <w:tcPr>
            <w:tcW w:w="1260" w:type="dxa"/>
            <w:vAlign w:val="bottom"/>
            <w:tcBorders>
              <w:top w:val="single" w:sz="8" w:color="434F69"/>
            </w:tcBorders>
          </w:tcPr>
          <w:p>
            <w:pPr>
              <w:spacing w:after="0"/>
              <w:rPr>
                <w:sz w:val="20"/>
                <w:szCs w:val="20"/>
                <w:color w:val="auto"/>
              </w:rPr>
            </w:pPr>
          </w:p>
        </w:tc>
        <w:tc>
          <w:tcPr>
            <w:tcW w:w="1320" w:type="dxa"/>
            <w:vAlign w:val="bottom"/>
            <w:tcBorders>
              <w:top w:val="single" w:sz="8" w:color="434F69"/>
            </w:tcBorders>
          </w:tcPr>
          <w:p>
            <w:pPr>
              <w:spacing w:after="0"/>
              <w:rPr>
                <w:sz w:val="20"/>
                <w:szCs w:val="20"/>
                <w:color w:val="auto"/>
              </w:rPr>
            </w:pPr>
          </w:p>
        </w:tc>
        <w:tc>
          <w:tcPr>
            <w:tcW w:w="1200" w:type="dxa"/>
            <w:vAlign w:val="bottom"/>
            <w:tcBorders>
              <w:top w:val="single" w:sz="8" w:color="434F69"/>
            </w:tcBorders>
          </w:tcPr>
          <w:p>
            <w:pPr>
              <w:spacing w:after="0"/>
              <w:rPr>
                <w:sz w:val="20"/>
                <w:szCs w:val="20"/>
                <w:color w:val="auto"/>
              </w:rPr>
            </w:pPr>
          </w:p>
        </w:tc>
      </w:tr>
    </w:tbl>
    <w:p>
      <w:pPr>
        <w:spacing w:after="0" w:line="134" w:lineRule="exact"/>
        <w:rPr>
          <w:sz w:val="20"/>
          <w:szCs w:val="20"/>
          <w:color w:val="auto"/>
        </w:rPr>
      </w:pPr>
    </w:p>
    <w:p>
      <w:pPr>
        <w:ind w:left="1620" w:right="439" w:hanging="360"/>
        <w:spacing w:after="0" w:line="238" w:lineRule="auto"/>
        <w:tabs>
          <w:tab w:leader="none" w:pos="1620" w:val="left"/>
        </w:tabs>
        <w:numPr>
          <w:ilvl w:val="0"/>
          <w:numId w:val="83"/>
        </w:numPr>
        <w:rPr>
          <w:rFonts w:ascii="Arial" w:cs="Arial" w:eastAsia="Arial" w:hAnsi="Arial"/>
          <w:sz w:val="26"/>
          <w:szCs w:val="26"/>
          <w:color w:val="auto"/>
          <w:vertAlign w:val="superscript"/>
        </w:rPr>
      </w:pPr>
      <w:r>
        <w:rPr>
          <w:rFonts w:ascii="Arial" w:cs="Arial" w:eastAsia="Arial" w:hAnsi="Arial"/>
          <w:sz w:val="17"/>
          <w:szCs w:val="17"/>
          <w:color w:val="auto"/>
        </w:rPr>
        <w:t>The Plains GP Holdings, L.P. Long Term Incentive Plan (the “PAGP Plan”) was adopted by our general partner in connection with our initial public offering in October 2013. The PAGP Plan contemplates the issuance or delivery of up to 3,755,208 Class A shares to satisfy awards under the PAGP Plan. In accordance with Item 201(d) of Regulation S-K, column (c) excludes the securities disclosed in column</w:t>
      </w:r>
    </w:p>
    <w:p>
      <w:pPr>
        <w:ind w:left="1620" w:right="979"/>
        <w:spacing w:after="0" w:line="260" w:lineRule="auto"/>
        <w:rPr>
          <w:rFonts w:ascii="Arial" w:cs="Arial" w:eastAsia="Arial" w:hAnsi="Arial"/>
          <w:sz w:val="26"/>
          <w:szCs w:val="26"/>
          <w:color w:val="auto"/>
          <w:vertAlign w:val="superscript"/>
        </w:rPr>
      </w:pPr>
      <w:r>
        <w:rPr>
          <w:rFonts w:ascii="Arial" w:cs="Arial" w:eastAsia="Arial" w:hAnsi="Arial"/>
          <w:sz w:val="18"/>
          <w:szCs w:val="18"/>
          <w:color w:val="auto"/>
        </w:rPr>
        <w:t>(a). However, any phantom Class A shares represented in column (a) that are not satisfied by the issuance of Class A shares become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48"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color w:val="auto"/>
        </w:rPr>
        <w:t>Our general partner manages our operations and activities. We and our general partner have no employees. All of our officers and other personnel necessary for our business to function (to the extent not outsourced) are employed by GP LLC. Pursuant to the Omnibus Agreement described below under</w:t>
      </w:r>
    </w:p>
    <w:p>
      <w:pPr>
        <w:ind w:left="1260" w:right="419"/>
        <w:spacing w:after="0" w:line="248" w:lineRule="auto"/>
        <w:rPr>
          <w:sz w:val="20"/>
          <w:szCs w:val="20"/>
          <w:color w:val="auto"/>
        </w:rPr>
      </w:pPr>
      <w:r>
        <w:rPr>
          <w:rFonts w:ascii="Arial" w:cs="Arial" w:eastAsia="Arial" w:hAnsi="Arial"/>
          <w:sz w:val="17"/>
          <w:szCs w:val="17"/>
          <w:color w:val="auto"/>
        </w:rPr>
        <w:t>“— Omnibus Agreement,” all of our direct or indirect expenses, other than income taxes, if any, will be paid by PAA. These direct or indirect expenses include, but are not limited to (i) compensation for the non-employee directors of PAGP GP, (ii) director and officer liability insurance, (iii) listing exchange fees,</w:t>
      </w:r>
    </w:p>
    <w:p>
      <w:pPr>
        <w:spacing w:after="0" w:line="2"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(iv) investor relations expenses, and (v) fees related to legal, tax, financial advisory and accounting services.</w:t>
      </w:r>
    </w:p>
    <w:p>
      <w:pPr>
        <w:spacing w:after="0" w:line="140"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Our general partner owns a non- economic general partner interest in us, which does not entitle it to receive cash distributions. We own a portion of the membership interest in our general partner.</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 Long Term Incentive Plan</w:t>
      </w:r>
    </w:p>
    <w:p>
      <w:pPr>
        <w:spacing w:after="0" w:line="16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In connection with our initial public offering, our general partner adopted the Plains GP Holdings, L.P. Long Term Incentive Plan (the “PAGP Plan”) on our behalf for (i) the employees of our general partner and its affiliates who perform services for us and (ii) the non-employee directors of our general partner. Awards that may be granted under the PAGP Plan include restricted shares, phantom shares, options and share appreciation rights. The PAGP Plan limits the number of shares that may be delivered pursuant to awards to 3,755,208 Class A shares (subject to any adjustment due to recapitalization, reorganization or a similar event permitted under the PAGP Plan). Shares (other than restricted shares) that are forfeited or withheld to satisfy exercise price or tax withholding obligations are available for delivery pursuant to other awards. As of December 31, 2020, grants of 208,663 unvested phantom Class A shares were outstanding under the PAGP Plan.</w:t>
      </w:r>
    </w:p>
    <w:p>
      <w:pPr>
        <w:spacing w:after="0" w:line="107"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PAGP Plan is administered by the Board. The Board has the right to terminate or amend the PAGP Plan or any part of the PAGP Plan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PAGP Plan will expire upon the earlier of the termination of the PAGP Plan by the Board or the date that no shares remain available under the PAGP Plan for awards. Upon termination of the PAGP Plan, awards then outstanding will continue pursuant to the terms of their grants.</w:t>
      </w:r>
    </w:p>
    <w:p>
      <w:pPr>
        <w:spacing w:after="0" w:line="126"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Class A shares to be delivered in settlement of awards under the PAGP Plan may be newly issued Class A shares, Class A shares acquired in the open market, Class A shares acquired from any other person, or any combination of the foregoing.</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w:t>
      </w:r>
    </w:p>
    <w:p>
      <w:pPr>
        <w:spacing w:after="0" w:line="15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A restricted share is a Class A share that vests over a period of time and that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time is subject to forfeiture. The Board will determine the period over which restricted shares granted to participants will vest. The Board, in its discretion, may base its determination upon the achievement of performance metrics. Distributions made on restricted shares may be subjected to the same vesting provisions as the restricted share. If a grantee’s employment or membership on the Board terminates for any reason, the grantee’s restricted shares will be automatically forfeited unless, and to the extent, the Board or the terms of the award agreement provide otherwise.</w:t>
      </w:r>
    </w:p>
    <w:p>
      <w:pPr>
        <w:spacing w:after="0" w:line="110"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We intend the restricted shares under the PAGP Plan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120"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i w:val="1"/>
          <w:iCs w:val="1"/>
          <w:color w:val="auto"/>
        </w:rPr>
        <w:t xml:space="preserve">Phantom Shares. </w:t>
      </w:r>
      <w:r>
        <w:rPr>
          <w:rFonts w:ascii="Arial" w:cs="Arial" w:eastAsia="Arial" w:hAnsi="Arial"/>
          <w:sz w:val="17"/>
          <w:szCs w:val="17"/>
          <w:color w:val="auto"/>
        </w:rPr>
        <w:t>A phantom share entitles the grantee to receive a Class A share upon the vesting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phantom share or, in the discretion of the Board, cash equivalent to the value of a Class A share. The Board will determine the period over which phantom shares granted to participants will vest. The Board, in</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679"/>
        <w:spacing w:after="0" w:line="231" w:lineRule="auto"/>
        <w:rPr>
          <w:sz w:val="20"/>
          <w:szCs w:val="20"/>
          <w:color w:val="auto"/>
        </w:rPr>
      </w:pPr>
      <w:r>
        <w:rPr>
          <w:rFonts w:ascii="Arial" w:cs="Arial" w:eastAsia="Arial" w:hAnsi="Arial"/>
          <w:sz w:val="18"/>
          <w:szCs w:val="18"/>
          <w:color w:val="auto"/>
        </w:rPr>
        <w:t>its discretion, may base its determination upon the achievement of performance metrics. If a grantee’s employment or membership on the Board terminates for any reason, the grantee’s phantom shares will be automatically forfeited unless, and to the extent, the Board or the terms of the award agreement provide otherwise.</w:t>
      </w:r>
    </w:p>
    <w:p>
      <w:pPr>
        <w:spacing w:after="0" w:line="94" w:lineRule="exact"/>
        <w:rPr>
          <w:sz w:val="20"/>
          <w:szCs w:val="20"/>
          <w:color w:val="auto"/>
        </w:rPr>
      </w:pPr>
    </w:p>
    <w:p>
      <w:pPr>
        <w:ind w:left="1260" w:right="559" w:firstLine="360"/>
        <w:spacing w:after="0" w:line="228" w:lineRule="auto"/>
        <w:rPr>
          <w:sz w:val="20"/>
          <w:szCs w:val="20"/>
          <w:color w:val="auto"/>
        </w:rPr>
      </w:pPr>
      <w:r>
        <w:rPr>
          <w:rFonts w:ascii="Arial" w:cs="Arial" w:eastAsia="Arial" w:hAnsi="Arial"/>
          <w:sz w:val="18"/>
          <w:szCs w:val="18"/>
          <w:color w:val="auto"/>
        </w:rPr>
        <w:t>The Board, in its discretion, may grant distribution equivalent rights, which we refer to as DERs, with respect to a phantom share. DERs entitle the grantee to receive an amount in cash equal to the cash distributions made on a Class A share during the period the related award is outstanding. The Board will establish whether the DERs are paid currently, when the tandem phantom share vests or on some other basis.</w:t>
      </w:r>
    </w:p>
    <w:p>
      <w:pPr>
        <w:spacing w:after="0" w:line="110" w:lineRule="exact"/>
        <w:rPr>
          <w:sz w:val="20"/>
          <w:szCs w:val="20"/>
          <w:color w:val="auto"/>
        </w:rPr>
      </w:pPr>
    </w:p>
    <w:p>
      <w:pPr>
        <w:ind w:left="1260" w:right="499" w:firstLine="360"/>
        <w:spacing w:after="0" w:line="246" w:lineRule="auto"/>
        <w:rPr>
          <w:sz w:val="20"/>
          <w:szCs w:val="20"/>
          <w:color w:val="auto"/>
        </w:rPr>
      </w:pPr>
      <w:r>
        <w:rPr>
          <w:rFonts w:ascii="Arial" w:cs="Arial" w:eastAsia="Arial" w:hAnsi="Arial"/>
          <w:sz w:val="17"/>
          <w:szCs w:val="17"/>
          <w:color w:val="auto"/>
        </w:rPr>
        <w:t>We intend the issuance of any Class A shares upon vesting of the phantom shares under the PAGP Plan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117"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An option provides a participant with the option to acquire Class A shares at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The exercise price of each option granted under the PAGP Plan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determines for each option. The Board will determine the methods and form of payment for the exercise price of an option and the methods and forms in which Class A shares will be delivered to a participant. The Board, in its discretion, may grant DERs with respect to an option.</w:t>
      </w:r>
    </w:p>
    <w:p>
      <w:pPr>
        <w:spacing w:after="0" w:line="11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i w:val="1"/>
          <w:iCs w:val="1"/>
          <w:color w:val="auto"/>
        </w:rPr>
        <w:t xml:space="preserve">Share Appreciation Rights. </w:t>
      </w:r>
      <w:r>
        <w:rPr>
          <w:rFonts w:ascii="Arial" w:cs="Arial" w:eastAsia="Arial" w:hAnsi="Arial"/>
          <w:sz w:val="17"/>
          <w:szCs w:val="17"/>
          <w:color w:val="auto"/>
        </w:rPr>
        <w:t>A share appreciation right is an award that, upon exercise, entitles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 to receive the excess, if any, of the fair market value of a Class A share on the exercise date over the grant price of the share appreciation right. The excess may be paid in cash and/or in Class A shares, as determined by the Board in its discretion. The Board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at the time the share appreciation right is granted, but each share appreciation right must have an exercise price that is not less than the fair market value of the Class A shares on the date of grant. The Board will determine the time or times at which a share appreciation right may be exercised in whole or in part. Unless otherwise waived by the Board, or set forth in an award agreement, outstanding share appreciation rights awarded to a participant will be automatically forfeited upon a termination of the individual’s employment or membership on the Board terminates for any reason. The Board, in its discretion, may grant DERs with respect to a share appreciation right.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PAGP Plan Provisions</w:t>
      </w:r>
    </w:p>
    <w:p>
      <w:pPr>
        <w:spacing w:after="0" w:line="15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i w:val="1"/>
          <w:iCs w:val="1"/>
          <w:color w:val="auto"/>
        </w:rPr>
        <w:t xml:space="preserve">Tax Withholding. </w:t>
      </w:r>
      <w:r>
        <w:rPr>
          <w:rFonts w:ascii="Arial" w:cs="Arial" w:eastAsia="Arial" w:hAnsi="Arial"/>
          <w:sz w:val="17"/>
          <w:szCs w:val="17"/>
          <w:color w:val="auto"/>
        </w:rPr>
        <w:t>Unless other arrangements are made, our general partner and its affiliates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to withhold from any award, from any 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pacing w:after="0" w:line="11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i w:val="1"/>
          <w:iCs w:val="1"/>
          <w:color w:val="auto"/>
        </w:rPr>
        <w:t xml:space="preserve">Anti-Dilution Adjustments. </w:t>
      </w:r>
      <w:r>
        <w:rPr>
          <w:rFonts w:ascii="Arial" w:cs="Arial" w:eastAsia="Arial" w:hAnsi="Arial"/>
          <w:sz w:val="18"/>
          <w:szCs w:val="18"/>
          <w:color w:val="auto"/>
        </w:rPr>
        <w:t>Upon the occurrence of any “equity restructuring” event that could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an additional compensation expense under FASB ASC Topic 718 if adjustments to awards with respect to such event were discretionary, the Board will equitably adjust the number and type of shares covered by each outstanding award and the terms and conditions of such award to equitably reflect the restructuring event, and the Board will adjust the number and type of shares with respect to which future awards may be granted. With respect to a similar event that would not result in a FASB ASC Topic 718 accounting charge if adjustment to awards were discretionary, the Board shall have complete discretion to adjust awards in the manner it deems appropriate.</w:t>
      </w:r>
    </w:p>
    <w:p>
      <w:pPr>
        <w:spacing w:after="0" w:line="11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specifically provided in an award agreement, upon a change of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award agreement), the award may automatically vest and be payable or become exercisable in full, as the case may be.</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Options and share appreciation rights are only exercisable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during the participant’s lifetime, or by the person to whom the participant’s rights pass by will or the laws of descent and distribution. No award or right granted under the PAGP Plan may be assigned, alienated, pledged, attached, sold or otherwise transferred or encumbered and any such purported transfer shall be void and unenforceable. Notwithstanding the foregoing, the Board may, in its discretion, allow a participant to transfer an option or a share appreciation right without consideration to an immediate family member or a related family trust, limited partnership, or similar entity on the terms and conditions established by the Board from time to time.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AAP Management Units</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In August 2007, the owners of AAP authorized the creation and issuance of AAP Management Units and authorized the compensation committee to issue grants of AAP Management Units to create additional long-term incentives for our management designed to attract talent and encourage retention over an extended period of time. Each AAP Management Unit represents a “profits interest” in AAP, which entitles the holder to participate in future profits and losses from operations, current distributions from operations, and an interest in future appreciation or depreciation in AAP’s asset values. As of March 26, 2021, 687,203 AAP Management Units were issued and outstanding. The compensation committee does not plan to issue any additional AAP Management Units.</w:t>
      </w:r>
    </w:p>
    <w:p>
      <w:pPr>
        <w:spacing w:after="0" w:line="124"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The outstanding AAP Management Units are subject to restrictions on transfer and generally become “earned” (entitled to receive distributions) in percentage increments upon achievement of certain performance thresholds that are aligned with the interests of PAA’s common unitholders, such as distributable cash flow per common unit. As of March 26, 2021, all outstanding AAP Management Units had been earned.</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The size of the discount to fair market value reflected in the potential call right purchase price decreases over time pursuant to a formula set forth in each AAP Management Unit grant agreement. If a holder of an AAP Management Unit remains employed past such designated date (or prior to such date such holder is terminated without cause or quits for good reason), any earned units are no longer subject to the call right and are deemed to have “vested.” The currently outstanding AAP Management Unit grants will vest on January 1, 2022 or January 1, 2023, depending on the date of grant. All earned AAP Management Units will also vest if AAP does not timely exercise its call right or in the event of a change of control.</w:t>
      </w:r>
    </w:p>
    <w:p>
      <w:pPr>
        <w:spacing w:after="0" w:line="119"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As long as our Class A shares are publicly traded, each vested AAP Management Unit may be converted into AAP units and a like number of PAGP Class B shares based on a conversion ratio of approximately 0.941 AAP units and PAGP Class B shares for each AAP Management Unit. Following any such conversion, the resulting AAP units and PAGP Class B shares are exchangeable for PAGP Class A shares or redeemable for PAA common units, in each case on a one-for-one basis as provided in the AAP limited partnership agreement.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62" w:lineRule="exact"/>
        <w:rPr>
          <w:sz w:val="20"/>
          <w:szCs w:val="20"/>
          <w:color w:val="auto"/>
        </w:rPr>
      </w:pPr>
    </w:p>
    <w:p>
      <w:pPr>
        <w:ind w:left="1260" w:right="639" w:firstLine="360"/>
        <w:spacing w:after="0" w:line="268" w:lineRule="auto"/>
        <w:rPr>
          <w:sz w:val="20"/>
          <w:szCs w:val="20"/>
          <w:color w:val="auto"/>
        </w:rPr>
      </w:pPr>
      <w:r>
        <w:rPr>
          <w:rFonts w:ascii="Arial" w:cs="Arial" w:eastAsia="Arial" w:hAnsi="Arial"/>
          <w:sz w:val="17"/>
          <w:szCs w:val="17"/>
          <w:color w:val="auto"/>
        </w:rPr>
        <w:t>In connection with the Simplification Transactions completed in November 2016, we entered into an omnibus agreement (the “Omnibus Agreement”) with PAA, PAGP GP, AAP, PAA GP LLC and GP LLC (collectively with us, the “Plains Entities”), which provides, among other things, that all direct or indirect expenses of any of the Plains Entities will be paid by PAA, other than income taxes, if any, of PAGP GP, PAGP, GP LLC, AAP and PAA GP LLC. Such direct or indirect expenses include, but are not limited to</w:t>
      </w:r>
    </w:p>
    <w:p>
      <w:pPr>
        <w:spacing w:after="0" w:line="3" w:lineRule="exact"/>
        <w:rPr>
          <w:sz w:val="20"/>
          <w:szCs w:val="20"/>
          <w:color w:val="auto"/>
        </w:rPr>
      </w:pPr>
    </w:p>
    <w:p>
      <w:pPr>
        <w:ind w:left="1260" w:right="839"/>
        <w:spacing w:after="0" w:line="255" w:lineRule="auto"/>
        <w:tabs>
          <w:tab w:leader="none" w:pos="1489"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compensation for the directors of PAGP GP, (ii) director and officer liability insurance, (iii) listing exchange fees, (iv) investor relations expenses, and (v) fees related to legal, tax, financial advisory and accounting services. PAA paid $5 million of such expenses in 2020.</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During 2020, PAA recognized sales revenues of approximately $29 million from companies affiliated with EMG. During 2020, PAA also purchased approximately $16 million of petroleum products from companies affiliated with EMG. These transactions were conducted at prices that PAA believes approximate market.</w:t>
      </w:r>
    </w:p>
    <w:p>
      <w:pPr>
        <w:spacing w:after="0" w:line="119"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During 2020, PAA recognized sales revenues of approximately $1 million from companies owned and controlled by funds managed by KACALP. During 2020, PAA also purchased approximately $68 million of oil from companies owned and controlled by funds managed by KACALP. These transactions were conducted at prices that PAA believes approximate market.</w:t>
      </w:r>
    </w:p>
    <w:p>
      <w:pPr>
        <w:spacing w:after="0" w:line="119"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An employee in PAA’s marketing department, who has been with the company for over 10 years, is the daughter of Willie Chiang, our Chief Executive Officer. Mr. Chiang’s daughter’s total compensation for 2020 was approximately $162,000.</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20"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If a conflict or potential conflict of interest arises between PAGP and its limited partners, on the one hand, and PAGP GP and its owners and affiliates, on the other, the resolution of any such conflict or potential conflict should be addressed by the Board in accordance with the applicable provisions of the PAGP Partnership Agreement. If a conflict or potential conflict of interest arises between PAA and its limited partners, on the one hand, and the general partner of PAA and its owners and affiliates, on the other, the resolution of any such conflict or potential conflict should be addressed by the Board in accordance with the applicable provisions of the PAA Partnership Agreement. At the discretion of the Board in light of the circumstances, the resolution may be determined by the Board or by a “conflicts committee” meeting the definitional requirements for such a committee under the applicable partnership agreement.</w:t>
      </w:r>
    </w:p>
    <w:p>
      <w:pPr>
        <w:spacing w:after="0" w:line="113"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w:t>
      </w:r>
    </w:p>
    <w:p>
      <w:pPr>
        <w:spacing w:after="0" w:line="89"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REPORT OF THE AUDIT COMMITTEE</w:t>
      </w:r>
    </w:p>
    <w:p>
      <w:pPr>
        <w:spacing w:after="0" w:line="148"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16"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2020.</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11"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110"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2020 for filing with the SEC.</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Alexandra D. Pruner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Lawrence M. Ziemba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48" w:lineRule="exact"/>
        <w:rPr>
          <w:sz w:val="20"/>
          <w:szCs w:val="20"/>
          <w:color w:val="auto"/>
        </w:rPr>
      </w:pPr>
    </w:p>
    <w:p>
      <w:pPr>
        <w:ind w:left="1260" w:right="1199" w:firstLine="360"/>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206"/>
        </w:trPr>
        <w:tc>
          <w:tcPr>
            <w:tcW w:w="1940" w:type="dxa"/>
            <w:vAlign w:val="bottom"/>
            <w:shd w:val="clear" w:color="auto" w:fill="434F69"/>
          </w:tcPr>
          <w:p>
            <w:pPr>
              <w:spacing w:after="0"/>
              <w:rPr>
                <w:sz w:val="17"/>
                <w:szCs w:val="17"/>
                <w:color w:val="auto"/>
              </w:rPr>
            </w:pPr>
          </w:p>
        </w:tc>
        <w:tc>
          <w:tcPr>
            <w:tcW w:w="6260" w:type="dxa"/>
            <w:vAlign w:val="bottom"/>
            <w:gridSpan w:val="5"/>
            <w:shd w:val="clear" w:color="auto" w:fill="434F69"/>
          </w:tcPr>
          <w:p>
            <w:pPr>
              <w:jc w:val="right"/>
              <w:ind w:right="120"/>
              <w:spacing w:after="0"/>
              <w:rPr>
                <w:sz w:val="20"/>
                <w:szCs w:val="20"/>
                <w:color w:val="auto"/>
              </w:rPr>
            </w:pPr>
            <w:r>
              <w:rPr>
                <w:rFonts w:ascii="Arial" w:cs="Arial" w:eastAsia="Arial" w:hAnsi="Arial"/>
                <w:sz w:val="14"/>
                <w:szCs w:val="14"/>
                <w:b w:val="1"/>
                <w:bCs w:val="1"/>
                <w:color w:val="FFFFFF"/>
              </w:rPr>
              <w:t>Year Ended December 31,</w:t>
            </w:r>
          </w:p>
        </w:tc>
      </w:tr>
      <w:tr>
        <w:trPr>
          <w:trHeight w:val="233"/>
        </w:trPr>
        <w:tc>
          <w:tcPr>
            <w:tcW w:w="1940" w:type="dxa"/>
            <w:vAlign w:val="bottom"/>
            <w:tcBorders>
              <w:bottom w:val="single" w:sz="8" w:color="434F69"/>
            </w:tcBorders>
            <w:shd w:val="clear" w:color="auto" w:fill="434F69"/>
          </w:tcPr>
          <w:p>
            <w:pPr>
              <w:spacing w:after="0"/>
              <w:rPr>
                <w:sz w:val="20"/>
                <w:szCs w:val="20"/>
                <w:color w:val="auto"/>
              </w:rPr>
            </w:pPr>
          </w:p>
        </w:tc>
        <w:tc>
          <w:tcPr>
            <w:tcW w:w="5100" w:type="dxa"/>
            <w:vAlign w:val="bottom"/>
            <w:tcBorders>
              <w:bottom w:val="single" w:sz="8" w:color="434F69"/>
            </w:tcBorders>
            <w:gridSpan w:val="2"/>
            <w:shd w:val="clear" w:color="auto" w:fill="434F69"/>
          </w:tcPr>
          <w:p>
            <w:pPr>
              <w:jc w:val="right"/>
              <w:spacing w:after="0"/>
              <w:rPr>
                <w:sz w:val="20"/>
                <w:szCs w:val="20"/>
                <w:color w:val="auto"/>
              </w:rPr>
            </w:pPr>
            <w:r>
              <w:rPr>
                <w:rFonts w:ascii="Arial" w:cs="Arial" w:eastAsia="Arial" w:hAnsi="Arial"/>
                <w:sz w:val="14"/>
                <w:szCs w:val="14"/>
                <w:b w:val="1"/>
                <w:bCs w:val="1"/>
                <w:color w:val="FFFFFF"/>
              </w:rPr>
              <w:t>2020</w:t>
            </w:r>
          </w:p>
        </w:tc>
        <w:tc>
          <w:tcPr>
            <w:tcW w:w="560" w:type="dxa"/>
            <w:vAlign w:val="bottom"/>
            <w:tcBorders>
              <w:bottom w:val="single" w:sz="8" w:color="434F69"/>
            </w:tcBorders>
            <w:shd w:val="clear" w:color="auto" w:fill="434F69"/>
          </w:tcPr>
          <w:p>
            <w:pPr>
              <w:spacing w:after="0"/>
              <w:rPr>
                <w:sz w:val="20"/>
                <w:szCs w:val="20"/>
                <w:color w:val="auto"/>
              </w:rPr>
            </w:pPr>
          </w:p>
        </w:tc>
        <w:tc>
          <w:tcPr>
            <w:tcW w:w="320" w:type="dxa"/>
            <w:vAlign w:val="bottom"/>
            <w:tcBorders>
              <w:bottom w:val="single" w:sz="8" w:color="434F69"/>
            </w:tcBorders>
            <w:shd w:val="clear" w:color="auto" w:fill="434F69"/>
          </w:tcPr>
          <w:p>
            <w:pPr>
              <w:jc w:val="right"/>
              <w:spacing w:after="0"/>
              <w:rPr>
                <w:sz w:val="20"/>
                <w:szCs w:val="20"/>
                <w:color w:val="auto"/>
              </w:rPr>
            </w:pPr>
            <w:r>
              <w:rPr>
                <w:rFonts w:ascii="Arial" w:cs="Arial" w:eastAsia="Arial" w:hAnsi="Arial"/>
                <w:sz w:val="14"/>
                <w:szCs w:val="14"/>
                <w:b w:val="1"/>
                <w:bCs w:val="1"/>
                <w:color w:val="FFFFFF"/>
                <w:w w:val="89"/>
              </w:rPr>
              <w:t>2019</w:t>
            </w:r>
          </w:p>
        </w:tc>
        <w:tc>
          <w:tcPr>
            <w:tcW w:w="280" w:type="dxa"/>
            <w:vAlign w:val="bottom"/>
            <w:tcBorders>
              <w:bottom w:val="single" w:sz="8" w:color="434F69"/>
            </w:tcBorders>
            <w:shd w:val="clear" w:color="auto" w:fill="434F69"/>
          </w:tcPr>
          <w:p>
            <w:pPr>
              <w:spacing w:after="0"/>
              <w:rPr>
                <w:sz w:val="20"/>
                <w:szCs w:val="20"/>
                <w:color w:val="auto"/>
              </w:rPr>
            </w:pPr>
          </w:p>
        </w:tc>
      </w:tr>
      <w:tr>
        <w:trPr>
          <w:trHeight w:val="270"/>
        </w:trPr>
        <w:tc>
          <w:tcPr>
            <w:tcW w:w="1940" w:type="dxa"/>
            <w:vAlign w:val="bottom"/>
            <w:shd w:val="clear" w:color="auto" w:fill="D9DCE1"/>
          </w:tcPr>
          <w:p>
            <w:pPr>
              <w:ind w:left="100"/>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5660" w:type="dxa"/>
            <w:vAlign w:val="bottom"/>
            <w:gridSpan w:val="3"/>
            <w:shd w:val="clear" w:color="auto" w:fill="D9DCE1"/>
          </w:tcPr>
          <w:p>
            <w:pPr>
              <w:jc w:val="right"/>
              <w:ind w:right="56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D9DCE1"/>
          </w:tcPr>
          <w:p>
            <w:pPr>
              <w:jc w:val="right"/>
              <w:spacing w:after="0"/>
              <w:rPr>
                <w:sz w:val="20"/>
                <w:szCs w:val="20"/>
                <w:color w:val="auto"/>
              </w:rPr>
            </w:pPr>
            <w:r>
              <w:rPr>
                <w:rFonts w:ascii="Arial" w:cs="Arial" w:eastAsia="Arial" w:hAnsi="Arial"/>
                <w:sz w:val="18"/>
                <w:szCs w:val="18"/>
                <w:color w:val="auto"/>
                <w:w w:val="85"/>
              </w:rPr>
              <w:t>$5.4</w:t>
            </w:r>
          </w:p>
        </w:tc>
        <w:tc>
          <w:tcPr>
            <w:tcW w:w="280" w:type="dxa"/>
            <w:vAlign w:val="bottom"/>
            <w:shd w:val="clear" w:color="auto" w:fill="D9DCE1"/>
          </w:tcPr>
          <w:p>
            <w:pPr>
              <w:spacing w:after="0"/>
              <w:rPr>
                <w:sz w:val="23"/>
                <w:szCs w:val="23"/>
                <w:color w:val="auto"/>
              </w:rPr>
            </w:pPr>
          </w:p>
        </w:tc>
      </w:tr>
      <w:tr>
        <w:trPr>
          <w:trHeight w:val="257"/>
        </w:trPr>
        <w:tc>
          <w:tcPr>
            <w:tcW w:w="1940" w:type="dxa"/>
            <w:vAlign w:val="bottom"/>
          </w:tcPr>
          <w:p>
            <w:pPr>
              <w:ind w:left="100"/>
              <w:spacing w:after="0"/>
              <w:rPr>
                <w:sz w:val="20"/>
                <w:szCs w:val="20"/>
                <w:color w:val="auto"/>
              </w:rPr>
            </w:pPr>
            <w:r>
              <w:rPr>
                <w:rFonts w:ascii="Arial" w:cs="Arial" w:eastAsia="Arial" w:hAnsi="Arial"/>
                <w:sz w:val="18"/>
                <w:szCs w:val="18"/>
                <w:color w:val="auto"/>
              </w:rPr>
              <w:t>Audit-related fees</w:t>
            </w:r>
          </w:p>
        </w:tc>
        <w:tc>
          <w:tcPr>
            <w:tcW w:w="4760" w:type="dxa"/>
            <w:vAlign w:val="bottom"/>
          </w:tcPr>
          <w:p>
            <w:pPr>
              <w:spacing w:after="0"/>
              <w:rPr>
                <w:sz w:val="22"/>
                <w:szCs w:val="22"/>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83"/>
        </w:trPr>
        <w:tc>
          <w:tcPr>
            <w:tcW w:w="1940" w:type="dxa"/>
            <w:vAlign w:val="bottom"/>
            <w:tcBorders>
              <w:bottom w:val="single" w:sz="8" w:color="D9DCE1"/>
            </w:tcBorders>
            <w:shd w:val="clear" w:color="auto" w:fill="D9DCE1"/>
          </w:tcPr>
          <w:p>
            <w:pPr>
              <w:ind w:left="100"/>
              <w:spacing w:after="0" w:line="283" w:lineRule="exact"/>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(2)</w:t>
            </w:r>
          </w:p>
        </w:tc>
        <w:tc>
          <w:tcPr>
            <w:tcW w:w="4760" w:type="dxa"/>
            <w:vAlign w:val="bottom"/>
            <w:tcBorders>
              <w:bottom w:val="single" w:sz="8" w:color="D9DCE1"/>
            </w:tcBorders>
            <w:shd w:val="clear" w:color="auto" w:fill="D9DCE1"/>
          </w:tcPr>
          <w:p>
            <w:pPr>
              <w:spacing w:after="0"/>
              <w:rPr>
                <w:sz w:val="24"/>
                <w:szCs w:val="24"/>
                <w:color w:val="auto"/>
              </w:rPr>
            </w:pPr>
          </w:p>
        </w:tc>
        <w:tc>
          <w:tcPr>
            <w:tcW w:w="34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8"/>
                <w:szCs w:val="18"/>
                <w:color w:val="auto"/>
              </w:rPr>
              <w:t>1.8</w:t>
            </w:r>
          </w:p>
        </w:tc>
        <w:tc>
          <w:tcPr>
            <w:tcW w:w="560" w:type="dxa"/>
            <w:vAlign w:val="bottom"/>
            <w:tcBorders>
              <w:bottom w:val="single" w:sz="8" w:color="D9DCE1"/>
            </w:tcBorders>
            <w:shd w:val="clear" w:color="auto" w:fill="D9DCE1"/>
          </w:tcPr>
          <w:p>
            <w:pPr>
              <w:spacing w:after="0"/>
              <w:rPr>
                <w:sz w:val="24"/>
                <w:szCs w:val="24"/>
                <w:color w:val="auto"/>
              </w:rPr>
            </w:pPr>
          </w:p>
        </w:tc>
        <w:tc>
          <w:tcPr>
            <w:tcW w:w="32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D9DCE1"/>
            </w:tcBorders>
            <w:shd w:val="clear" w:color="auto" w:fill="D9DCE1"/>
          </w:tcPr>
          <w:p>
            <w:pPr>
              <w:spacing w:after="0"/>
              <w:rPr>
                <w:sz w:val="24"/>
                <w:szCs w:val="24"/>
                <w:color w:val="auto"/>
              </w:rPr>
            </w:pPr>
          </w:p>
        </w:tc>
      </w:tr>
      <w:tr>
        <w:trPr>
          <w:trHeight w:val="263"/>
        </w:trPr>
        <w:tc>
          <w:tcPr>
            <w:tcW w:w="1940" w:type="dxa"/>
            <w:vAlign w:val="bottom"/>
          </w:tcPr>
          <w:p>
            <w:pPr>
              <w:ind w:left="100"/>
              <w:spacing w:after="0"/>
              <w:rPr>
                <w:sz w:val="20"/>
                <w:szCs w:val="20"/>
                <w:color w:val="auto"/>
              </w:rPr>
            </w:pPr>
            <w:r>
              <w:rPr>
                <w:rFonts w:ascii="Arial" w:cs="Arial" w:eastAsia="Arial" w:hAnsi="Arial"/>
                <w:sz w:val="18"/>
                <w:szCs w:val="18"/>
                <w:color w:val="auto"/>
              </w:rPr>
              <w:t>Total</w:t>
            </w:r>
          </w:p>
        </w:tc>
        <w:tc>
          <w:tcPr>
            <w:tcW w:w="5660" w:type="dxa"/>
            <w:vAlign w:val="bottom"/>
            <w:gridSpan w:val="3"/>
          </w:tcPr>
          <w:p>
            <w:pPr>
              <w:jc w:val="right"/>
              <w:ind w:right="560"/>
              <w:spacing w:after="0"/>
              <w:rPr>
                <w:sz w:val="20"/>
                <w:szCs w:val="20"/>
                <w:color w:val="auto"/>
              </w:rPr>
            </w:pPr>
            <w:r>
              <w:rPr>
                <w:rFonts w:ascii="Arial" w:cs="Arial" w:eastAsia="Arial" w:hAnsi="Arial"/>
                <w:sz w:val="18"/>
                <w:szCs w:val="18"/>
                <w:color w:val="auto"/>
              </w:rPr>
              <w:t>$6.7</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$7.1</w:t>
            </w:r>
          </w:p>
        </w:tc>
        <w:tc>
          <w:tcPr>
            <w:tcW w:w="280" w:type="dxa"/>
            <w:vAlign w:val="bottom"/>
          </w:tcPr>
          <w:p>
            <w:pPr>
              <w:spacing w:after="0"/>
              <w:rPr>
                <w:sz w:val="22"/>
                <w:szCs w:val="22"/>
                <w:color w:val="auto"/>
              </w:rPr>
            </w:pPr>
          </w:p>
        </w:tc>
      </w:tr>
      <w:tr>
        <w:trPr>
          <w:trHeight w:val="21"/>
        </w:trPr>
        <w:tc>
          <w:tcPr>
            <w:tcW w:w="19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940" w:type="dxa"/>
            <w:vAlign w:val="bottom"/>
            <w:tcBorders>
              <w:bottom w:val="single" w:sz="8" w:color="auto"/>
            </w:tcBorders>
          </w:tcPr>
          <w:p>
            <w:pPr>
              <w:spacing w:after="0"/>
              <w:rPr>
                <w:sz w:val="21"/>
                <w:szCs w:val="21"/>
                <w:color w:val="auto"/>
              </w:rPr>
            </w:pPr>
          </w:p>
        </w:tc>
        <w:tc>
          <w:tcPr>
            <w:tcW w:w="4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r>
    </w:tbl>
    <w:p>
      <w:pPr>
        <w:spacing w:after="0" w:line="134" w:lineRule="exact"/>
        <w:rPr>
          <w:sz w:val="20"/>
          <w:szCs w:val="20"/>
          <w:color w:val="auto"/>
        </w:rPr>
      </w:pPr>
    </w:p>
    <w:p>
      <w:pPr>
        <w:ind w:left="1620" w:right="499" w:hanging="360"/>
        <w:spacing w:after="0" w:line="219" w:lineRule="auto"/>
        <w:tabs>
          <w:tab w:leader="none" w:pos="1620" w:val="left"/>
        </w:tabs>
        <w:numPr>
          <w:ilvl w:val="0"/>
          <w:numId w:val="85"/>
        </w:numPr>
        <w:rPr>
          <w:rFonts w:ascii="Arial" w:cs="Arial" w:eastAsia="Arial" w:hAnsi="Arial"/>
          <w:sz w:val="27"/>
          <w:szCs w:val="27"/>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PAA is the operator, and (c) work performed in connection with the registration of publicly held debt and equity.</w:t>
      </w:r>
    </w:p>
    <w:p>
      <w:pPr>
        <w:spacing w:after="0" w:line="54" w:lineRule="exact"/>
        <w:rPr>
          <w:rFonts w:ascii="Arial" w:cs="Arial" w:eastAsia="Arial" w:hAnsi="Arial"/>
          <w:sz w:val="27"/>
          <w:szCs w:val="27"/>
          <w:color w:val="auto"/>
          <w:vertAlign w:val="superscript"/>
        </w:rPr>
      </w:pPr>
    </w:p>
    <w:p>
      <w:pPr>
        <w:ind w:left="1620" w:right="999" w:hanging="360"/>
        <w:spacing w:after="0" w:line="219" w:lineRule="auto"/>
        <w:tabs>
          <w:tab w:leader="none" w:pos="1620" w:val="left"/>
        </w:tabs>
        <w:numPr>
          <w:ilvl w:val="0"/>
          <w:numId w:val="85"/>
        </w:numPr>
        <w:rPr>
          <w:rFonts w:ascii="Arial" w:cs="Arial" w:eastAsia="Arial" w:hAnsi="Arial"/>
          <w:sz w:val="27"/>
          <w:szCs w:val="27"/>
          <w:color w:val="auto"/>
          <w:vertAlign w:val="superscript"/>
        </w:rPr>
      </w:pPr>
      <w:r>
        <w:rPr>
          <w:rFonts w:ascii="Arial" w:cs="Arial" w:eastAsia="Arial" w:hAnsi="Arial"/>
          <w:sz w:val="18"/>
          <w:szCs w:val="18"/>
          <w:color w:val="auto"/>
        </w:rPr>
        <w:t>Tax fees are primarily related to tax processing as well as the preparation of Forms K-1 for PAA unitholders and international tax planning work associated with the structure of our Canadian investment.</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62"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Our audit committee reviews our external financial reporting, engages our independent auditors and reviews the adequacy of our internal accounting controls. Our audit committee performs similar functions on PAA’s behalf. All services provided by our independent auditor to us or to PAA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2020 and 2019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2 — RATIFICATION OF APPOINTMENT OF INDEPENDENT REGISTERED PUBLIC</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ACCOUNTING FIRM</w:t>
      </w:r>
    </w:p>
    <w:p>
      <w:pPr>
        <w:spacing w:after="0" w:line="207" w:lineRule="exact"/>
        <w:rPr>
          <w:sz w:val="20"/>
          <w:szCs w:val="20"/>
          <w:color w:val="auto"/>
        </w:rPr>
      </w:pPr>
    </w:p>
    <w:p>
      <w:pPr>
        <w:jc w:val="center"/>
        <w:ind w:left="1900" w:right="160"/>
        <w:spacing w:after="0" w:line="261"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PRICEWATERHOUSECOOPERS LLP AS OUR AND PAA’S INDEPENDENT REGISTERED PUBLIC ACCOUNTING FIRM FOR THE FISCAL YEAR ENDING DECEMBER 31, 2021.</w:t>
      </w:r>
    </w:p>
    <w:p>
      <w:pPr>
        <w:spacing w:after="0" w:line="103"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second proposal item to be voted on at the Annual Meeting is ratification of the appointment of PricewaterhouseCoopers LLP as our and PAA’s independent registered public accounting firm for the fiscal year ending December 31, 2021.</w:t>
      </w:r>
    </w:p>
    <w:p>
      <w:pPr>
        <w:spacing w:after="0" w:line="116"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The audit committee of the Board has appointed PricewaterhouseCoopers LLP to continue to act as our and PAA’s independent registered public accounting firm for the fiscal year ending December 31, 2021. The Board has directed that such appointment be submitted to our Shareholders for ratification at the Annual Meeting.</w:t>
      </w:r>
    </w:p>
    <w:p>
      <w:pPr>
        <w:spacing w:after="0" w:line="119"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Ratification of the appointment of PricewaterhouseCoopers LLP as our and PAA’s independent registered public accounting firm is not required. The Board, however, is submitting the appointment to our Shareholders for ratification as a good corporate governance practice. Representatives of PricewaterhouseCoopers LLP are expected to be present at the Annual Meeting and will have an opportunity to make a statement if they so desire.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3 — ADVISORY VOTE TO APPROVE OUR NAMED EXECUTIVE OFFICER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w:t>
      </w:r>
    </w:p>
    <w:p>
      <w:pPr>
        <w:spacing w:after="0" w:line="207" w:lineRule="exact"/>
        <w:rPr>
          <w:sz w:val="20"/>
          <w:szCs w:val="20"/>
          <w:color w:val="auto"/>
        </w:rPr>
      </w:pPr>
    </w:p>
    <w:p>
      <w:pPr>
        <w:jc w:val="center"/>
        <w:ind w:left="1840"/>
        <w:spacing w:after="0" w:line="266" w:lineRule="auto"/>
        <w:rPr>
          <w:sz w:val="20"/>
          <w:szCs w:val="20"/>
          <w:color w:val="auto"/>
        </w:rPr>
      </w:pPr>
      <w:r>
        <w:rPr>
          <w:rFonts w:ascii="Arial" w:cs="Arial" w:eastAsia="Arial" w:hAnsi="Arial"/>
          <w:sz w:val="18"/>
          <w:szCs w:val="18"/>
          <w:b w:val="1"/>
          <w:bCs w:val="1"/>
          <w:color w:val="auto"/>
        </w:rPr>
        <w:t>THE BOARD UNANIMOUSLY RECOMMENDS THAT YOU VOTE, ON A NON-BINDING ADVISORY BASIS, “FOR” THE RESOLUTION APPROVING THE COMPENSATION OF THE NAMED EXECUTIVE OFFICERS AS DESCRIBED IN THIS PROXY STATEMENT.</w:t>
      </w:r>
    </w:p>
    <w:p>
      <w:pPr>
        <w:spacing w:after="0" w:line="99" w:lineRule="exact"/>
        <w:rPr>
          <w:sz w:val="20"/>
          <w:szCs w:val="20"/>
          <w:color w:val="auto"/>
        </w:rPr>
      </w:pPr>
    </w:p>
    <w:p>
      <w:pPr>
        <w:ind w:left="1260" w:right="499" w:firstLine="360"/>
        <w:spacing w:after="0" w:line="308" w:lineRule="auto"/>
        <w:rPr>
          <w:sz w:val="20"/>
          <w:szCs w:val="20"/>
          <w:color w:val="auto"/>
        </w:rPr>
      </w:pPr>
      <w:r>
        <w:rPr>
          <w:rFonts w:ascii="Arial" w:cs="Arial" w:eastAsia="Arial" w:hAnsi="Arial"/>
          <w:sz w:val="17"/>
          <w:szCs w:val="17"/>
          <w:color w:val="auto"/>
        </w:rPr>
        <w:t>This proposal, commonly known as a “say-on-pay” proposal, provides our Shareholders with the opportunity to cast an advisory vote on the approval of the compensation of our Named Executive Officers.</w:t>
      </w:r>
    </w:p>
    <w:p>
      <w:pPr>
        <w:spacing w:after="0" w:line="79"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The Board recognizes that executive compensation is an important matter for our Shareholders.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our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Shareholders.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Shareholder interests and concerns.</w:t>
      </w:r>
    </w:p>
    <w:p>
      <w:pPr>
        <w:spacing w:after="0" w:line="133"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As described in the Compensation Discussion and Analysis (“CD&amp;A”) section of this proxy statement, we believe our compensation program is effective, appropriate and strongly aligned with the long-term interests of our Shareholders and that the total compensation provided to the Named Executive Officers (including potential payouts upon a termination or change of control) is reasonable and not excessive. As you consider this Proposal 3, we urge you to read the CD&amp;A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115"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The Dodd-Frank Wall Street Reform and Consumer Protection Act of 2012, as well as Section 14A of the Exchange Act, and the rules promulgated thereunder, enables our Shareholders the opportunity to express their views, on an advisory basis, on the compensation of the Named Executive Officers. This vote is not intended to address any specific item of compensation, but rather the overall compensation of the Named Executive Officers and the philosophy, policies and practices described in this proxy statement.</w:t>
      </w:r>
    </w:p>
    <w:p>
      <w:pPr>
        <w:spacing w:after="0" w:line="109"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Shareholders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Shareholders’ concerns, and the compensation committee will evaluate whether any actions are necessary to address those concerns.</w:t>
      </w:r>
    </w:p>
    <w:p>
      <w:pPr>
        <w:spacing w:after="0" w:line="111"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For the reasons set forth above, the following resolution will be submitted for approval at the Annual Meeting:</w:t>
      </w:r>
    </w:p>
    <w:p>
      <w:pPr>
        <w:spacing w:after="0" w:line="85"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as disclosed pursuant to Item 402 of Regulation S-K in PAGP’s proxy statement for its 2021 Annual Meeting of Shareholders, including the Compensation Discussion and Analysis, compensation tables and accompanying narrative discussion, is hereby approved.”</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860" w:right="160"/>
        <w:spacing w:after="0" w:line="250" w:lineRule="auto"/>
        <w:rPr>
          <w:sz w:val="20"/>
          <w:szCs w:val="20"/>
          <w:color w:val="auto"/>
        </w:rPr>
      </w:pPr>
      <w:r>
        <w:rPr>
          <w:rFonts w:ascii="Arial" w:cs="Arial" w:eastAsia="Arial" w:hAnsi="Arial"/>
          <w:sz w:val="18"/>
          <w:szCs w:val="18"/>
          <w:b w:val="1"/>
          <w:bCs w:val="1"/>
          <w:color w:val="auto"/>
        </w:rPr>
        <w:t>PROPOSAL 4 — ISSUANCE OF INSTRUCTIONS TO PLAINS AAP, L.P. REGARDING ITS VOTE ON THE APPROVAL OF THE PLAINS ALL AMERICAN 2021 LONG-TERM INCENTIVE PLAN AT THE PAA ANNUAL MEETING</w:t>
      </w:r>
    </w:p>
    <w:p>
      <w:pPr>
        <w:spacing w:after="0" w:line="177" w:lineRule="exact"/>
        <w:rPr>
          <w:sz w:val="20"/>
          <w:szCs w:val="20"/>
          <w:color w:val="auto"/>
        </w:rPr>
      </w:pPr>
    </w:p>
    <w:p>
      <w:pPr>
        <w:jc w:val="center"/>
        <w:ind w:left="1860"/>
        <w:spacing w:after="0" w:line="250" w:lineRule="auto"/>
        <w:rPr>
          <w:sz w:val="20"/>
          <w:szCs w:val="20"/>
          <w:color w:val="auto"/>
        </w:rPr>
      </w:pPr>
      <w:r>
        <w:rPr>
          <w:rFonts w:ascii="Arial" w:cs="Arial" w:eastAsia="Arial" w:hAnsi="Arial"/>
          <w:sz w:val="18"/>
          <w:szCs w:val="18"/>
          <w:b w:val="1"/>
          <w:bCs w:val="1"/>
          <w:color w:val="auto"/>
        </w:rPr>
        <w:t>THE BOARD UNANIMOUSLY RECOMMENDS THAT YOU VOTE TO INSTRUCT PLAINS AAP, L.P. TO VOTE “FOR” THE APPROVAL OF THE PLAINS ALL AMERICAN 2021 LONG-TERM INCENTIVE PLAN AT THE PAA ANNUAL MEETING.</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The capital structure of PAA and PAGP is designed such that the number of PAA common units owned by AAP is equal to the number of outstanding Class A and Class B shares of PAGP and unvested Class B units of AAP. AAP is entitled to vote its PAA common units at the PAA Annual Meeting on the proposal to approve the Plains All American 2021 Long- Term Incentive Plan. Given our and PAA’s unified governance structure, and in order to provide the Class A and Class B shareholders of PAGP an opportunity to vote on the PAA 2021 plan (as defined below), such shareholders are being asked to vote on a pass -through basis by instructing AAP how to vote its PAA common units on the approval of the PAA 2021 plan at the PAA Annual Meeting. AAP will vote (or refrain from voting) its PAA common units on proposal 4 at the PAA Annual Meeting consistent with instructions received from the PAGP Class A and Class B shareholders on the same proposal at the Annual Meeting. The equity plan described in this proposal 4 is not an equity plan of PAGP.</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Background and Description</w:t>
      </w:r>
    </w:p>
    <w:p>
      <w:pPr>
        <w:spacing w:after="0" w:line="162"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Since PAA became a public company in 1998, it has used performance -indexed and time-based phantom unit grants issued under its long-term incentive plans to (i) attract and retain capable, talented individuals to serve as employees, officers and directors, (ii) encourage and reward timely achievement of important financial objectives, (iii) measure and reward its relative total unit returns as compared with others in its industry, and (iv) align the long-term interests of employees, officers and directors with those of PAA’s unitholders (“Unitholders”) and our Shareholders.</w:t>
      </w:r>
    </w:p>
    <w:p>
      <w:pPr>
        <w:spacing w:after="0" w:line="122"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PAA currently has two long-term equity incentive plans: (i) the 2013 Long- Term Incentive Plan (the “2013 Plan”), and (ii) the PNG Successor Long-Term Incentive Plan (the “PNG Successor Plan”). These plans are referred to as the Existing PAA Plans. The Existing PAA Plans originally authorized a total of approximately 19 million common units for issuance in connection with the grant of equity-based awards. Although the Existing PAA Plans allow for the grant of various types of awards, the only type of awards that have been granted to date are phantom unit awards and PAA’s current intent is to continue issuing only phantom unit awards. As of March 31, 2021, PAA had 722,055,847 common units outstanding and the closing price of PAA’s common units as reported by Nasdaq was $9.10. As of March 31, 2021, approximately 1.8 million common units were available for issuance pursuant to future awards under the Existing PAA Plans as indicated below:</w:t>
      </w:r>
    </w:p>
    <w:p>
      <w:pPr>
        <w:spacing w:after="0" w:line="142"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700" w:type="dxa"/>
            <w:vAlign w:val="bottom"/>
            <w:tcBorders>
              <w:top w:val="single" w:sz="8" w:color="auto"/>
              <w:left w:val="single" w:sz="8" w:color="auto"/>
              <w:right w:val="single" w:sz="8" w:color="auto"/>
            </w:tcBorders>
          </w:tcPr>
          <w:p>
            <w:pPr>
              <w:spacing w:after="0"/>
              <w:rPr>
                <w:sz w:val="20"/>
                <w:szCs w:val="20"/>
                <w:color w:val="auto"/>
              </w:rPr>
            </w:pPr>
          </w:p>
        </w:tc>
        <w:tc>
          <w:tcPr>
            <w:tcW w:w="1160" w:type="dxa"/>
            <w:vAlign w:val="bottom"/>
            <w:tcBorders>
              <w:top w:val="single" w:sz="8" w:color="auto"/>
              <w:right w:val="single" w:sz="8" w:color="auto"/>
            </w:tcBorders>
          </w:tcPr>
          <w:p>
            <w:pPr>
              <w:spacing w:after="0"/>
              <w:rPr>
                <w:sz w:val="20"/>
                <w:szCs w:val="20"/>
                <w:color w:val="auto"/>
              </w:rPr>
            </w:pPr>
          </w:p>
        </w:tc>
        <w:tc>
          <w:tcPr>
            <w:tcW w:w="19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Common</w:t>
            </w:r>
          </w:p>
        </w:tc>
      </w:tr>
      <w:tr>
        <w:trPr>
          <w:trHeight w:val="162"/>
        </w:trPr>
        <w:tc>
          <w:tcPr>
            <w:tcW w:w="270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Common Units</w:t>
            </w:r>
          </w:p>
        </w:tc>
        <w:tc>
          <w:tcPr>
            <w:tcW w:w="12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r>
      <w:tr>
        <w:trPr>
          <w:trHeight w:val="162"/>
        </w:trPr>
        <w:tc>
          <w:tcPr>
            <w:tcW w:w="270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Previously Delivered</w:t>
            </w:r>
          </w:p>
        </w:tc>
        <w:tc>
          <w:tcPr>
            <w:tcW w:w="12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Available</w:t>
            </w:r>
          </w:p>
        </w:tc>
      </w:tr>
      <w:tr>
        <w:trPr>
          <w:trHeight w:val="162"/>
        </w:trPr>
        <w:tc>
          <w:tcPr>
            <w:tcW w:w="270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2"/>
              </w:rPr>
              <w:t>Authorized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Upon Vesting of Awards</w:t>
            </w:r>
          </w:p>
        </w:tc>
        <w:tc>
          <w:tcPr>
            <w:tcW w:w="1240" w:type="dxa"/>
            <w:vAlign w:val="bottom"/>
            <w:tcBorders>
              <w:right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Awards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Future</w:t>
            </w:r>
          </w:p>
        </w:tc>
      </w:tr>
      <w:tr>
        <w:trPr>
          <w:trHeight w:val="186"/>
        </w:trPr>
        <w:tc>
          <w:tcPr>
            <w:tcW w:w="2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PAA Plan</w:t>
            </w:r>
          </w:p>
        </w:tc>
        <w:tc>
          <w:tcPr>
            <w:tcW w:w="1160" w:type="dxa"/>
            <w:vAlign w:val="bottom"/>
            <w:tcBorders>
              <w:right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7"/>
              </w:rPr>
              <w:t>for Issuance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(1998 – March 2021)</w:t>
            </w:r>
          </w:p>
        </w:tc>
        <w:tc>
          <w:tcPr>
            <w:tcW w:w="1240" w:type="dxa"/>
            <w:vAlign w:val="bottom"/>
            <w:tcBorders>
              <w:right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Grants</w:t>
            </w:r>
          </w:p>
        </w:tc>
      </w:tr>
      <w:tr>
        <w:trPr>
          <w:trHeight w:val="25"/>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243"/>
        </w:trPr>
        <w:tc>
          <w:tcPr>
            <w:tcW w:w="27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2013 Plan</w:t>
            </w:r>
          </w:p>
        </w:tc>
        <w:tc>
          <w:tcPr>
            <w:tcW w:w="1160" w:type="dxa"/>
            <w:vAlign w:val="bottom"/>
            <w:tcBorders>
              <w:bottom w:val="single" w:sz="8" w:color="auto"/>
              <w:right w:val="single" w:sz="8" w:color="auto"/>
            </w:tcBorders>
            <w:shd w:val="clear" w:color="auto" w:fill="CCEEFF"/>
          </w:tcPr>
          <w:p>
            <w:pPr>
              <w:jc w:val="right"/>
              <w:ind w:right="180"/>
              <w:spacing w:after="0"/>
              <w:rPr>
                <w:sz w:val="20"/>
                <w:szCs w:val="20"/>
                <w:color w:val="auto"/>
              </w:rPr>
            </w:pPr>
            <w:r>
              <w:rPr>
                <w:rFonts w:ascii="Arial" w:cs="Arial" w:eastAsia="Arial" w:hAnsi="Arial"/>
                <w:sz w:val="18"/>
                <w:szCs w:val="18"/>
                <w:color w:val="auto"/>
                <w:w w:val="97"/>
              </w:rPr>
              <w:t>17,849,618</w:t>
            </w:r>
          </w:p>
        </w:tc>
        <w:tc>
          <w:tcPr>
            <w:tcW w:w="1920" w:type="dxa"/>
            <w:vAlign w:val="bottom"/>
            <w:tcBorders>
              <w:bottom w:val="single" w:sz="8" w:color="auto"/>
              <w:right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color w:val="auto"/>
              </w:rPr>
              <w:t>8,892,795</w:t>
            </w:r>
          </w:p>
        </w:tc>
        <w:tc>
          <w:tcPr>
            <w:tcW w:w="124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7,165,427</w:t>
            </w:r>
          </w:p>
        </w:tc>
        <w:tc>
          <w:tcPr>
            <w:tcW w:w="1200" w:type="dxa"/>
            <w:vAlign w:val="bottom"/>
            <w:tcBorders>
              <w:bottom w:val="single" w:sz="8" w:color="auto"/>
              <w:right w:val="single" w:sz="8" w:color="auto"/>
            </w:tcBorders>
            <w:shd w:val="clear" w:color="auto" w:fill="CCEEFF"/>
          </w:tcPr>
          <w:p>
            <w:pPr>
              <w:jc w:val="right"/>
              <w:ind w:right="161"/>
              <w:spacing w:after="0"/>
              <w:rPr>
                <w:sz w:val="20"/>
                <w:szCs w:val="20"/>
                <w:color w:val="auto"/>
              </w:rPr>
            </w:pPr>
            <w:r>
              <w:rPr>
                <w:rFonts w:ascii="Arial" w:cs="Arial" w:eastAsia="Arial" w:hAnsi="Arial"/>
                <w:sz w:val="18"/>
                <w:szCs w:val="18"/>
                <w:color w:val="auto"/>
              </w:rPr>
              <w:t>1,791,396</w:t>
            </w:r>
          </w:p>
        </w:tc>
      </w:tr>
      <w:tr>
        <w:trPr>
          <w:trHeight w:val="250"/>
        </w:trPr>
        <w:tc>
          <w:tcPr>
            <w:tcW w:w="2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PNG Successor Plan</w:t>
            </w:r>
          </w:p>
        </w:tc>
        <w:tc>
          <w:tcPr>
            <w:tcW w:w="116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8"/>
                <w:szCs w:val="18"/>
                <w:color w:val="auto"/>
              </w:rPr>
              <w:t>1,335,000</w:t>
            </w:r>
          </w:p>
        </w:tc>
        <w:tc>
          <w:tcPr>
            <w:tcW w:w="1920" w:type="dxa"/>
            <w:vAlign w:val="bottom"/>
            <w:tcBorders>
              <w:bottom w:val="single" w:sz="8" w:color="auto"/>
              <w:right w:val="single" w:sz="8" w:color="auto"/>
            </w:tcBorders>
          </w:tcPr>
          <w:p>
            <w:pPr>
              <w:jc w:val="right"/>
              <w:ind w:right="520"/>
              <w:spacing w:after="0"/>
              <w:rPr>
                <w:sz w:val="20"/>
                <w:szCs w:val="20"/>
                <w:color w:val="auto"/>
              </w:rPr>
            </w:pPr>
            <w:r>
              <w:rPr>
                <w:rFonts w:ascii="Arial" w:cs="Arial" w:eastAsia="Arial" w:hAnsi="Arial"/>
                <w:sz w:val="18"/>
                <w:szCs w:val="18"/>
                <w:color w:val="auto"/>
              </w:rPr>
              <w:t>632,502</w:t>
            </w:r>
          </w:p>
        </w:tc>
        <w:tc>
          <w:tcPr>
            <w:tcW w:w="124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693,530</w:t>
            </w:r>
          </w:p>
        </w:tc>
        <w:tc>
          <w:tcPr>
            <w:tcW w:w="120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8"/>
                <w:szCs w:val="18"/>
                <w:color w:val="auto"/>
              </w:rPr>
              <w:t>8,968</w:t>
            </w:r>
          </w:p>
        </w:tc>
      </w:tr>
      <w:tr>
        <w:trPr>
          <w:trHeight w:val="250"/>
        </w:trPr>
        <w:tc>
          <w:tcPr>
            <w:tcW w:w="27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TOTAL</w:t>
            </w:r>
          </w:p>
        </w:tc>
        <w:tc>
          <w:tcPr>
            <w:tcW w:w="1160" w:type="dxa"/>
            <w:vAlign w:val="bottom"/>
            <w:tcBorders>
              <w:bottom w:val="single" w:sz="8" w:color="auto"/>
              <w:right w:val="single" w:sz="8" w:color="auto"/>
            </w:tcBorders>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7"/>
              </w:rPr>
              <w:t>19,184,618</w:t>
            </w:r>
          </w:p>
        </w:tc>
        <w:tc>
          <w:tcPr>
            <w:tcW w:w="1920" w:type="dxa"/>
            <w:vAlign w:val="bottom"/>
            <w:tcBorders>
              <w:bottom w:val="single" w:sz="8" w:color="auto"/>
              <w:right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9,525,297</w:t>
            </w:r>
          </w:p>
        </w:tc>
        <w:tc>
          <w:tcPr>
            <w:tcW w:w="124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7,858,957</w:t>
            </w:r>
          </w:p>
        </w:tc>
        <w:tc>
          <w:tcPr>
            <w:tcW w:w="1200" w:type="dxa"/>
            <w:vAlign w:val="bottom"/>
            <w:tcBorders>
              <w:bottom w:val="single" w:sz="8" w:color="auto"/>
              <w:right w:val="single" w:sz="8" w:color="auto"/>
            </w:tcBorders>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1,800,364</w:t>
            </w:r>
          </w:p>
        </w:tc>
      </w:tr>
    </w:tbl>
    <w:p>
      <w:pPr>
        <w:spacing w:after="0" w:line="121"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The last time Unitholders were asked to approve a new plan or an increase in units available under Existing PAA Plans was November 2013. In order to ensure that PAA has a sufficient amount of common units reserved for the future issuance of equity-based awards under PAA’s long-term incentive plans, the Board has adopted and is recommending for approval by PAA Unitholders the Plains All American 2021 Long-Term Incentive Plan (the “PAA 2021 Plan”), which amends, restates and renames the 2013 Plan and authorizes an incremental 20,000,000 common units that may be utilized for equity-based awards</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color w:val="auto"/>
        </w:rPr>
        <w:t>under the PAA 2021 Plan. In addition, any common units that are currently available (or in the future become available) for equity-based grants under the 2013 Plan will also be available for issuance under the PAA 2021 Plan. As noted above, as a common unitholder of PAA, AAP is entitled to vote on approval of the PAA 2021 Plan at the PAA Annual Meeting. Class A and Class B shareholders of PAGP are being asked to vote to instruct AAP how to vote its PAA common units on this proposal at the PAA Annual Meeting. The basis for the Board’s recommendation that the PAA 2021 Plan be approved is as follows:</w:t>
      </w:r>
    </w:p>
    <w:p>
      <w:pPr>
        <w:spacing w:after="0" w:line="70" w:lineRule="exact"/>
        <w:rPr>
          <w:sz w:val="20"/>
          <w:szCs w:val="20"/>
          <w:color w:val="auto"/>
        </w:rPr>
      </w:pPr>
    </w:p>
    <w:p>
      <w:pPr>
        <w:ind w:left="1800" w:right="519" w:hanging="180"/>
        <w:spacing w:after="0" w:line="263"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PAA’s long-term incentive plans have allowed it to attract and retain the services of individuals who are essential to its growth and profitability, and align the interests of employees with those of our Shareholders;</w:t>
      </w:r>
    </w:p>
    <w:p>
      <w:pPr>
        <w:spacing w:after="0" w:line="75"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a result of grants made under the Existing PAA Plans in the normal course of PAA’s business over the last seven years, the total number of units available for incentive grants under the Existing PAA Plans has been reduced to approximately 1.8 million units;</w:t>
      </w:r>
    </w:p>
    <w:p>
      <w:pPr>
        <w:spacing w:after="0" w:line="89" w:lineRule="exact"/>
        <w:rPr>
          <w:rFonts w:ascii="Arial" w:cs="Arial" w:eastAsia="Arial" w:hAnsi="Arial"/>
          <w:sz w:val="18"/>
          <w:szCs w:val="18"/>
          <w:color w:val="auto"/>
        </w:rPr>
      </w:pPr>
    </w:p>
    <w:p>
      <w:pPr>
        <w:ind w:left="1800" w:right="799" w:hanging="180"/>
        <w:spacing w:after="0" w:line="263"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order to provide PAA with sufficient unit availability under its long-term incentive plans to continue to retain and attract talent, the number of units available for issuance pursuant to future awards needs to be increased;</w:t>
      </w:r>
    </w:p>
    <w:p>
      <w:pPr>
        <w:spacing w:after="0" w:line="75"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approval of the PAA 2021 Plan will implement the necessary replenishment of common unit availability in a reasonable and prudent manner:</w:t>
      </w:r>
    </w:p>
    <w:p>
      <w:pPr>
        <w:spacing w:after="0" w:line="75" w:lineRule="exact"/>
        <w:rPr>
          <w:rFonts w:ascii="Arial" w:cs="Arial" w:eastAsia="Arial" w:hAnsi="Arial"/>
          <w:sz w:val="18"/>
          <w:szCs w:val="18"/>
          <w:color w:val="auto"/>
        </w:rPr>
      </w:pPr>
    </w:p>
    <w:p>
      <w:pPr>
        <w:jc w:val="both"/>
        <w:ind w:left="2160" w:right="439" w:hanging="180"/>
        <w:spacing w:after="0" w:line="263" w:lineRule="auto"/>
        <w:tabs>
          <w:tab w:leader="none" w:pos="2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taking into account all outstanding awards under the Existing PAA Plans and all potential grants under the PAA 2021 Plan, PAA’s overhang (the fully diluted impact of the PAA 2021 Plan if this Proposal is approved by PAA’s Unitholders) will be approximately 4.1%;</w:t>
      </w:r>
    </w:p>
    <w:p>
      <w:pPr>
        <w:spacing w:after="0" w:line="75" w:lineRule="exact"/>
        <w:rPr>
          <w:rFonts w:ascii="Arial" w:cs="Arial" w:eastAsia="Arial" w:hAnsi="Arial"/>
          <w:sz w:val="18"/>
          <w:szCs w:val="18"/>
          <w:color w:val="auto"/>
        </w:rPr>
      </w:pPr>
    </w:p>
    <w:p>
      <w:pPr>
        <w:ind w:left="2160" w:right="559" w:hanging="180"/>
        <w:spacing w:after="0" w:line="259" w:lineRule="auto"/>
        <w:tabs>
          <w:tab w:leader="none" w:pos="2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excluding the additional common units requested under this Proposal, PAA’s overhang (calculated as the sum of all units subject to outstanding phantom unit awards and units available for grant divided by total units outstanding) as of March 31, 2021 was approximately 1.3%;</w:t>
      </w:r>
    </w:p>
    <w:p>
      <w:pPr>
        <w:spacing w:after="0" w:line="78" w:lineRule="exact"/>
        <w:rPr>
          <w:rFonts w:ascii="Arial" w:cs="Arial" w:eastAsia="Arial" w:hAnsi="Arial"/>
          <w:sz w:val="18"/>
          <w:szCs w:val="18"/>
          <w:color w:val="auto"/>
        </w:rPr>
      </w:pPr>
    </w:p>
    <w:p>
      <w:pPr>
        <w:ind w:left="2160" w:right="439" w:hanging="180"/>
        <w:spacing w:after="0" w:line="279" w:lineRule="auto"/>
        <w:tabs>
          <w:tab w:leader="none" w:pos="2160"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number of units granted pursuant to awards under the Existing PAA Plans during 2018, 2019 and 2020 represented approximately 0.2%, 0.4% and 0.5% of PAA’s weighted average basic common units outstanding for each period, respectively, and less than 0.4% on average for the three-year period ended December 31, 2020 (see table below for burn rate calculations); and</w:t>
      </w:r>
    </w:p>
    <w:p>
      <w:pPr>
        <w:spacing w:after="0" w:line="76" w:lineRule="exact"/>
        <w:rPr>
          <w:rFonts w:ascii="Arial" w:cs="Arial" w:eastAsia="Arial" w:hAnsi="Arial"/>
          <w:sz w:val="17"/>
          <w:szCs w:val="17"/>
          <w:color w:val="auto"/>
        </w:rPr>
      </w:pPr>
    </w:p>
    <w:p>
      <w:pPr>
        <w:ind w:left="2160" w:right="879" w:hanging="180"/>
        <w:spacing w:after="0" w:line="263" w:lineRule="auto"/>
        <w:tabs>
          <w:tab w:leader="none" w:pos="2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based on PAA’s current burn rate, PAA expects the PAA 2021 Plan to have a duration of approximately 7-8 years (actual plan duration will depend on a variety of factors including future unit price, participation levels and award values).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PAA Burn Rate Table</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3920" w:type="dxa"/>
            <w:vAlign w:val="bottom"/>
            <w:tcBorders>
              <w:top w:val="single" w:sz="8" w:color="auto"/>
              <w:left w:val="single" w:sz="8" w:color="auto"/>
              <w:right w:val="single" w:sz="8" w:color="auto"/>
            </w:tcBorders>
          </w:tcPr>
          <w:p>
            <w:pPr>
              <w:spacing w:after="0"/>
              <w:rPr>
                <w:sz w:val="20"/>
                <w:szCs w:val="20"/>
                <w:color w:val="auto"/>
              </w:rPr>
            </w:pPr>
          </w:p>
        </w:tc>
        <w:tc>
          <w:tcPr>
            <w:tcW w:w="1600" w:type="dxa"/>
            <w:vAlign w:val="bottom"/>
            <w:tcBorders>
              <w:top w:val="single" w:sz="8" w:color="auto"/>
              <w:right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Number of Common</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1120" w:type="dxa"/>
            <w:vAlign w:val="bottom"/>
            <w:tcBorders>
              <w:top w:val="single" w:sz="8" w:color="auto"/>
              <w:right w:val="single" w:sz="8" w:color="auto"/>
            </w:tcBorders>
          </w:tcPr>
          <w:p>
            <w:pPr>
              <w:spacing w:after="0"/>
              <w:rPr>
                <w:sz w:val="20"/>
                <w:szCs w:val="20"/>
                <w:color w:val="auto"/>
              </w:rPr>
            </w:pPr>
          </w:p>
        </w:tc>
      </w:tr>
      <w:tr>
        <w:trPr>
          <w:trHeight w:val="162"/>
        </w:trPr>
        <w:tc>
          <w:tcPr>
            <w:tcW w:w="3920" w:type="dxa"/>
            <w:vAlign w:val="bottom"/>
            <w:tcBorders>
              <w:left w:val="single" w:sz="8" w:color="auto"/>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8"/>
              </w:rPr>
              <w:t>Units Subject to</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Common Units</w:t>
            </w:r>
          </w:p>
        </w:tc>
        <w:tc>
          <w:tcPr>
            <w:tcW w:w="1120" w:type="dxa"/>
            <w:vAlign w:val="bottom"/>
            <w:tcBorders>
              <w:right w:val="single" w:sz="8" w:color="auto"/>
            </w:tcBorders>
          </w:tcPr>
          <w:p>
            <w:pPr>
              <w:spacing w:after="0"/>
              <w:rPr>
                <w:sz w:val="14"/>
                <w:szCs w:val="14"/>
                <w:color w:val="auto"/>
              </w:rPr>
            </w:pPr>
          </w:p>
        </w:tc>
      </w:tr>
      <w:tr>
        <w:trPr>
          <w:trHeight w:val="162"/>
        </w:trPr>
        <w:tc>
          <w:tcPr>
            <w:tcW w:w="3920" w:type="dxa"/>
            <w:vAlign w:val="bottom"/>
            <w:tcBorders>
              <w:left w:val="single" w:sz="8" w:color="auto"/>
              <w:right w:val="single" w:sz="8" w:color="auto"/>
            </w:tcBorders>
          </w:tcPr>
          <w:p>
            <w:pPr>
              <w:spacing w:after="0"/>
              <w:rPr>
                <w:sz w:val="14"/>
                <w:szCs w:val="14"/>
                <w:color w:val="auto"/>
              </w:rPr>
            </w:pPr>
          </w:p>
        </w:tc>
        <w:tc>
          <w:tcPr>
            <w:tcW w:w="1600" w:type="dxa"/>
            <w:vAlign w:val="bottom"/>
            <w:tcBorders>
              <w:right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Awards Granted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Outstanding at</w:t>
            </w:r>
          </w:p>
        </w:tc>
        <w:tc>
          <w:tcPr>
            <w:tcW w:w="1120" w:type="dxa"/>
            <w:vAlign w:val="bottom"/>
            <w:tcBorders>
              <w:right w:val="single" w:sz="8" w:color="auto"/>
            </w:tcBorders>
          </w:tcPr>
          <w:p>
            <w:pPr>
              <w:ind w:left="400"/>
              <w:spacing w:after="0"/>
              <w:rPr>
                <w:sz w:val="20"/>
                <w:szCs w:val="20"/>
                <w:color w:val="auto"/>
              </w:rPr>
            </w:pPr>
            <w:r>
              <w:rPr>
                <w:rFonts w:ascii="Arial" w:cs="Arial" w:eastAsia="Arial" w:hAnsi="Arial"/>
                <w:sz w:val="14"/>
                <w:szCs w:val="14"/>
                <w:b w:val="1"/>
                <w:bCs w:val="1"/>
                <w:color w:val="auto"/>
              </w:rPr>
              <w:t>PAA</w:t>
            </w:r>
          </w:p>
        </w:tc>
      </w:tr>
      <w:tr>
        <w:trPr>
          <w:trHeight w:val="186"/>
        </w:trPr>
        <w:tc>
          <w:tcPr>
            <w:tcW w:w="3920" w:type="dxa"/>
            <w:vAlign w:val="bottom"/>
            <w:tcBorders>
              <w:left w:val="single" w:sz="8" w:color="auto"/>
              <w:right w:val="single" w:sz="8" w:color="auto"/>
            </w:tcBorders>
          </w:tcPr>
          <w:p>
            <w:pPr>
              <w:spacing w:after="0"/>
              <w:rPr>
                <w:sz w:val="16"/>
                <w:szCs w:val="16"/>
                <w:color w:val="auto"/>
              </w:rPr>
            </w:pPr>
          </w:p>
        </w:tc>
        <w:tc>
          <w:tcPr>
            <w:tcW w:w="1600" w:type="dxa"/>
            <w:vAlign w:val="bottom"/>
            <w:tcBorders>
              <w:right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During Year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 End</w:t>
            </w:r>
          </w:p>
        </w:tc>
        <w:tc>
          <w:tcPr>
            <w:tcW w:w="1120" w:type="dxa"/>
            <w:vAlign w:val="bottom"/>
            <w:tcBorders>
              <w:right w:val="single" w:sz="8" w:color="auto"/>
            </w:tcBorders>
          </w:tcPr>
          <w:p>
            <w:pPr>
              <w:ind w:left="240"/>
              <w:spacing w:after="0"/>
              <w:rPr>
                <w:sz w:val="20"/>
                <w:szCs w:val="20"/>
                <w:color w:val="auto"/>
              </w:rPr>
            </w:pPr>
            <w:r>
              <w:rPr>
                <w:rFonts w:ascii="Arial" w:cs="Arial" w:eastAsia="Arial" w:hAnsi="Arial"/>
                <w:sz w:val="14"/>
                <w:szCs w:val="14"/>
                <w:b w:val="1"/>
                <w:bCs w:val="1"/>
                <w:color w:val="auto"/>
              </w:rPr>
              <w:t>Burn Rate</w:t>
            </w:r>
          </w:p>
        </w:tc>
      </w:tr>
      <w:tr>
        <w:trPr>
          <w:trHeight w:val="25"/>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44"/>
        </w:trPr>
        <w:tc>
          <w:tcPr>
            <w:tcW w:w="39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600" w:type="dxa"/>
            <w:vAlign w:val="bottom"/>
            <w:tcBorders>
              <w:bottom w:val="single" w:sz="8" w:color="auto"/>
              <w:right w:val="single" w:sz="8" w:color="auto"/>
            </w:tcBorders>
            <w:shd w:val="clear" w:color="auto" w:fill="CCEEFF"/>
          </w:tcPr>
          <w:p>
            <w:pPr>
              <w:jc w:val="center"/>
              <w:ind w:right="80"/>
              <w:spacing w:after="0"/>
              <w:rPr>
                <w:sz w:val="20"/>
                <w:szCs w:val="20"/>
                <w:color w:val="auto"/>
              </w:rPr>
            </w:pPr>
            <w:r>
              <w:rPr>
                <w:rFonts w:ascii="Arial" w:cs="Arial" w:eastAsia="Arial" w:hAnsi="Arial"/>
                <w:sz w:val="18"/>
                <w:szCs w:val="18"/>
                <w:color w:val="auto"/>
                <w:w w:val="89"/>
              </w:rPr>
              <w:t>1,331,200</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725,685,179</w:t>
            </w:r>
          </w:p>
        </w:tc>
        <w:tc>
          <w:tcPr>
            <w:tcW w:w="1120" w:type="dxa"/>
            <w:vAlign w:val="bottom"/>
            <w:tcBorders>
              <w:bottom w:val="single" w:sz="8" w:color="auto"/>
              <w:right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0.18</w:t>
            </w:r>
          </w:p>
        </w:tc>
      </w:tr>
      <w:tr>
        <w:trPr>
          <w:trHeight w:val="250"/>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2019</w:t>
            </w:r>
          </w:p>
        </w:tc>
        <w:tc>
          <w:tcPr>
            <w:tcW w:w="1600" w:type="dxa"/>
            <w:vAlign w:val="bottom"/>
            <w:tcBorders>
              <w:bottom w:val="single" w:sz="8" w:color="auto"/>
              <w:right w:val="single" w:sz="8" w:color="auto"/>
            </w:tcBorders>
          </w:tcPr>
          <w:p>
            <w:pPr>
              <w:jc w:val="center"/>
              <w:ind w:right="80"/>
              <w:spacing w:after="0"/>
              <w:rPr>
                <w:sz w:val="20"/>
                <w:szCs w:val="20"/>
                <w:color w:val="auto"/>
              </w:rPr>
            </w:pPr>
            <w:r>
              <w:rPr>
                <w:rFonts w:ascii="Arial" w:cs="Arial" w:eastAsia="Arial" w:hAnsi="Arial"/>
                <w:sz w:val="18"/>
                <w:szCs w:val="18"/>
                <w:color w:val="auto"/>
                <w:w w:val="89"/>
              </w:rPr>
              <w:t>3,209,940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727,380,058</w:t>
            </w:r>
          </w:p>
        </w:tc>
        <w:tc>
          <w:tcPr>
            <w:tcW w:w="11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0.44</w:t>
            </w:r>
          </w:p>
        </w:tc>
      </w:tr>
      <w:tr>
        <w:trPr>
          <w:trHeight w:val="250"/>
        </w:trPr>
        <w:tc>
          <w:tcPr>
            <w:tcW w:w="39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1600" w:type="dxa"/>
            <w:vAlign w:val="bottom"/>
            <w:tcBorders>
              <w:bottom w:val="single" w:sz="8" w:color="auto"/>
              <w:right w:val="single" w:sz="8" w:color="auto"/>
            </w:tcBorders>
            <w:shd w:val="clear" w:color="auto" w:fill="CCEEFF"/>
          </w:tcPr>
          <w:p>
            <w:pPr>
              <w:jc w:val="center"/>
              <w:ind w:right="80"/>
              <w:spacing w:after="0"/>
              <w:rPr>
                <w:sz w:val="20"/>
                <w:szCs w:val="20"/>
                <w:color w:val="auto"/>
              </w:rPr>
            </w:pPr>
            <w:r>
              <w:rPr>
                <w:rFonts w:ascii="Arial" w:cs="Arial" w:eastAsia="Arial" w:hAnsi="Arial"/>
                <w:sz w:val="18"/>
                <w:szCs w:val="18"/>
                <w:color w:val="auto"/>
                <w:w w:val="89"/>
              </w:rPr>
              <w:t>3,454,860</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727,700,939</w:t>
            </w:r>
          </w:p>
        </w:tc>
        <w:tc>
          <w:tcPr>
            <w:tcW w:w="1120" w:type="dxa"/>
            <w:vAlign w:val="bottom"/>
            <w:tcBorders>
              <w:bottom w:val="single" w:sz="8" w:color="auto"/>
              <w:right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0.47</w:t>
            </w:r>
          </w:p>
        </w:tc>
      </w:tr>
      <w:tr>
        <w:trPr>
          <w:trHeight w:val="250"/>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Three-Year Average</w:t>
            </w:r>
          </w:p>
        </w:tc>
        <w:tc>
          <w:tcPr>
            <w:tcW w:w="160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0.36</w:t>
            </w:r>
          </w:p>
        </w:tc>
      </w:tr>
    </w:tbl>
    <w:p>
      <w:pPr>
        <w:spacing w:after="0" w:line="13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 believes that its historic burn rates are reasonable and comparable to PAA’s peers.</w:t>
      </w:r>
    </w:p>
    <w:p>
      <w:pPr>
        <w:spacing w:after="0" w:line="158"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If approved by the requisite vote of the Unitholders at the PAA Annual Meeting, the PAA 2021 Plan will become effective on May 19, 2021. If the PAA 2021 Plan is not approved, the 2013 Plan will remain in effect in its current form. This Proposal will have no impact on the PNG Successor Plan and will not affect awards already granted under the Existing PAA Plans or the rights of existing award holders.</w:t>
      </w:r>
    </w:p>
    <w:p>
      <w:pPr>
        <w:spacing w:after="0" w:line="90"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A summary description of the material features of the PAA 2021 Plan as proposed is set forth below. The following summary does not purport to be a complete description of all the provisions of the PAA</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91" w:lineRule="auto"/>
        <w:rPr>
          <w:sz w:val="20"/>
          <w:szCs w:val="20"/>
          <w:color w:val="auto"/>
        </w:rPr>
      </w:pPr>
      <w:r>
        <w:rPr>
          <w:rFonts w:ascii="Arial" w:cs="Arial" w:eastAsia="Arial" w:hAnsi="Arial"/>
          <w:sz w:val="17"/>
          <w:szCs w:val="17"/>
          <w:color w:val="auto"/>
        </w:rPr>
        <w:t>2021 Plan and is qualified in its entirety by reference to the PAA 2021 Plan, a copy of which is attached as Exhibit A to this proxy statement and incorporated in its entirety in this proxy statement by reference.</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the PAA 2021 Plan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Key Terms of the PAA 2021 Plan</w:t>
      </w:r>
    </w:p>
    <w:p>
      <w:pPr>
        <w:spacing w:after="0" w:line="179"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41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Eligible Participants</w:t>
            </w:r>
          </w:p>
        </w:tc>
        <w:tc>
          <w:tcPr>
            <w:tcW w:w="4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Employees, Officers and Directors of PAA’s</w:t>
            </w:r>
          </w:p>
        </w:tc>
      </w:tr>
      <w:tr>
        <w:trPr>
          <w:trHeight w:val="230"/>
        </w:trPr>
        <w:tc>
          <w:tcPr>
            <w:tcW w:w="412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General Partner and its affiliates</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44"/>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Incremental Additional Units Authorized</w:t>
            </w:r>
          </w:p>
        </w:tc>
        <w:tc>
          <w:tcPr>
            <w:tcW w:w="4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20,000,000</w:t>
            </w:r>
          </w:p>
        </w:tc>
      </w:tr>
      <w:tr>
        <w:trPr>
          <w:trHeight w:val="270"/>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Units Available for Future Issuance</w:t>
            </w:r>
          </w:p>
        </w:tc>
        <w:tc>
          <w:tcPr>
            <w:tcW w:w="4100" w:type="dxa"/>
            <w:vAlign w:val="bottom"/>
            <w:tcBorders>
              <w:bottom w:val="single" w:sz="8" w:color="auto"/>
              <w:right w:val="single" w:sz="8" w:color="auto"/>
            </w:tcBorders>
          </w:tcPr>
          <w:p>
            <w:pPr>
              <w:ind w:left="80"/>
              <w:spacing w:after="0" w:line="270" w:lineRule="exact"/>
              <w:rPr>
                <w:sz w:val="20"/>
                <w:szCs w:val="20"/>
                <w:color w:val="auto"/>
              </w:rPr>
            </w:pPr>
            <w:r>
              <w:rPr>
                <w:rFonts w:ascii="Arial" w:cs="Arial" w:eastAsia="Arial" w:hAnsi="Arial"/>
                <w:sz w:val="18"/>
                <w:szCs w:val="18"/>
                <w:color w:val="auto"/>
              </w:rPr>
              <w:t>21,791,396</w:t>
            </w:r>
            <w:r>
              <w:rPr>
                <w:rFonts w:ascii="Arial" w:cs="Arial" w:eastAsia="Arial" w:hAnsi="Arial"/>
                <w:sz w:val="26"/>
                <w:szCs w:val="26"/>
                <w:color w:val="auto"/>
                <w:vertAlign w:val="superscript"/>
              </w:rPr>
              <w:t>(1)</w:t>
            </w:r>
          </w:p>
        </w:tc>
      </w:tr>
      <w:tr>
        <w:trPr>
          <w:trHeight w:val="263"/>
        </w:trPr>
        <w:tc>
          <w:tcPr>
            <w:tcW w:w="41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Potential Overhang</w:t>
            </w:r>
          </w:p>
        </w:tc>
        <w:tc>
          <w:tcPr>
            <w:tcW w:w="4100" w:type="dxa"/>
            <w:vAlign w:val="bottom"/>
            <w:tcBorders>
              <w:bottom w:val="single" w:sz="8" w:color="auto"/>
              <w:right w:val="single" w:sz="8" w:color="auto"/>
            </w:tcBorders>
          </w:tcPr>
          <w:p>
            <w:pPr>
              <w:ind w:left="80"/>
              <w:spacing w:after="0" w:line="263" w:lineRule="exact"/>
              <w:rPr>
                <w:sz w:val="20"/>
                <w:szCs w:val="20"/>
                <w:color w:val="auto"/>
              </w:rPr>
            </w:pPr>
            <w:r>
              <w:rPr>
                <w:rFonts w:ascii="Arial" w:cs="Arial" w:eastAsia="Arial" w:hAnsi="Arial"/>
                <w:sz w:val="18"/>
                <w:szCs w:val="18"/>
                <w:color w:val="auto"/>
              </w:rPr>
              <w:t>4.1%</w:t>
            </w:r>
            <w:r>
              <w:rPr>
                <w:rFonts w:ascii="Arial" w:cs="Arial" w:eastAsia="Arial" w:hAnsi="Arial"/>
                <w:sz w:val="26"/>
                <w:szCs w:val="26"/>
                <w:color w:val="auto"/>
                <w:vertAlign w:val="superscript"/>
              </w:rPr>
              <w:t>(2)</w:t>
            </w:r>
          </w:p>
        </w:tc>
      </w:tr>
      <w:tr>
        <w:trPr>
          <w:trHeight w:val="209"/>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Award Types</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Options, Unit Appreciation Rights, Restricted</w:t>
            </w:r>
          </w:p>
        </w:tc>
      </w:tr>
      <w:tr>
        <w:trPr>
          <w:trHeight w:val="230"/>
        </w:trPr>
        <w:tc>
          <w:tcPr>
            <w:tcW w:w="412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Units, Phantom Units, Cash Awards</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09"/>
        </w:trPr>
        <w:tc>
          <w:tcPr>
            <w:tcW w:w="41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Prohibited</w:t>
            </w: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Repricing of Options or Unit Appreciation Rights</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or material amendments (for example, an</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amendment that increases the number of</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units authorized for issuance under the</w:t>
            </w:r>
          </w:p>
        </w:tc>
      </w:tr>
      <w:tr>
        <w:trPr>
          <w:trHeight w:val="230"/>
        </w:trPr>
        <w:tc>
          <w:tcPr>
            <w:tcW w:w="412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PAA 2021 Plan) without Unitholder approval</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0"/>
          <w:szCs w:val="20"/>
          <w:color w:val="auto"/>
        </w:rPr>
      </w:pPr>
    </w:p>
    <w:p>
      <w:pPr>
        <w:ind w:left="1620" w:right="499" w:hanging="360"/>
        <w:spacing w:after="0" w:line="247" w:lineRule="auto"/>
        <w:tabs>
          <w:tab w:leader="none" w:pos="1620" w:val="left"/>
        </w:tabs>
        <w:numPr>
          <w:ilvl w:val="0"/>
          <w:numId w:val="87"/>
        </w:numPr>
        <w:rPr>
          <w:rFonts w:ascii="Arial" w:cs="Arial" w:eastAsia="Arial" w:hAnsi="Arial"/>
          <w:sz w:val="26"/>
          <w:szCs w:val="26"/>
          <w:color w:val="auto"/>
          <w:vertAlign w:val="superscript"/>
        </w:rPr>
      </w:pPr>
      <w:r>
        <w:rPr>
          <w:rFonts w:ascii="Arial" w:cs="Arial" w:eastAsia="Arial" w:hAnsi="Arial"/>
          <w:sz w:val="17"/>
          <w:szCs w:val="17"/>
          <w:color w:val="auto"/>
        </w:rPr>
        <w:t>This amount represents the sum of (i) the units available for grant under the 2013 Plan as of March 31, 2021, and (ii) an incremental 20,000,000 units. The total units actually available for future issuance as of the effective date of the PAA 2021 Plan could be lower if units are delivered under the 2013 Plan prior to such effective date in satisfaction of outstanding awards. As of March 31, 2021, there were 7,165,427 units subject to outstanding awards under the 2013 Plan that must or may be settled in units; these units could return to the unit pool if such awards are not ultimately settled in units.</w:t>
      </w:r>
    </w:p>
    <w:p>
      <w:pPr>
        <w:spacing w:after="0" w:line="117" w:lineRule="exact"/>
        <w:rPr>
          <w:rFonts w:ascii="Arial" w:cs="Arial" w:eastAsia="Arial" w:hAnsi="Arial"/>
          <w:sz w:val="26"/>
          <w:szCs w:val="26"/>
          <w:color w:val="auto"/>
          <w:vertAlign w:val="superscript"/>
        </w:rPr>
      </w:pPr>
    </w:p>
    <w:p>
      <w:pPr>
        <w:ind w:left="1620" w:right="499" w:hanging="360"/>
        <w:spacing w:after="0" w:line="247" w:lineRule="auto"/>
        <w:tabs>
          <w:tab w:leader="none" w:pos="1620" w:val="left"/>
        </w:tabs>
        <w:numPr>
          <w:ilvl w:val="0"/>
          <w:numId w:val="87"/>
        </w:numPr>
        <w:rPr>
          <w:rFonts w:ascii="Arial" w:cs="Arial" w:eastAsia="Arial" w:hAnsi="Arial"/>
          <w:sz w:val="26"/>
          <w:szCs w:val="26"/>
          <w:color w:val="auto"/>
          <w:vertAlign w:val="superscript"/>
        </w:rPr>
      </w:pPr>
      <w:r>
        <w:rPr>
          <w:rFonts w:ascii="Arial" w:cs="Arial" w:eastAsia="Arial" w:hAnsi="Arial"/>
          <w:sz w:val="17"/>
          <w:szCs w:val="17"/>
          <w:color w:val="auto"/>
        </w:rPr>
        <w:t>This percentage was calculated as of March 31, 2021 based on (i) the sum of (x) the units available for grant under the Existing PAA Plans as of such date, (y) the units subject to outstanding awards under the Existing PAA Plans as of such date that must or may be settled in units, and (z) an incremental 20,000,000 units, divided by (ii) the total units outstanding as of such date. The actual overhang as of the effective date of the PAA 2021 Plan could vary from this percentage depending on changes in the components of the calculation prior to such effective date.</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Purpose of the PAA 2021 Plan</w:t>
      </w:r>
    </w:p>
    <w:p>
      <w:pPr>
        <w:spacing w:after="0" w:line="15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6"/>
          <w:szCs w:val="16"/>
          <w:color w:val="auto"/>
        </w:rPr>
        <w:t>The purpose of the PAA 2021 Plan is to align the interests of employees, officers and directors with those of PAA’s Unitholders and our Shareholders by providing employees, officers and directors with incentive compensation awards that reward achievement of specified performance targets and other business objectives. In furtherance of such purpose, the PAA 2021 Plan provides for the issuance of a variety of equity-based and other grants, including grants of (i) options (which may include tandem distribution equivalent rights), (ii) unit appreciation rights (which may include tandem distribution equivalent rights),</w:t>
      </w:r>
    </w:p>
    <w:p>
      <w:pPr>
        <w:spacing w:after="0" w:line="3" w:lineRule="exact"/>
        <w:rPr>
          <w:sz w:val="20"/>
          <w:szCs w:val="20"/>
          <w:color w:val="auto"/>
        </w:rPr>
      </w:pPr>
    </w:p>
    <w:p>
      <w:pPr>
        <w:ind w:left="1260" w:right="559"/>
        <w:spacing w:after="0" w:line="271" w:lineRule="auto"/>
        <w:tabs>
          <w:tab w:leader="none" w:pos="1596"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restricted units (which may include tandem unit distribution rights), (iv) phantom units (which may include tandem distribution equivalent rights), and (v) Cash Awards (collectively referred to as “Awards”).</w:t>
      </w:r>
    </w:p>
    <w:p>
      <w:pPr>
        <w:spacing w:after="0" w:line="8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The PAA 2021 Plan is not subject to the provisions of the Employee Retirement Income Security Act of 1974, as amended (“ERISA”). The PAA 2021 Plan will be effective as of the date the PAA 2021 Plan is approved by PAA’s Unitholders, and will terminate on the earliest of (i) the date terminated by the Board or the plan administrator, (ii) the date all available common units under the PAA 2021 Plan have been paid or issued, or (iii) the tenth anniversary of the effective date, or May 19, 2031. Awards granted prior to the PAA 2021 Plan’s termination date will continue to be effective in accordance with their respective terms and conditions even after the PAA 2021 Plan’s termination.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Key Changes to the PAA 2021 Plan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PAA 2021 Plan will be similar to the 2013 Plan, with several key differences: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number of PAA common units available for issuance or delivery will be increased by 20,000,000;</w:t>
      </w:r>
    </w:p>
    <w:p>
      <w:pPr>
        <w:spacing w:after="0" w:line="142" w:lineRule="exact"/>
        <w:rPr>
          <w:rFonts w:ascii="Arial" w:cs="Arial" w:eastAsia="Arial" w:hAnsi="Arial"/>
          <w:sz w:val="17"/>
          <w:szCs w:val="17"/>
          <w:color w:val="auto"/>
        </w:rPr>
      </w:pPr>
    </w:p>
    <w:p>
      <w:pPr>
        <w:ind w:left="1800" w:right="419" w:hanging="180"/>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unit recycling practices in connection with the exercise of options and unit appreciation rights will no longer be permitted; and</w:t>
      </w:r>
    </w:p>
    <w:p>
      <w:pPr>
        <w:spacing w:after="0" w:line="75" w:lineRule="exact"/>
        <w:rPr>
          <w:rFonts w:ascii="Arial" w:cs="Arial" w:eastAsia="Arial" w:hAnsi="Arial"/>
          <w:sz w:val="18"/>
          <w:szCs w:val="18"/>
          <w:color w:val="auto"/>
        </w:rPr>
      </w:pPr>
    </w:p>
    <w:p>
      <w:pPr>
        <w:ind w:left="1800" w:right="1139" w:hanging="180"/>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PAA 2021 Plan will include a one-year minimum vesting requirement, subject to certain exceptions, on Awards that could potentially be settled in common units.</w:t>
      </w:r>
    </w:p>
    <w:p>
      <w:pPr>
        <w:spacing w:after="0" w:line="103"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Several additional administrative changes have also been made, although these changes are not considered material.</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Administration of the PAA 2021 Plan</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Like the 2013 Plan, the PAA 2021 Plan will be administered by the compensation committee of the Board, which will administer the PAA 2021 Plan pursuant to its terms and applicable laws, unless the Board appoints a different committee of the Board to administer the PAA 2021 Plan. We refer to the compensation committee or another committee chosen by the Board to administer the PAA 2021 Plan, as applicable, as the plan administrator. The plan administrator has broad discretion to administer the PAA 2021 Plan, interpret its provisions, and adopt policies for implementing the PAA 2021 Plan. This discretion includes the power to:</w:t>
      </w:r>
    </w:p>
    <w:p>
      <w:pPr>
        <w:spacing w:after="0" w:line="87" w:lineRule="exact"/>
        <w:rPr>
          <w:sz w:val="20"/>
          <w:szCs w:val="20"/>
          <w:color w:val="auto"/>
        </w:rPr>
      </w:pPr>
    </w:p>
    <w:p>
      <w:pPr>
        <w:ind w:left="1800" w:hanging="180"/>
        <w:spacing w:after="0"/>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a participant;</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determine the number of common units or amount of cash to be covered by Awards;</w:t>
      </w:r>
    </w:p>
    <w:p>
      <w:pPr>
        <w:spacing w:after="0" w:line="130"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determine the terms and conditions of any Award, including whether, to what extent, and under what circumstances Awards may be vested, settled (including settlement in cash), exercised, canceled, or forfeited;</w:t>
      </w:r>
    </w:p>
    <w:p>
      <w:pPr>
        <w:spacing w:after="0" w:line="89"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 modify, adjust, amend, suspend, or waive any term of condition of an Award that has been granted;</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impose a holding period with respect to an Award or the units received in connection with the vesting or settlement of an Award;</w:t>
      </w:r>
    </w:p>
    <w:p>
      <w:pPr>
        <w:spacing w:after="0" w:line="89"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interpret and administer the PAA 2021 Plan and any instrument or agreement relating to an Award made under the PAA 2021 Plan;</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PAA 2021 Plan, in any Award, or in any Award Agreement;</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appoint such agents as it shall deem appropriate for the proper administration of the PAA 2021 Plan; and</w:t>
      </w:r>
    </w:p>
    <w:p>
      <w:pPr>
        <w:spacing w:after="0" w:line="89"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plan administrator deems necessary or desirable for the administration of the PAA 2021 Plan.</w:t>
      </w:r>
    </w:p>
    <w:p>
      <w:pPr>
        <w:spacing w:after="0" w:line="89"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The plan administrator may delegate any or all of its powers and duties under the PAA 2021 Plan, including the power to grant Awards, to the Chief Executive Officer of our General Partner. However, pursuant to any such delegation, the Chief Executive Officer of our General Partner would not be permitted to grant Awards to, or take any action with respect to any Award previously granted to, a person who is an officer subject to Rule 16b-3 promulgated by the Securities and Exchange Commission (“SEC”) or a member of the Board.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Units Subject to the PAA 2021 Plan</w:t>
      </w:r>
    </w:p>
    <w:p>
      <w:pPr>
        <w:spacing w:after="0" w:line="158"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If the PAA 2021 Plan is approved at the PAA Annual Meeting, then the number of common units that will, as of the date of such approval, be available for issuance with respect to Awards under the PAA 2021 Plan is the sum of (i) the number of units available for grant under the 2013 Plan as of such date, and (ii) an</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79"/>
        <w:spacing w:after="0" w:line="291" w:lineRule="auto"/>
        <w:rPr>
          <w:sz w:val="20"/>
          <w:szCs w:val="20"/>
          <w:color w:val="auto"/>
        </w:rPr>
      </w:pPr>
      <w:r>
        <w:rPr>
          <w:rFonts w:ascii="Arial" w:cs="Arial" w:eastAsia="Arial" w:hAnsi="Arial"/>
          <w:sz w:val="17"/>
          <w:szCs w:val="17"/>
          <w:color w:val="auto"/>
        </w:rPr>
        <w:t>incremental 20,000,000 units. The table below sets forth the total number of common units that will potentially be available for issuance under the PAA 2021 Plan if this Proposal is approved.</w:t>
      </w:r>
    </w:p>
    <w:p>
      <w:pPr>
        <w:spacing w:after="0" w:line="101"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61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060" w:type="dxa"/>
            <w:vAlign w:val="bottom"/>
            <w:tcBorders>
              <w:top w:val="single" w:sz="8" w:color="auto"/>
              <w:bottom w:val="single" w:sz="8" w:color="auto"/>
              <w:right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Number of Common Units</w:t>
            </w:r>
            <w:r>
              <w:rPr>
                <w:rFonts w:ascii="Arial" w:cs="Arial" w:eastAsia="Arial" w:hAnsi="Arial"/>
                <w:sz w:val="21"/>
                <w:szCs w:val="21"/>
                <w:b w:val="1"/>
                <w:bCs w:val="1"/>
                <w:color w:val="auto"/>
                <w:w w:val="93"/>
                <w:vertAlign w:val="superscript"/>
              </w:rPr>
              <w:t>(1)</w:t>
            </w:r>
          </w:p>
        </w:tc>
      </w:tr>
      <w:tr>
        <w:trPr>
          <w:trHeight w:val="244"/>
        </w:trPr>
        <w:tc>
          <w:tcPr>
            <w:tcW w:w="616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Units Available for Grant Under the 2013 Plan</w:t>
            </w:r>
          </w:p>
        </w:tc>
        <w:tc>
          <w:tcPr>
            <w:tcW w:w="2060" w:type="dxa"/>
            <w:vAlign w:val="bottom"/>
            <w:tcBorders>
              <w:bottom w:val="single" w:sz="8" w:color="auto"/>
              <w:right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rPr>
              <w:t>1,791,396</w:t>
            </w:r>
          </w:p>
        </w:tc>
      </w:tr>
      <w:tr>
        <w:trPr>
          <w:trHeight w:val="250"/>
        </w:trPr>
        <w:tc>
          <w:tcPr>
            <w:tcW w:w="6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Incremental Units Requested Under This Proposal</w:t>
            </w:r>
          </w:p>
        </w:tc>
        <w:tc>
          <w:tcPr>
            <w:tcW w:w="2060" w:type="dxa"/>
            <w:vAlign w:val="bottom"/>
            <w:tcBorders>
              <w:bottom w:val="single" w:sz="8" w:color="auto"/>
              <w:right w:val="single" w:sz="8" w:color="auto"/>
            </w:tcBorders>
          </w:tcPr>
          <w:p>
            <w:pPr>
              <w:jc w:val="right"/>
              <w:ind w:right="615"/>
              <w:spacing w:after="0"/>
              <w:rPr>
                <w:sz w:val="20"/>
                <w:szCs w:val="20"/>
                <w:color w:val="auto"/>
              </w:rPr>
            </w:pPr>
            <w:r>
              <w:rPr>
                <w:rFonts w:ascii="Arial" w:cs="Arial" w:eastAsia="Arial" w:hAnsi="Arial"/>
                <w:sz w:val="18"/>
                <w:szCs w:val="18"/>
                <w:color w:val="auto"/>
              </w:rPr>
              <w:t>20,000,000</w:t>
            </w:r>
          </w:p>
        </w:tc>
      </w:tr>
      <w:tr>
        <w:trPr>
          <w:trHeight w:val="250"/>
        </w:trPr>
        <w:tc>
          <w:tcPr>
            <w:tcW w:w="616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right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rPr>
              <w:t>21,791,396</w:t>
            </w:r>
          </w:p>
        </w:tc>
      </w:tr>
    </w:tbl>
    <w:p>
      <w:pPr>
        <w:spacing w:after="0" w:line="188" w:lineRule="exact"/>
        <w:rPr>
          <w:sz w:val="20"/>
          <w:szCs w:val="20"/>
          <w:color w:val="auto"/>
        </w:rPr>
      </w:pPr>
    </w:p>
    <w:p>
      <w:pPr>
        <w:ind w:left="1620" w:right="559" w:hanging="360"/>
        <w:spacing w:after="0" w:line="216" w:lineRule="auto"/>
        <w:tabs>
          <w:tab w:leader="none" w:pos="1620" w:val="left"/>
        </w:tabs>
        <w:numPr>
          <w:ilvl w:val="0"/>
          <w:numId w:val="91"/>
        </w:numPr>
        <w:rPr>
          <w:rFonts w:ascii="Arial" w:cs="Arial" w:eastAsia="Arial" w:hAnsi="Arial"/>
          <w:sz w:val="26"/>
          <w:szCs w:val="26"/>
          <w:color w:val="auto"/>
          <w:vertAlign w:val="superscript"/>
        </w:rPr>
      </w:pPr>
      <w:r>
        <w:rPr>
          <w:rFonts w:ascii="Arial" w:cs="Arial" w:eastAsia="Arial" w:hAnsi="Arial"/>
          <w:sz w:val="17"/>
          <w:szCs w:val="17"/>
          <w:color w:val="auto"/>
        </w:rPr>
        <w:t>The amount shown with respect to the “Units Available for Grant Under the 2013 Plan” represents the number of units available for grant under the 2013 Plan as of March 31, 2021. The actual number</w:t>
      </w:r>
    </w:p>
    <w:p>
      <w:pPr>
        <w:spacing w:after="0" w:line="1" w:lineRule="exact"/>
        <w:rPr>
          <w:rFonts w:ascii="Arial" w:cs="Arial" w:eastAsia="Arial" w:hAnsi="Arial"/>
          <w:sz w:val="26"/>
          <w:szCs w:val="26"/>
          <w:color w:val="auto"/>
          <w:vertAlign w:val="superscript"/>
        </w:rPr>
      </w:pPr>
    </w:p>
    <w:p>
      <w:pPr>
        <w:jc w:val="both"/>
        <w:ind w:left="1620" w:right="719"/>
        <w:spacing w:after="0" w:line="255" w:lineRule="auto"/>
        <w:rPr>
          <w:rFonts w:ascii="Arial" w:cs="Arial" w:eastAsia="Arial" w:hAnsi="Arial"/>
          <w:sz w:val="26"/>
          <w:szCs w:val="26"/>
          <w:color w:val="auto"/>
          <w:vertAlign w:val="superscript"/>
        </w:rPr>
      </w:pPr>
      <w:r>
        <w:rPr>
          <w:rFonts w:ascii="Arial" w:cs="Arial" w:eastAsia="Arial" w:hAnsi="Arial"/>
          <w:sz w:val="18"/>
          <w:szCs w:val="18"/>
          <w:color w:val="auto"/>
        </w:rPr>
        <w:t>of units available for future grant under the PAA 2021 Plan may change by the effective date of the PAA 2021 Plan as a result of changes in the number of units available for grant under the 2013 Plan prior to such date.</w:t>
      </w:r>
    </w:p>
    <w:p>
      <w:pPr>
        <w:spacing w:after="0" w:line="12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Pursuant to the terms of the PAA 2021 Plan, if any Award is forfeited, canceled, exercised or otherwise terminated without the actual delivery of common units pursuant to such Award, or if any common units under an Award are held back to cover tax withholding, then, in either such case, any common units that are so forfeited, canceled, exercised or otherwise terminated without the actual delivery of common units or held back to cover tax withholding (excluding restricted unit Awards) shall be available to satisfy future Awards under the PAA 2021 Plan. Units tendered or withheld in payment of any exercise or purchase price of an Award, units that were subject to an option or unit appreciation right but were not issued or delivered as a result of the net settlement of such Award, and units repurchased on the open market with the proceeds of an option’s exercise price, will not, in each case, be available for future Awards under the PAA 2021 Plan.</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common units delivered pursuant to the PAA 2021 Plan shall consist, in whole or part, of</w:t>
      </w:r>
    </w:p>
    <w:p>
      <w:pPr>
        <w:spacing w:after="0" w:line="12" w:lineRule="exact"/>
        <w:rPr>
          <w:sz w:val="20"/>
          <w:szCs w:val="20"/>
          <w:color w:val="auto"/>
        </w:rPr>
      </w:pPr>
    </w:p>
    <w:p>
      <w:pPr>
        <w:ind w:left="1260" w:right="459"/>
        <w:spacing w:after="0" w:line="237" w:lineRule="auto"/>
        <w:tabs>
          <w:tab w:leader="none" w:pos="14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common units acquired in the open market, (ii) common units acquired from PAA, any of its affiliates or any other person or (iii) any combination of the foregoing. The fair market value of a common unit on a given date will be the closing sales price of a common unit on the trading date immediately preceding such given date or as defined in an Award agreement (other than with respect to establishing the exercise price of an option or a unit appreciation right).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Persons Who May Participate in the PAA 2021 Plan</w:t>
      </w:r>
    </w:p>
    <w:p>
      <w:pPr>
        <w:spacing w:after="0" w:line="1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employees of PAA’s General Partner and its affiliates, and the non- employee members of the Board, are eligible to receive Awards (the “Eligible Persons”). As of March 26, 2021 there were 28 officers, including seven executive officers, approximately 4,400 other eligible employees and eight eligible directors. Eligible Persons designated by the plan administrator to receive Awards under the PAA 2021 Plan are referred to as “Participants.” A Participant under the PAA 2021 Plan will be eligible, at the discretion of the plan administrator, to receive an Award pursuant to the terms of the PAA 2021 Plan and subject to any limitations imposed by appropriate action of the plan administrator or within the individual Award agreement.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 under the PAA 2021 Plan</w:t>
      </w:r>
    </w:p>
    <w:p>
      <w:pPr>
        <w:spacing w:after="0" w:line="158" w:lineRule="exact"/>
        <w:rPr>
          <w:sz w:val="20"/>
          <w:szCs w:val="20"/>
          <w:color w:val="auto"/>
        </w:rPr>
      </w:pPr>
    </w:p>
    <w:p>
      <w:pPr>
        <w:ind w:left="1260" w:right="579" w:firstLine="360"/>
        <w:spacing w:after="0" w:line="262"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Options may be granted under the PAA 2021 Plan to purchase a specific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units at a set exercise price. The exercise price of each option granted under the PAA 2021 Plan will be determined by the plan administrator at the time the option is granted, provided that no option may have an exercise price that is less than the fair market value of the common units on the date of grant.</w:t>
      </w:r>
    </w:p>
    <w:p>
      <w:pPr>
        <w:spacing w:after="0" w:line="91"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The plan administrator will determine the manner in which, and time or times at which, an option will vest and become exercisable, in whole or in part. The plan administrator will also determine the methods and form of payment for the exercise of an option (including, without limitation, payment in cash, check acceptable to us, a “cashless-broker” exercise through procedures approved by us, or any combination thereof) and the methods and forms in which common units will be delivered to a Participant. Unless otherwise determined by the plan administrator or set forth in an applicable Award agreement, an option award that is still outstanding will be forfeited by the Participant upon termination of the Participant’s employment with PAA’s General Partner or its affiliates or membership on the Board, as applicable.</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i w:val="1"/>
          <w:iCs w:val="1"/>
          <w:color w:val="auto"/>
        </w:rPr>
        <w:t>Unit Appreciation Rights</w:t>
      </w:r>
      <w:r>
        <w:rPr>
          <w:rFonts w:ascii="Arial" w:cs="Arial" w:eastAsia="Arial" w:hAnsi="Arial"/>
          <w:sz w:val="17"/>
          <w:szCs w:val="17"/>
          <w:color w:val="auto"/>
        </w:rPr>
        <w:t>. A unit appreciation right is an Award that, upon exercise, entitles the holder</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the excess, if any, of the fair market value of a common unit on the exercise date over the grant price of the unit appreciation right. The excess may be paid in cash and/or in common units as determined by the plan administrator in its discretion. The plan administrator will have the authority to determine to whom unit appreciation rights will be granted, the number of common units to be covered by each grant, and the conditions and limitations applicable to the exercise of the unit appreciation right. The grant price per unit appreciation right will be determined by the plan administrator at the time the unit appreciation right is granted, but each unit appreciation right must have an exercise price that is not less than the fair market value of the common units on the date of grant.</w:t>
      </w:r>
    </w:p>
    <w:p>
      <w:pPr>
        <w:spacing w:after="0" w:line="100" w:lineRule="exact"/>
        <w:rPr>
          <w:sz w:val="20"/>
          <w:szCs w:val="20"/>
          <w:color w:val="auto"/>
        </w:rPr>
      </w:pPr>
    </w:p>
    <w:p>
      <w:pPr>
        <w:ind w:left="1260" w:right="819" w:firstLine="360"/>
        <w:spacing w:after="0" w:line="275" w:lineRule="auto"/>
        <w:rPr>
          <w:sz w:val="20"/>
          <w:szCs w:val="20"/>
          <w:color w:val="auto"/>
        </w:rPr>
      </w:pPr>
      <w:r>
        <w:rPr>
          <w:rFonts w:ascii="Arial" w:cs="Arial" w:eastAsia="Arial" w:hAnsi="Arial"/>
          <w:sz w:val="17"/>
          <w:szCs w:val="17"/>
          <w:color w:val="auto"/>
        </w:rPr>
        <w:t>The plan administrator will determine the time or times at which a unit appreciation right may be exercised in whole or in part. Unless otherwise determined by the plan administrator or set forth in an applicable Award agreement, all outstanding unit appreciation rights awarded to a Participant will be automatically forfeited by the Participant upon termination of the Participant’s employment with PAA’s General Partner or its affiliates or membership on the Board, as applicable.</w:t>
      </w:r>
    </w:p>
    <w:p>
      <w:pPr>
        <w:spacing w:after="0" w:line="109"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i w:val="1"/>
          <w:iCs w:val="1"/>
          <w:color w:val="auto"/>
        </w:rPr>
        <w:t>Restricted Unit Awards</w:t>
      </w:r>
      <w:r>
        <w:rPr>
          <w:rFonts w:ascii="Arial" w:cs="Arial" w:eastAsia="Arial" w:hAnsi="Arial"/>
          <w:sz w:val="17"/>
          <w:szCs w:val="17"/>
          <w:color w:val="auto"/>
        </w:rPr>
        <w:t>. A restricted unit is a common unit granted under the PAA 2021 Plan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risk of forfeiture, restrictions on transferability, and any other restrictions that may be imposed by the plan administrator in its discretion. The plan administrator will have the authority to determine to whom restricted units will be granted, the number of restricted units to be granted to each Participant, the duration of any restrictions, the conditions under which the restricted units may become vested or forfeited, and any other terms and conditions as the plan administrator may establish with respect to the Awards. Upon or as soon as reasonably possible following the vesting of each restricted unit, subject to any applicable federal income tax withholding, a Participant will be entitled to have the restrictions removed from his or her Award so that the Participant then holds an unrestricted common unit. Unless otherwise determined by the plan administrator or set forth in an applicable Award agreement, a restricted unit that is still subject to forfeiture restrictions will be forfeited by a Participant upon termination of the Participant’s employment with PAA’s General Partner or its affiliates or membership on the Board, as applicable.</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To the extent provided by the plan administrator in its discretion, a grant of restricted units may provide that a distribution made by us with respect to the restricted units (a “Unit Distribution Right” or “UDR”) will be subject to the same forfeiture and other restrictions as the restricted unit. If restricted, UDRs will be held, without interest, until the restricted unit vests or is forfeited, with the UDR being paid or forfeited at the same time, as the case may be. Absent a restriction on UDRs in the applicable Award agreement, UDRs will be paid to the holder of the restricted unit without restriction at the same time as cash distributions are paid by PAA to its Unitholders.</w:t>
      </w:r>
    </w:p>
    <w:p>
      <w:pPr>
        <w:spacing w:after="0" w:line="11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i w:val="1"/>
          <w:iCs w:val="1"/>
          <w:color w:val="auto"/>
        </w:rPr>
        <w:t>Phantom Unit Awards</w:t>
      </w:r>
      <w:r>
        <w:rPr>
          <w:rFonts w:ascii="Arial" w:cs="Arial" w:eastAsia="Arial" w:hAnsi="Arial"/>
          <w:sz w:val="17"/>
          <w:szCs w:val="17"/>
          <w:color w:val="auto"/>
        </w:rPr>
        <w:t>. A phantom unit is a right to receive a common unit or an amount of cash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the fair market value of a common unit if certain conditions set forth in the Award agreement are met. The plan administrator will have the authority to determine the Eligible Persons to whom phantom units will be granted, the number of phantom units to be granted to each Participant, and any other terms and conditions as the plan administrator may establish. Upon vesting of each phantom unit, subject to any applicable federal income tax withholding, the Participant will be entitled to settlement of the phantom unit and shall receive either a common unit or cash equal to the fair market value of a common unit, as determined by the plan administrator in its discretion and provided in the applicable Award agreement. Unless otherwise provided by the plan administrator or set forth in an applicable Award agreement, unvested phantom units will be forfeited upon termination of a Participant’s employment with PAA’s General Partner or its affiliates or membership on the Board, as applicable.</w:t>
      </w:r>
    </w:p>
    <w:p>
      <w:pPr>
        <w:spacing w:after="0" w:line="11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Distribution Equivalent Rights</w:t>
      </w:r>
      <w:r>
        <w:rPr>
          <w:rFonts w:ascii="Arial" w:cs="Arial" w:eastAsia="Arial" w:hAnsi="Arial"/>
          <w:sz w:val="18"/>
          <w:szCs w:val="18"/>
          <w:color w:val="auto"/>
        </w:rPr>
        <w:t>. To the extent provided by the plan administrator in its discretion,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granted under the PAA 2021 Plan (other than a restricted unit Award) may include a contingent right, granted in tandem or otherwise in connection with a specific option, unit appreciation right or phantom unit, to receive cash equal to the amount of any cash distributions made by PAA with respect to a common unit during the period such option, unit appreciation right or phantom unit is outstanding (a “Distribution Equivalent Right” or “DER”). A DER grant may provide that the DER will be paid directly to the Participant, be credited to a bookkeeping account (with or without interest in the discretion of the plan administrator),</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48" w:lineRule="auto"/>
        <w:rPr>
          <w:sz w:val="20"/>
          <w:szCs w:val="20"/>
          <w:color w:val="auto"/>
        </w:rPr>
      </w:pPr>
      <w:r>
        <w:rPr>
          <w:rFonts w:ascii="Arial" w:cs="Arial" w:eastAsia="Arial" w:hAnsi="Arial"/>
          <w:sz w:val="18"/>
          <w:szCs w:val="18"/>
          <w:color w:val="auto"/>
        </w:rPr>
        <w:t>be subject to the same vesting restrictions as the respective Award, or be subject to other provisions or restrictions as determined by the plan administrator in its discretion and provided in the applicable Award agreement.</w:t>
      </w:r>
    </w:p>
    <w:p>
      <w:pPr>
        <w:spacing w:after="0" w:line="101"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 The plan administrator has the authority to determine the Eligible Persons to whom</w:t>
      </w:r>
      <w:r>
        <w:rPr>
          <w:rFonts w:ascii="Arial" w:cs="Arial" w:eastAsia="Arial" w:hAnsi="Arial"/>
          <w:sz w:val="18"/>
          <w:szCs w:val="18"/>
          <w:i w:val="1"/>
          <w:iCs w:val="1"/>
          <w:color w:val="auto"/>
        </w:rPr>
        <w:t xml:space="preserve"> </w:t>
      </w:r>
      <w:r>
        <w:rPr>
          <w:rFonts w:ascii="Arial" w:cs="Arial" w:eastAsia="Arial" w:hAnsi="Arial"/>
          <w:sz w:val="18"/>
          <w:szCs w:val="18"/>
          <w:color w:val="auto"/>
        </w:rPr>
        <w:t>cash Awards may be granted, the amount of cash to be covered by each cash Award, and all terms and conditions applicable to cash Awards, including for purposes of any annual or short-term incentive or other bonus program. Cash Awards may be granted on a free-standing basis or as an element of, as a supplement to, or in lieu of any other Award granted under the PAA 2021 Plan.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5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i w:val="1"/>
          <w:iCs w:val="1"/>
          <w:color w:val="auto"/>
        </w:rPr>
        <w:t xml:space="preserve">Tax Withholding </w:t>
      </w:r>
      <w:r>
        <w:rPr>
          <w:rFonts w:ascii="Arial" w:cs="Arial" w:eastAsia="Arial" w:hAnsi="Arial"/>
          <w:sz w:val="18"/>
          <w:szCs w:val="18"/>
          <w:color w:val="auto"/>
        </w:rPr>
        <w:t>. PAA’s General Partner or one of its affiliates will be authorized to withhold from</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 from any payment due or transfer made under any Award or from any compensation or other amount owing to a Participant, the amount (in cash, common units, other securities or other property) of any applicable taxes payable with respect to the grant of an Award, its exercise, the lapse of restrictions applicable to an Award or in connection with any payment relating to an Award or the transfer of an Award and to take such other actions as may be necessary to satisfy any tax withholding obligations with respect to an Award.</w:t>
      </w:r>
    </w:p>
    <w:p>
      <w:pPr>
        <w:spacing w:after="0" w:line="123"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Except to the extent specifically provided in an Award agreement, vesting of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shall not occur solely upon a change of control.</w:t>
      </w:r>
    </w:p>
    <w:p>
      <w:pPr>
        <w:spacing w:after="0" w:line="90"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i w:val="1"/>
          <w:iCs w:val="1"/>
          <w:color w:val="auto"/>
        </w:rPr>
        <w:t>Minimum Vesting Requirement</w:t>
      </w:r>
      <w:r>
        <w:rPr>
          <w:rFonts w:ascii="Arial" w:cs="Arial" w:eastAsia="Arial" w:hAnsi="Arial"/>
          <w:sz w:val="18"/>
          <w:szCs w:val="18"/>
          <w:color w:val="auto"/>
        </w:rPr>
        <w:t>. The PAA 2021 Plan provides that Awards that must or may be settled</w:t>
      </w:r>
      <w:r>
        <w:rPr>
          <w:rFonts w:ascii="Arial" w:cs="Arial" w:eastAsia="Arial" w:hAnsi="Arial"/>
          <w:sz w:val="18"/>
          <w:szCs w:val="18"/>
          <w:i w:val="1"/>
          <w:iCs w:val="1"/>
          <w:color w:val="auto"/>
        </w:rPr>
        <w:t xml:space="preserve"> </w:t>
      </w:r>
      <w:r>
        <w:rPr>
          <w:rFonts w:ascii="Arial" w:cs="Arial" w:eastAsia="Arial" w:hAnsi="Arial"/>
          <w:sz w:val="18"/>
          <w:szCs w:val="18"/>
          <w:color w:val="auto"/>
        </w:rPr>
        <w:t>in units shall vest no earlier than the first anniversary of the date the Award is granted. Notwithstanding the foregoing, Awards that result in the issuance of an aggregate of up to 5% of the units available for issuance under the PAA 2021 Plan may be granted to one or more Participants without regard to this minimum vesting requirement.</w:t>
      </w:r>
    </w:p>
    <w:p>
      <w:pPr>
        <w:spacing w:after="0" w:line="12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i w:val="1"/>
          <w:iCs w:val="1"/>
          <w:color w:val="auto"/>
        </w:rPr>
        <w:t>Equity Ownership Guidelines</w:t>
      </w:r>
      <w:r>
        <w:rPr>
          <w:rFonts w:ascii="Arial" w:cs="Arial" w:eastAsia="Arial" w:hAnsi="Arial"/>
          <w:sz w:val="18"/>
          <w:szCs w:val="18"/>
          <w:color w:val="auto"/>
        </w:rPr>
        <w:t>. The plan administrator retains the discretion under the PAA 2021 Plan</w:t>
      </w:r>
      <w:r>
        <w:rPr>
          <w:rFonts w:ascii="Arial" w:cs="Arial" w:eastAsia="Arial" w:hAnsi="Arial"/>
          <w:sz w:val="18"/>
          <w:szCs w:val="18"/>
          <w:i w:val="1"/>
          <w:iCs w:val="1"/>
          <w:color w:val="auto"/>
        </w:rPr>
        <w:t xml:space="preserve"> </w:t>
      </w:r>
      <w:r>
        <w:rPr>
          <w:rFonts w:ascii="Arial" w:cs="Arial" w:eastAsia="Arial" w:hAnsi="Arial"/>
          <w:sz w:val="18"/>
          <w:szCs w:val="18"/>
          <w:color w:val="auto"/>
        </w:rPr>
        <w:t>to impose a holding period with respect to an Award or the units received in connection with an Award. Pursuant to the Equity Ownership Guidelines adopted by our Board in November 2020, executive officers and directors will be required to hold 100% of any units acquired upon vesting of Awards until the applicable ownership requirements are met.</w:t>
      </w:r>
    </w:p>
    <w:p>
      <w:pPr>
        <w:spacing w:after="0" w:line="122" w:lineRule="exact"/>
        <w:rPr>
          <w:sz w:val="20"/>
          <w:szCs w:val="20"/>
          <w:color w:val="auto"/>
        </w:rPr>
      </w:pPr>
    </w:p>
    <w:p>
      <w:pPr>
        <w:jc w:val="both"/>
        <w:ind w:left="1260" w:right="439" w:firstLine="360"/>
        <w:spacing w:after="0" w:line="253" w:lineRule="auto"/>
        <w:rPr>
          <w:sz w:val="20"/>
          <w:szCs w:val="20"/>
          <w:color w:val="auto"/>
        </w:rPr>
      </w:pPr>
      <w:r>
        <w:rPr>
          <w:rFonts w:ascii="Arial" w:cs="Arial" w:eastAsia="Arial" w:hAnsi="Arial"/>
          <w:sz w:val="17"/>
          <w:szCs w:val="17"/>
          <w:i w:val="1"/>
          <w:iCs w:val="1"/>
          <w:color w:val="auto"/>
        </w:rPr>
        <w:t>Clawback Policy</w:t>
      </w:r>
      <w:r>
        <w:rPr>
          <w:rFonts w:ascii="Arial" w:cs="Arial" w:eastAsia="Arial" w:hAnsi="Arial"/>
          <w:sz w:val="17"/>
          <w:szCs w:val="17"/>
          <w:color w:val="auto"/>
        </w:rPr>
        <w:t>. The PAA 2021 Plan provides that all Awards granted thereunder are subject to any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clawback policies that PAA may adopt, including any policy adopted to conform to the Dodd-Frank Wall Street Reform and Consumer Protection Act of 2010 and the rules promulgated thereunder. Pursuant to the Clawback Policy adopted by our Board in November 2020, PAA may seek from its executive officers</w:t>
      </w:r>
    </w:p>
    <w:p>
      <w:pPr>
        <w:spacing w:after="0" w:line="2" w:lineRule="exact"/>
        <w:rPr>
          <w:sz w:val="20"/>
          <w:szCs w:val="20"/>
          <w:color w:val="auto"/>
        </w:rPr>
      </w:pPr>
    </w:p>
    <w:p>
      <w:pPr>
        <w:ind w:left="1260" w:right="739"/>
        <w:spacing w:after="0" w:line="254" w:lineRule="auto"/>
        <w:tabs>
          <w:tab w:leader="none" w:pos="1489"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recovery of any excess compensation awarded or paid in the event of fraud or intentional or unlawful conduct that contributes to a material financial restatement that results in over-payment of performance-based compensation, and (ii) recovery or forfeiture of any performance-based compensation or unvested time-based equity awards granted or paid during the three-year period prior to discovery of detrimental conduct that results in significant financial, reputational or other harm to the Company.</w:t>
      </w:r>
    </w:p>
    <w:p>
      <w:pPr>
        <w:spacing w:after="0" w:line="97"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Options and unit appreciation rights are only exercisable by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Participant’s lifetime, or by the person to whom the Participant’s rights pass by will or the laws of descent and distribution. No Award or right granted under the PAA 2021 Plan may be assigned, alienated, pledged, attached, sold or otherwise transferred or encumbered and any such purported transfer shall be void and unenforceable. Notwithstanding the foregoing, the plan administrator may, in its discretion, allow a Participant to transfer an option or a unit appreciation right without consideration to an immediate family member or a related family trust, limited partnership, or similar entity on the terms and conditions established by the plan administrator from time to time, provided that no Award may be transferred to a third-party financial institution for value.</w:t>
      </w:r>
    </w:p>
    <w:p>
      <w:pPr>
        <w:spacing w:after="0" w:line="124" w:lineRule="exact"/>
        <w:rPr>
          <w:sz w:val="20"/>
          <w:szCs w:val="20"/>
          <w:color w:val="auto"/>
        </w:rPr>
      </w:pPr>
    </w:p>
    <w:p>
      <w:pPr>
        <w:jc w:val="both"/>
        <w:ind w:left="1260" w:right="499" w:firstLine="360"/>
        <w:spacing w:after="0" w:line="262" w:lineRule="auto"/>
        <w:rPr>
          <w:sz w:val="20"/>
          <w:szCs w:val="20"/>
          <w:color w:val="auto"/>
        </w:rPr>
      </w:pPr>
      <w:r>
        <w:rPr>
          <w:rFonts w:ascii="Arial" w:cs="Arial" w:eastAsia="Arial" w:hAnsi="Arial"/>
          <w:sz w:val="17"/>
          <w:szCs w:val="17"/>
          <w:i w:val="1"/>
          <w:iCs w:val="1"/>
          <w:color w:val="auto"/>
        </w:rPr>
        <w:t>Anti-Dilution Adjustments</w:t>
      </w:r>
      <w:r>
        <w:rPr>
          <w:rFonts w:ascii="Arial" w:cs="Arial" w:eastAsia="Arial" w:hAnsi="Arial"/>
          <w:sz w:val="17"/>
          <w:szCs w:val="17"/>
          <w:color w:val="auto"/>
        </w:rPr>
        <w:t>. Upon the occurrence of any “equity restructuring” event that could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 an additional compensation expense under Financial Accounting Standards Board Accounting Standards Codification Topic 718 (“FASB ASC Topic 718”) if adjustments to Awards with respect to such event were discretionary, the plan administrator will equitably adjust the number and type of common units covered by</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4" w:lineRule="auto"/>
        <w:rPr>
          <w:sz w:val="20"/>
          <w:szCs w:val="20"/>
          <w:color w:val="auto"/>
        </w:rPr>
      </w:pPr>
      <w:r>
        <w:rPr>
          <w:rFonts w:ascii="Arial" w:cs="Arial" w:eastAsia="Arial" w:hAnsi="Arial"/>
          <w:sz w:val="17"/>
          <w:szCs w:val="17"/>
          <w:color w:val="auto"/>
        </w:rPr>
        <w:t>each outstanding Award and the terms and conditions of such Award to equitably reflect the restructuring event, and the plan administrator will adjust the number and type of common units with respect to which future Awards may be granted under the PAA 2021 Plan. Upon the occurrence of a similar event that would not result in a FASB ASC Topic 718 accounting charge if adjustments to Awards were discretionary, the plan administrator shall have complete discretion to adjust Awards in the manner it deems appropriate. In the event the plan administrator makes any such adjustments, a corresponding and proportionate adjustment shall be made with respect to the maximum number of common units available under the PAA 2021 Plan and the kind of units or other securities available for grant under the PAA 2021 Plan.</w:t>
      </w:r>
    </w:p>
    <w:p>
      <w:pPr>
        <w:spacing w:after="0" w:line="10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Board or plan administrator may terminate or amend the PAA 2021 Plan or any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PAA 2021 Plan at any time in any manner, including increasing the number of common units that may be granted, subject to the requirements of the securities exchange upon which the common units are listed at that time and of applicable tax and securities laws. The plan administrator may also waive any conditions or rights under, amend the terms of or alter any outstanding Award as long as no such change would materially reduce the rights or benefits of a Participant without the consent of the Participant or cause the PAA 2021 Plan or such Award to fail to comply with the requirements of Section 409A of the Internal Revenue Code of 1986, as amended (the “Code”).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Income Tax Consequences</w:t>
      </w:r>
    </w:p>
    <w:p>
      <w:pPr>
        <w:spacing w:after="0" w:line="16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following discussion is for general information only and is intended to summarize briefly the United States federal tax consequences to Participants arising from participation in the PAA 2021 Plan. This description is based on current law, which is subject to change (possibly retroactively). The tax treatment of Participants in the PAA 2021 Plan may vary depending on the particular situation and may, therefore, be subject to special rules not discussed below. No attempt has been made to discuss any potential foreign, state, or local tax consequences. In addition, options or unit appreciation rights, phantom units and certain other Awards that provide for a “deferral of compensation” within the meaning of Section 409A of the Code that may be granted pursuant to the PAA 2021 Plan could be subject to additional taxes unless they are designed to comply with certain restrictions set forth in Section 409A of the Code and the guidance promulgated thereunder.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Options; Unit Appreciation Rights</w:t>
      </w:r>
    </w:p>
    <w:p>
      <w:pPr>
        <w:spacing w:after="0" w:line="15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 xml:space="preserve">Participants will generally not realize taxable income upon the grant of an option or a unit appreciation right. Upon the exercise or, if later, the settlement of an option or a unit appreciation right, a Participant will recognize ordinary compensation income (subject to withholding) in an amount equal to the excess of (i) the amount of cash or the fair market value of the common units received, over (ii) the exercise price (if any) paid therefor. A Participant will generally have a tax basis in any common units received pursuant to the exercise of a unit appreciation right, or pursuant to the cash exercise of an option, that equals the fair market value of the common units on the date of exercise. Subject to the discussion under “— </w:t>
      </w:r>
      <w:r>
        <w:rPr>
          <w:rFonts w:ascii="Arial" w:cs="Arial" w:eastAsia="Arial" w:hAnsi="Arial"/>
          <w:sz w:val="18"/>
          <w:szCs w:val="18"/>
          <w:i w:val="1"/>
          <w:iCs w:val="1"/>
          <w:color w:val="auto"/>
        </w:rPr>
        <w:t>Tax Code Limitations</w:t>
      </w:r>
      <w:r>
        <w:rPr>
          <w:rFonts w:ascii="Arial" w:cs="Arial" w:eastAsia="Arial" w:hAnsi="Arial"/>
          <w:sz w:val="18"/>
          <w:szCs w:val="18"/>
          <w:color w:val="auto"/>
        </w:rPr>
        <w:t xml:space="preserve"> </w:t>
      </w:r>
      <w:r>
        <w:rPr>
          <w:rFonts w:ascii="Arial" w:cs="Arial" w:eastAsia="Arial" w:hAnsi="Arial"/>
          <w:sz w:val="18"/>
          <w:szCs w:val="18"/>
          <w:i w:val="1"/>
          <w:iCs w:val="1"/>
          <w:color w:val="auto"/>
        </w:rPr>
        <w:t>on Deductibility</w:t>
      </w:r>
      <w:r>
        <w:rPr>
          <w:rFonts w:ascii="Arial" w:cs="Arial" w:eastAsia="Arial" w:hAnsi="Arial"/>
          <w:sz w:val="18"/>
          <w:szCs w:val="18"/>
          <w:color w:val="auto"/>
        </w:rPr>
        <w:t>” below, PAA or one of its affiliates will be entitled to a deduction for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that corresponds as to timing and amount with the compensation income recognized by a Participant under the foregoing rules.</w:t>
      </w:r>
    </w:p>
    <w:p>
      <w:pPr>
        <w:spacing w:after="0" w:line="107"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When a Participant sells the common units acquired as a result of the exercise of an option or unit appreciation right, any appreciation (or depreciation) in the value of the common units after the exercise date is treated as long- or short-term capital gain (or loss) for federal income tax purposes, depending on the holding period. The common units must be held for more than 12 months in order to qualify for long-term capital gain treatment.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Phantom Unit Awards; Restricted Unit Awards; Cash Awards</w:t>
      </w:r>
    </w:p>
    <w:p>
      <w:pPr>
        <w:spacing w:after="0" w:line="15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A Participant will generally not have taxable income at the time of the grant of a phantom unit Award, but rather, will generally recognize ordinary compensation income at the time such Participant receives common units or a cash payment in satisfaction of the phantom unit Award in an amount equal to the fair market value of the common units received or the cash payment, whichever is applicable. In addition, the Participant will be subject to ordinary income tax upon the payment of a DER. In general, a Participant will recognize ordinary compensation income as a result of the receipt of common units pursuant to a</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restricted unit Award in an amount equal to the fair market value of the common units when the</w:t>
      </w:r>
    </w:p>
    <w:p>
      <w:pPr>
        <w:spacing w:after="0" w:line="23"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common units are received over the amount, if any, paid for such units, provided, that if the common units are not transferable or are subject to a substantial risk of forfeiture when received, the Participant will recognize ordinary compensation income in an amount equal to such excess based on the fair market value of common units (i) when the common units first become transferable or are no longer subject to a substantial risk of forfeiture, in cases where a Participant does not make a valid election under Section 83(b) of the Code, or (ii) when the common units are received, in cases where a Participant makes a valid election under Section 83(b) of the Code. A Participant will recognize ordinary compensation income upon receipt of cash pursuant to a cash award or, if earlier, at the time the cash is otherwise made available for the participant to draw upon.</w:t>
      </w:r>
    </w:p>
    <w:p>
      <w:pPr>
        <w:spacing w:after="0" w:line="116"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A Participant who is an employee will be subject to withholding for federal, and generally for state and local, income taxes at the time such Participant recognizes income under the rules described above with respect to common units or cash received. Directors must make their own arrangements for satisfying any tax obligations they may incur in connection with the receipt of an Award under the PAA 2021 Plan. Distributions that are received by a Participant prior to the time that the common units are taxed to the Participant under the rules described in the preceding paragraph are taxed as additional compensation, not as distributions on common units. The tax basis in the common units received by a Participant will equal the amount recognized by such Participant as compensation income under the rules described in the preceding paragraph plus the amount, if any, paid for the common units, and the Participant’s capital gains holding period in those common units will commence on the later of the date the common units are received or the restrictions lapse (provided that, if a valid election under Section 83(b) of the Code is made with respect to restricted units, then the holding period in such units will begin on the date of receipt of the units).</w:t>
      </w:r>
    </w:p>
    <w:p>
      <w:pPr>
        <w:spacing w:after="0" w:line="111"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Subject to the discussion immediately below, PAA or one of its affiliates will be entitled to a deduction for federal income tax purposes that corresponds as to timing and amount with the compensation income recognized by a Participant under the foregoing rules.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Code Limitations on Deductibility</w:t>
      </w:r>
    </w:p>
    <w:p>
      <w:pPr>
        <w:spacing w:after="0" w:line="158"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color w:val="auto"/>
        </w:rPr>
        <w:t>In order for the amounts described above to be deductible by PAA or one of its affiliates, the amounts must constitute reasonable compensation for services rendered or to be rendered and must be ordinary and necessary business expenses.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Plan Benefits</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future Awards, if any, that will be made to Eligible Persons under the PAA 2021 Plan are subject to the discretion of the Board and the plan administrator, and thus we cannot currently determine the benefits or number of units subject to awards that may be granted to Participants in the future under the PAA 2021 Plan. Therefore, the New Plan Benefits Table is not provided.</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Recommendation</w:t>
      </w:r>
    </w:p>
    <w:p>
      <w:pPr>
        <w:spacing w:after="0" w:line="162"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The Board believes that approval of the PAA 2021 Plan is in the best interests of PAGP and its Class A and Class B Shareholders. For the reasons stated above, such Shareholders are being asked to instruct AAP to vote FOR approval of this Proposal at the PAA Annual Meeting.</w:t>
      </w:r>
    </w:p>
    <w:p>
      <w:pPr>
        <w:spacing w:after="0" w:line="18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OTHER MATTERS FOR THE PAGP ANNUAL MEETING</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We know of no matters to be acted upon at the Annual Meeting other than the proposals included in the accompanying notice and described in this proxy statement. If any other matter requiring a vote of Shareholders arises, including a question of adjourning the Annual Meeting, the persons named as proxies in the proxy card will have the discretion to vote thereon according to their best judgment of what they consider to be in the best interests of PAGP. The proxy card confers discretionary authority to take action with respect to any additional matters that may come before the meeting or any adjournment thereof.</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SHAREHOLDER PROPOSALS FOR THE 2022 ANNUAL MEETING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148"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Pursuant to Section 13.4(c)(ii) of our partnership agreement, any eligible Shareholder who owns 10% or more of our outstanding Class A, Class B and Class C shares, taken together as a single class, is entitled to nominate one person for election as an Eligible Director. Eligible Shareholders who wish to submit a director nomination for our 2022 annual meeting must deliver written notice thereof to our principal executive offices in care of the Corporate Secretary by mail to 333 Clay Street, Suite 1600, Houston, Texas 77002 no later than the close of business on February 18, 2022, nor earlier than the close of business on January 19, 2022. In the event that the date of the 2022 annual meeting is changed by more than 30 days before or more than 60 days after the one-year anniversary of the 2021 annual meeting, Shareholder notice of a director nomination must be received no earlier than the close of business on the 120th day prior to the 2022 annual meeting and not later than the close of business on the date that is the later of the (i) 90th day prior to the 2022 annual meeting or (ii) if the first public announcement of the 2022 annual meeting is less than 100 days prior to such meeting, the 10th day following the day on which public announcement of the date of the 2022 annual meeting is first made.</w:t>
      </w:r>
    </w:p>
    <w:p>
      <w:pPr>
        <w:spacing w:after="0" w:line="11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written notice must comply with the procedures set forth in Section 13.4(c)(ii) of our partnership agreement, including the informational requirements included in Section 13.4(c)(ii)(A)(3). We will not entertain any nomination at the annual meeting that does not meet the requirements set forth in our partnership agreement. Our partnership agreement is filed as Exhibit 3.2 to our Current Report on Form 8-K filed on November 21, 2016.</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 Proposals</w:t>
      </w:r>
    </w:p>
    <w:p>
      <w:pPr>
        <w:spacing w:after="0" w:line="162"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Any Shareholder who, in accordance with Rule 14a-8 under the Exchange Act, wishes to submit a proposal for inclusion in our proxy statement for the 2022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December 13, 2021, to be considered timely. SEC rules set forth standards as to what proposals are required to be included in a proxy statement for a meeting. In no event are Shareholders allowed to vote on matters that would cause the Shareholders to be deemed to take part in the management and control of our business and affairs so as to jeopardize such Shareholder’s limited liability under the Delaware limited partnership act or the law of any other state in which we are qualified to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HOUSEHOLDING MATTERS</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some cases, Shareholders who share a single address will receive only one annual report and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our annual report or proxy statement or future annual reports or proxy statements (as applicable), he or she may contact our Corporate Secretary at (713) 646-4100, or write to Plains GP Holdings, L.P., 333 Clay Street, Suite 1600, Houston, Texas 77002, attention: Corporate Secretary. We will deliver separate copies of our annual report or proxy statement promptly upon written or oral request. If you are a Shareholder of record receiving multiple copies of our annual report or proxy statement, you can request householding by contacting us in the same manner. If you own your Shares through a bank, broker or other Shareholder of record, you can request additional copies of the annual report or proxy statement or request householding by contacting the Shareholder of record (i.e.,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PLAINS ALL AMERICAN</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2021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7462520</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
        </w:trPr>
        <w:tc>
          <w:tcPr>
            <w:tcW w:w="8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63"/>
        </w:trPr>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r>
        <w:trPr>
          <w:trHeight w:val="162"/>
        </w:trPr>
        <w:tc>
          <w:tcPr>
            <w:tcW w:w="800" w:type="dxa"/>
            <w:vAlign w:val="bottom"/>
            <w:tcBorders>
              <w:bottom w:val="single" w:sz="8" w:color="0000EE"/>
            </w:tcBorders>
          </w:tcPr>
          <w:p>
            <w:pPr>
              <w:spacing w:after="0" w:line="162" w:lineRule="exact"/>
              <w:rPr>
                <w:rFonts w:ascii="Arial" w:cs="Arial" w:eastAsia="Arial" w:hAnsi="Arial"/>
                <w:sz w:val="18"/>
                <w:szCs w:val="18"/>
                <w:color w:val="0000EE"/>
                <w:w w:val="97"/>
              </w:rPr>
            </w:pPr>
            <w:hyperlink w:anchor="page89">
              <w:r>
                <w:rPr>
                  <w:rFonts w:ascii="Arial" w:cs="Arial" w:eastAsia="Arial" w:hAnsi="Arial"/>
                  <w:sz w:val="18"/>
                  <w:szCs w:val="18"/>
                  <w:color w:val="0000EE"/>
                  <w:w w:val="97"/>
                </w:rPr>
                <w:t>Section 1.</w:t>
              </w:r>
            </w:hyperlink>
          </w:p>
        </w:tc>
        <w:tc>
          <w:tcPr>
            <w:tcW w:w="460" w:type="dxa"/>
            <w:vAlign w:val="bottom"/>
          </w:tcPr>
          <w:p>
            <w:pPr>
              <w:spacing w:after="0"/>
              <w:rPr>
                <w:sz w:val="14"/>
                <w:szCs w:val="14"/>
                <w:color w:val="auto"/>
              </w:rPr>
            </w:pPr>
          </w:p>
        </w:tc>
        <w:tc>
          <w:tcPr>
            <w:tcW w:w="2340" w:type="dxa"/>
            <w:vAlign w:val="bottom"/>
            <w:tcBorders>
              <w:bottom w:val="single" w:sz="8" w:color="0000EE"/>
            </w:tcBorders>
            <w:gridSpan w:val="9"/>
          </w:tcPr>
          <w:p>
            <w:pPr>
              <w:spacing w:after="0" w:line="162"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Purpose of the Plan; Prior Plan</w:t>
              </w:r>
            </w:hyperlink>
          </w:p>
        </w:tc>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0000EE"/>
            </w:tcBorders>
          </w:tcPr>
          <w:p>
            <w:pPr>
              <w:jc w:val="right"/>
              <w:spacing w:after="0" w:line="162"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A-1</w:t>
              </w:r>
            </w:hyperlink>
          </w:p>
        </w:tc>
      </w:tr>
      <w:tr>
        <w:trPr>
          <w:trHeight w:val="210"/>
        </w:trPr>
        <w:tc>
          <w:tcPr>
            <w:tcW w:w="800" w:type="dxa"/>
            <w:vAlign w:val="bottom"/>
            <w:shd w:val="clear" w:color="auto" w:fill="CCEEFF"/>
          </w:tcPr>
          <w:p>
            <w:pPr>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Section 2.</w:t>
              </w:r>
            </w:hyperlink>
          </w:p>
        </w:tc>
        <w:tc>
          <w:tcPr>
            <w:tcW w:w="460" w:type="dxa"/>
            <w:vAlign w:val="bottom"/>
            <w:shd w:val="clear" w:color="auto" w:fill="CCEEFF"/>
          </w:tcPr>
          <w:p>
            <w:pPr>
              <w:spacing w:after="0"/>
              <w:rPr>
                <w:sz w:val="18"/>
                <w:szCs w:val="18"/>
                <w:color w:val="auto"/>
              </w:rPr>
            </w:pPr>
          </w:p>
        </w:tc>
        <w:tc>
          <w:tcPr>
            <w:tcW w:w="6540" w:type="dxa"/>
            <w:vAlign w:val="bottom"/>
            <w:gridSpan w:val="10"/>
            <w:shd w:val="clear" w:color="auto" w:fill="CCEEFF"/>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Definitions</w:t>
              </w:r>
            </w:hyperlink>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A-1</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800" w:type="dxa"/>
            <w:vAlign w:val="bottom"/>
          </w:tcPr>
          <w:p>
            <w:pPr>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Section 3.</w:t>
              </w:r>
            </w:hyperlink>
          </w:p>
        </w:tc>
        <w:tc>
          <w:tcPr>
            <w:tcW w:w="460" w:type="dxa"/>
            <w:vAlign w:val="bottom"/>
          </w:tcPr>
          <w:p>
            <w:pPr>
              <w:spacing w:after="0"/>
              <w:rPr>
                <w:sz w:val="18"/>
                <w:szCs w:val="18"/>
                <w:color w:val="auto"/>
              </w:rPr>
            </w:pPr>
          </w:p>
        </w:tc>
        <w:tc>
          <w:tcPr>
            <w:tcW w:w="6540" w:type="dxa"/>
            <w:vAlign w:val="bottom"/>
            <w:gridSpan w:val="1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Administration</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A-3</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r>
      <w:tr>
        <w:trPr>
          <w:trHeight w:val="216"/>
        </w:trPr>
        <w:tc>
          <w:tcPr>
            <w:tcW w:w="800" w:type="dxa"/>
            <w:vAlign w:val="bottom"/>
            <w:shd w:val="clear" w:color="auto" w:fill="CCEEFF"/>
          </w:tcPr>
          <w:p>
            <w:pPr>
              <w:spacing w:after="0"/>
              <w:rPr>
                <w:rFonts w:ascii="Arial" w:cs="Arial" w:eastAsia="Arial" w:hAnsi="Arial"/>
                <w:sz w:val="18"/>
                <w:szCs w:val="18"/>
                <w:color w:val="0000EE"/>
                <w:w w:val="97"/>
              </w:rPr>
            </w:pPr>
            <w:hyperlink w:anchor="page92">
              <w:r>
                <w:rPr>
                  <w:rFonts w:ascii="Arial" w:cs="Arial" w:eastAsia="Arial" w:hAnsi="Arial"/>
                  <w:sz w:val="18"/>
                  <w:szCs w:val="18"/>
                  <w:color w:val="0000EE"/>
                  <w:w w:val="97"/>
                </w:rPr>
                <w:t>Section 4.</w:t>
              </w:r>
            </w:hyperlink>
          </w:p>
        </w:tc>
        <w:tc>
          <w:tcPr>
            <w:tcW w:w="460" w:type="dxa"/>
            <w:vAlign w:val="bottom"/>
            <w:shd w:val="clear" w:color="auto" w:fill="CCEEFF"/>
          </w:tcPr>
          <w:p>
            <w:pPr>
              <w:spacing w:after="0"/>
              <w:rPr>
                <w:sz w:val="18"/>
                <w:szCs w:val="18"/>
                <w:color w:val="auto"/>
              </w:rPr>
            </w:pPr>
          </w:p>
        </w:tc>
        <w:tc>
          <w:tcPr>
            <w:tcW w:w="6540" w:type="dxa"/>
            <w:vAlign w:val="bottom"/>
            <w:gridSpan w:val="10"/>
            <w:shd w:val="clear" w:color="auto" w:fill="CCEEFF"/>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Units</w:t>
              </w:r>
            </w:hyperlink>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A-4</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800" w:type="dxa"/>
            <w:vAlign w:val="bottom"/>
          </w:tcPr>
          <w:p>
            <w:pPr>
              <w:spacing w:after="0"/>
              <w:rPr>
                <w:rFonts w:ascii="Arial" w:cs="Arial" w:eastAsia="Arial" w:hAnsi="Arial"/>
                <w:sz w:val="18"/>
                <w:szCs w:val="18"/>
                <w:color w:val="0000EE"/>
                <w:w w:val="97"/>
              </w:rPr>
            </w:pPr>
            <w:hyperlink w:anchor="page93">
              <w:r>
                <w:rPr>
                  <w:rFonts w:ascii="Arial" w:cs="Arial" w:eastAsia="Arial" w:hAnsi="Arial"/>
                  <w:sz w:val="18"/>
                  <w:szCs w:val="18"/>
                  <w:color w:val="0000EE"/>
                  <w:w w:val="97"/>
                </w:rPr>
                <w:t>Section 5.</w:t>
              </w:r>
            </w:hyperlink>
          </w:p>
        </w:tc>
        <w:tc>
          <w:tcPr>
            <w:tcW w:w="460" w:type="dxa"/>
            <w:vAlign w:val="bottom"/>
          </w:tcPr>
          <w:p>
            <w:pPr>
              <w:spacing w:after="0"/>
              <w:rPr>
                <w:sz w:val="18"/>
                <w:szCs w:val="18"/>
                <w:color w:val="auto"/>
              </w:rPr>
            </w:pPr>
          </w:p>
        </w:tc>
        <w:tc>
          <w:tcPr>
            <w:tcW w:w="6540" w:type="dxa"/>
            <w:vAlign w:val="bottom"/>
            <w:gridSpan w:val="1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Eligibility; Award Limitations</w:t>
              </w:r>
            </w:hyperlink>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A-5</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r>
      <w:tr>
        <w:trPr>
          <w:trHeight w:val="216"/>
        </w:trPr>
        <w:tc>
          <w:tcPr>
            <w:tcW w:w="800" w:type="dxa"/>
            <w:vAlign w:val="bottom"/>
            <w:shd w:val="clear" w:color="auto" w:fill="CCEEFF"/>
          </w:tcPr>
          <w:p>
            <w:pPr>
              <w:spacing w:after="0"/>
              <w:rPr>
                <w:rFonts w:ascii="Arial" w:cs="Arial" w:eastAsia="Arial" w:hAnsi="Arial"/>
                <w:sz w:val="18"/>
                <w:szCs w:val="18"/>
                <w:color w:val="0000EE"/>
                <w:w w:val="97"/>
              </w:rPr>
            </w:pPr>
            <w:hyperlink w:anchor="page94">
              <w:r>
                <w:rPr>
                  <w:rFonts w:ascii="Arial" w:cs="Arial" w:eastAsia="Arial" w:hAnsi="Arial"/>
                  <w:sz w:val="18"/>
                  <w:szCs w:val="18"/>
                  <w:color w:val="0000EE"/>
                  <w:w w:val="97"/>
                </w:rPr>
                <w:t>Section 6.</w:t>
              </w:r>
            </w:hyperlink>
          </w:p>
        </w:tc>
        <w:tc>
          <w:tcPr>
            <w:tcW w:w="460" w:type="dxa"/>
            <w:vAlign w:val="bottom"/>
            <w:shd w:val="clear" w:color="auto" w:fill="CCEEFF"/>
          </w:tcPr>
          <w:p>
            <w:pPr>
              <w:spacing w:after="0"/>
              <w:rPr>
                <w:sz w:val="18"/>
                <w:szCs w:val="18"/>
                <w:color w:val="auto"/>
              </w:rPr>
            </w:pPr>
          </w:p>
        </w:tc>
        <w:tc>
          <w:tcPr>
            <w:tcW w:w="6540" w:type="dxa"/>
            <w:vAlign w:val="bottom"/>
            <w:gridSpan w:val="10"/>
            <w:shd w:val="clear" w:color="auto" w:fill="CCEEFF"/>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Awards</w:t>
              </w:r>
            </w:hyperlink>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A-6</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800" w:type="dxa"/>
            <w:vAlign w:val="bottom"/>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Section 7.</w:t>
              </w:r>
            </w:hyperlink>
          </w:p>
        </w:tc>
        <w:tc>
          <w:tcPr>
            <w:tcW w:w="460" w:type="dxa"/>
            <w:vAlign w:val="bottom"/>
          </w:tcPr>
          <w:p>
            <w:pPr>
              <w:spacing w:after="0"/>
              <w:rPr>
                <w:sz w:val="19"/>
                <w:szCs w:val="19"/>
                <w:color w:val="auto"/>
              </w:rPr>
            </w:pPr>
          </w:p>
        </w:tc>
        <w:tc>
          <w:tcPr>
            <w:tcW w:w="6540" w:type="dxa"/>
            <w:vAlign w:val="bottom"/>
            <w:gridSpan w:val="1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Amendment and Termination</w:t>
              </w:r>
            </w:hyperlink>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A-9</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r>
      <w:tr>
        <w:trPr>
          <w:trHeight w:val="250"/>
        </w:trPr>
        <w:tc>
          <w:tcPr>
            <w:tcW w:w="800" w:type="dxa"/>
            <w:vAlign w:val="bottom"/>
            <w:tcBorders>
              <w:bottom w:val="single" w:sz="8" w:color="0000EE"/>
            </w:tcBorders>
            <w:shd w:val="clear" w:color="auto" w:fill="CCEEFF"/>
          </w:tcPr>
          <w:p>
            <w:pPr>
              <w:spacing w:after="0"/>
              <w:rPr>
                <w:rFonts w:ascii="Arial" w:cs="Arial" w:eastAsia="Arial" w:hAnsi="Arial"/>
                <w:sz w:val="18"/>
                <w:szCs w:val="18"/>
                <w:color w:val="0000EE"/>
                <w:w w:val="97"/>
              </w:rPr>
            </w:pPr>
            <w:hyperlink w:anchor="page98">
              <w:r>
                <w:rPr>
                  <w:rFonts w:ascii="Arial" w:cs="Arial" w:eastAsia="Arial" w:hAnsi="Arial"/>
                  <w:sz w:val="18"/>
                  <w:szCs w:val="18"/>
                  <w:color w:val="0000EE"/>
                  <w:w w:val="97"/>
                </w:rPr>
                <w:t>Section 8.</w:t>
              </w:r>
            </w:hyperlink>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General Provisions</w:t>
              </w:r>
            </w:hyperlink>
          </w:p>
        </w:tc>
        <w:tc>
          <w:tcPr>
            <w:tcW w:w="5100" w:type="dxa"/>
            <w:vAlign w:val="bottom"/>
            <w:tcBorders>
              <w:bottom w:val="single" w:sz="8" w:color="CCEEFF"/>
            </w:tcBorders>
            <w:gridSpan w:val="4"/>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A-10</w:t>
              </w:r>
            </w:hyperlink>
          </w:p>
        </w:tc>
      </w:tr>
      <w:tr>
        <w:trPr>
          <w:trHeight w:val="230"/>
        </w:trPr>
        <w:tc>
          <w:tcPr>
            <w:tcW w:w="800" w:type="dxa"/>
            <w:vAlign w:val="bottom"/>
            <w:tcBorders>
              <w:bottom w:val="single" w:sz="8" w:color="0000EE"/>
            </w:tcBorders>
          </w:tcPr>
          <w:p>
            <w:pPr>
              <w:spacing w:after="0"/>
              <w:rPr>
                <w:rFonts w:ascii="Arial" w:cs="Arial" w:eastAsia="Arial" w:hAnsi="Arial"/>
                <w:sz w:val="18"/>
                <w:szCs w:val="18"/>
                <w:color w:val="0000EE"/>
                <w:w w:val="97"/>
              </w:rPr>
            </w:pPr>
            <w:hyperlink w:anchor="page100">
              <w:r>
                <w:rPr>
                  <w:rFonts w:ascii="Arial" w:cs="Arial" w:eastAsia="Arial" w:hAnsi="Arial"/>
                  <w:sz w:val="18"/>
                  <w:szCs w:val="18"/>
                  <w:color w:val="0000EE"/>
                  <w:w w:val="97"/>
                </w:rPr>
                <w:t>Section 9.</w:t>
              </w:r>
            </w:hyperlink>
          </w:p>
        </w:tc>
        <w:tc>
          <w:tcPr>
            <w:tcW w:w="460" w:type="dxa"/>
            <w:vAlign w:val="bottom"/>
          </w:tcPr>
          <w:p>
            <w:pPr>
              <w:spacing w:after="0"/>
              <w:rPr>
                <w:sz w:val="19"/>
                <w:szCs w:val="19"/>
                <w:color w:val="auto"/>
              </w:rPr>
            </w:pPr>
          </w:p>
        </w:tc>
        <w:tc>
          <w:tcPr>
            <w:tcW w:w="12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Term of the Plan</w:t>
              </w:r>
            </w:hyperlink>
          </w:p>
        </w:tc>
        <w:tc>
          <w:tcPr>
            <w:tcW w:w="528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0000EE"/>
            </w:tcBorders>
            <w:gridSpan w:val="2"/>
          </w:tcPr>
          <w:p>
            <w:pPr>
              <w:jc w:val="right"/>
              <w:spacing w:after="0"/>
              <w:rPr>
                <w:rFonts w:ascii="Arial" w:cs="Arial" w:eastAsia="Arial" w:hAnsi="Arial"/>
                <w:sz w:val="18"/>
                <w:szCs w:val="18"/>
                <w:color w:val="0000EE"/>
                <w:w w:val="94"/>
              </w:rPr>
            </w:pPr>
            <w:hyperlink w:anchor="page100">
              <w:r>
                <w:rPr>
                  <w:rFonts w:ascii="Arial" w:cs="Arial" w:eastAsia="Arial" w:hAnsi="Arial"/>
                  <w:sz w:val="18"/>
                  <w:szCs w:val="18"/>
                  <w:color w:val="0000EE"/>
                  <w:w w:val="94"/>
                </w:rPr>
                <w:t>A-12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-1602105</wp:posOffset>
            </wp:positionV>
            <wp:extent cx="49549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21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b w:val="1"/>
          <w:bCs w:val="1"/>
          <w:u w:val="single" w:color="auto"/>
          <w:color w:val="auto"/>
        </w:rPr>
        <w:t>Purpose of the Plan; Prior Plan</w:t>
      </w:r>
      <w:r>
        <w:rPr>
          <w:rFonts w:ascii="Arial" w:cs="Arial" w:eastAsia="Arial" w:hAnsi="Arial"/>
          <w:sz w:val="15"/>
          <w:szCs w:val="15"/>
          <w:color w:val="auto"/>
        </w:rPr>
        <w:t>.</w:t>
      </w:r>
    </w:p>
    <w:p>
      <w:pPr>
        <w:spacing w:after="0" w:line="135" w:lineRule="exact"/>
        <w:rPr>
          <w:sz w:val="20"/>
          <w:szCs w:val="20"/>
          <w:color w:val="auto"/>
        </w:rPr>
      </w:pPr>
    </w:p>
    <w:p>
      <w:pPr>
        <w:ind w:left="1620" w:right="439" w:firstLine="360"/>
        <w:spacing w:after="0" w:line="252" w:lineRule="auto"/>
        <w:tabs>
          <w:tab w:leader="none" w:pos="2284"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Purpose of the Plan</w:t>
      </w:r>
      <w:r>
        <w:rPr>
          <w:rFonts w:ascii="Arial" w:cs="Arial" w:eastAsia="Arial" w:hAnsi="Arial"/>
          <w:sz w:val="17"/>
          <w:szCs w:val="17"/>
          <w:color w:val="auto"/>
        </w:rPr>
        <w:t>. The Plains All American 2021 Long-Term Incentive Plan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restated or otherwise modified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has been adopted by PAA GP Holdings LLC, a Delaware limited liability company, the general partner of Plains GP Holdings, L.P., a Delaware limited partnership, the sole member of Plains All American GP LLC, a Delaware limited liability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general partner of Plains AAP, L.P., the sole member of PAA GP LLC, which is the general partner of Plains All American Pipeline, L.P., a Delaware limited partnership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and is intended to align the interests of the employees and directors of the Company and its Affiliates with those of the Partnership’s unitholders by providing such employees and directors incentive compensation awards that reward achievement of targeted performance levels and other business objectives. The Plan is also intended to enhance the ability of the Company, the Partnership and their Affiliates to attract the services of individuals who are essential for the growth and profitability of the Partnership and to encourage such individuals to devote their best efforts to advancing the business of the Partnership and its Affiliates.</w:t>
      </w:r>
    </w:p>
    <w:p>
      <w:pPr>
        <w:spacing w:after="0" w:line="85" w:lineRule="exact"/>
        <w:rPr>
          <w:rFonts w:ascii="Arial" w:cs="Arial" w:eastAsia="Arial" w:hAnsi="Arial"/>
          <w:sz w:val="17"/>
          <w:szCs w:val="17"/>
          <w:color w:val="auto"/>
        </w:rPr>
      </w:pPr>
    </w:p>
    <w:p>
      <w:pPr>
        <w:ind w:left="1620" w:right="419" w:firstLine="360"/>
        <w:spacing w:after="0" w:line="243" w:lineRule="auto"/>
        <w:tabs>
          <w:tab w:leader="none" w:pos="2294"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Prior Plan</w:t>
      </w:r>
      <w:r>
        <w:rPr>
          <w:rFonts w:ascii="Arial" w:cs="Arial" w:eastAsia="Arial" w:hAnsi="Arial"/>
          <w:sz w:val="18"/>
          <w:szCs w:val="18"/>
          <w:color w:val="auto"/>
        </w:rPr>
        <w:t>. The Plan as set forth herein constitutes an amendment, restatement and renaming,</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as of the Effective Date, of the Plains All American 2013 Long-Term Incentive Plan, as amended (the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As of the Effective Date, the Plan shall supersede and replace in its entirety the Prior Plan.</w:t>
      </w:r>
    </w:p>
    <w:p>
      <w:pPr>
        <w:spacing w:after="0" w:line="103"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As used in the Plan, the following terms shall have the meanings set forth below:</w:t>
      </w:r>
    </w:p>
    <w:p>
      <w:pPr>
        <w:spacing w:after="0" w:line="135" w:lineRule="exact"/>
        <w:rPr>
          <w:sz w:val="20"/>
          <w:szCs w:val="20"/>
          <w:color w:val="auto"/>
        </w:rPr>
      </w:pPr>
    </w:p>
    <w:p>
      <w:pPr>
        <w:ind w:left="1620" w:right="619" w:firstLine="360"/>
        <w:spacing w:after="0" w:line="241" w:lineRule="auto"/>
        <w:tabs>
          <w:tab w:leader="none" w:pos="22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94" w:lineRule="exact"/>
        <w:rPr>
          <w:rFonts w:ascii="Arial" w:cs="Arial" w:eastAsia="Arial" w:hAnsi="Arial"/>
          <w:sz w:val="18"/>
          <w:szCs w:val="18"/>
          <w:color w:val="auto"/>
        </w:rPr>
      </w:pPr>
    </w:p>
    <w:p>
      <w:pPr>
        <w:ind w:left="1620" w:right="879" w:firstLine="360"/>
        <w:spacing w:after="0" w:line="248" w:lineRule="auto"/>
        <w:tabs>
          <w:tab w:leader="none" w:pos="2294"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ASC Topic 718</w:t>
      </w:r>
      <w:r>
        <w:rPr>
          <w:rFonts w:ascii="Arial" w:cs="Arial" w:eastAsia="Arial" w:hAnsi="Arial"/>
          <w:sz w:val="18"/>
          <w:szCs w:val="18"/>
          <w:color w:val="auto"/>
        </w:rPr>
        <w:t>” means the Financial Accounting Standards Board Accounting Standards Codification Topic 718, Compensation — Stock Compensation, as amended, or any successor accounting standard.</w:t>
      </w:r>
    </w:p>
    <w:p>
      <w:pPr>
        <w:spacing w:after="0" w:line="100" w:lineRule="exact"/>
        <w:rPr>
          <w:rFonts w:ascii="Arial" w:cs="Arial" w:eastAsia="Arial" w:hAnsi="Arial"/>
          <w:sz w:val="18"/>
          <w:szCs w:val="18"/>
          <w:color w:val="auto"/>
        </w:rPr>
      </w:pPr>
    </w:p>
    <w:p>
      <w:pPr>
        <w:ind w:left="1620" w:right="559" w:firstLine="360"/>
        <w:spacing w:after="0" w:line="270" w:lineRule="auto"/>
        <w:tabs>
          <w:tab w:leader="none" w:pos="2284"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 Option, Restricted Unit, Phantom Unit, Unit Appreciation Right or Cash Award granted under the Plan or under the Prior Plan prior to the Effective Date, and may include any tandem DERs granted with respect to a Phantom Unit, Option or Unit Appreciation Right.</w:t>
      </w:r>
    </w:p>
    <w:p>
      <w:pPr>
        <w:spacing w:after="0" w:line="69" w:lineRule="exact"/>
        <w:rPr>
          <w:rFonts w:ascii="Arial" w:cs="Arial" w:eastAsia="Arial" w:hAnsi="Arial"/>
          <w:sz w:val="17"/>
          <w:szCs w:val="17"/>
          <w:color w:val="auto"/>
        </w:rPr>
      </w:pPr>
    </w:p>
    <w:p>
      <w:pPr>
        <w:ind w:left="1620" w:right="559" w:firstLine="360"/>
        <w:spacing w:after="0" w:line="248" w:lineRule="auto"/>
        <w:tabs>
          <w:tab w:leader="none" w:pos="2343"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the written agreement by which an Award shall be evidenced, and which may describe any terms, conditions, criteria, restrictions or other elements of such Award as determined by the Committee in its discretion.</w:t>
      </w:r>
    </w:p>
    <w:p>
      <w:pPr>
        <w:spacing w:after="0" w:line="87" w:lineRule="exact"/>
        <w:rPr>
          <w:rFonts w:ascii="Arial" w:cs="Arial" w:eastAsia="Arial" w:hAnsi="Arial"/>
          <w:sz w:val="18"/>
          <w:szCs w:val="18"/>
          <w:color w:val="auto"/>
        </w:rPr>
      </w:pPr>
    </w:p>
    <w:p>
      <w:pPr>
        <w:ind w:left="2280" w:hanging="300"/>
        <w:spacing w:after="0"/>
        <w:tabs>
          <w:tab w:leader="none" w:pos="2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44" w:lineRule="exact"/>
        <w:rPr>
          <w:rFonts w:ascii="Arial" w:cs="Arial" w:eastAsia="Arial" w:hAnsi="Arial"/>
          <w:sz w:val="18"/>
          <w:szCs w:val="18"/>
          <w:color w:val="auto"/>
        </w:rPr>
      </w:pPr>
    </w:p>
    <w:p>
      <w:pPr>
        <w:ind w:left="2260" w:hanging="280"/>
        <w:spacing w:after="0"/>
        <w:tabs>
          <w:tab w:leader="none" w:pos="2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Award</w:t>
      </w:r>
      <w:r>
        <w:rPr>
          <w:rFonts w:ascii="Arial" w:cs="Arial" w:eastAsia="Arial" w:hAnsi="Arial"/>
          <w:sz w:val="18"/>
          <w:szCs w:val="18"/>
          <w:color w:val="auto"/>
        </w:rPr>
        <w:t>” means an Award denominated in cash granted under the Plan.</w:t>
      </w:r>
    </w:p>
    <w:p>
      <w:pPr>
        <w:spacing w:after="0" w:line="130" w:lineRule="exact"/>
        <w:rPr>
          <w:rFonts w:ascii="Arial" w:cs="Arial" w:eastAsia="Arial" w:hAnsi="Arial"/>
          <w:sz w:val="18"/>
          <w:szCs w:val="18"/>
          <w:color w:val="auto"/>
        </w:rPr>
      </w:pPr>
    </w:p>
    <w:p>
      <w:pPr>
        <w:ind w:left="1620" w:right="439" w:firstLine="360"/>
        <w:spacing w:after="0" w:line="251" w:lineRule="auto"/>
        <w:tabs>
          <w:tab w:leader="none" w:pos="2294"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unless otherwise provided in an applicable Award Agreement, means, and shall be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the Partnership; or (iv) 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Exchange Act.</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00" w:hanging="320"/>
        <w:spacing w:after="0"/>
        <w:tabs>
          <w:tab w:leader="none" w:pos="2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30" w:lineRule="exact"/>
        <w:rPr>
          <w:rFonts w:ascii="Arial" w:cs="Arial" w:eastAsia="Arial" w:hAnsi="Arial"/>
          <w:sz w:val="18"/>
          <w:szCs w:val="18"/>
          <w:color w:val="auto"/>
        </w:rPr>
      </w:pPr>
    </w:p>
    <w:p>
      <w:pPr>
        <w:ind w:left="1620" w:right="759" w:firstLine="360"/>
        <w:spacing w:after="0" w:line="248" w:lineRule="auto"/>
        <w:tabs>
          <w:tab w:leader="none" w:pos="22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and appointed by, the Board to administer the Plan; provided, however, that in the absence of the Board’s appointment of a committee to administer the Plan, the Compensation Committee of the Board shall serve as the Committee.</w:t>
      </w:r>
    </w:p>
    <w:p>
      <w:pPr>
        <w:spacing w:after="0" w:line="87" w:lineRule="exact"/>
        <w:rPr>
          <w:rFonts w:ascii="Arial" w:cs="Arial" w:eastAsia="Arial" w:hAnsi="Arial"/>
          <w:sz w:val="18"/>
          <w:szCs w:val="18"/>
          <w:color w:val="auto"/>
        </w:rPr>
      </w:pPr>
    </w:p>
    <w:p>
      <w:pPr>
        <w:ind w:left="1620" w:right="559" w:firstLine="360"/>
        <w:spacing w:after="0" w:line="248" w:lineRule="auto"/>
        <w:tabs>
          <w:tab w:leader="none" w:pos="22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DER</w:t>
      </w:r>
      <w:r>
        <w:rPr>
          <w:rFonts w:ascii="Arial" w:cs="Arial" w:eastAsia="Arial" w:hAnsi="Arial"/>
          <w:sz w:val="18"/>
          <w:szCs w:val="18"/>
          <w:color w:val="auto"/>
        </w:rPr>
        <w:t>” means a contingent right, granted in tandem with a specific Option, Unit Appreciation Right or Phantom Unit, to receive an amount in cash equal to the cash distributions made by the Partnership with respect to a Unit during the period such Award is outstanding.</w:t>
      </w:r>
    </w:p>
    <w:p>
      <w:pPr>
        <w:spacing w:after="0" w:line="100" w:lineRule="exact"/>
        <w:rPr>
          <w:rFonts w:ascii="Arial" w:cs="Arial" w:eastAsia="Arial" w:hAnsi="Arial"/>
          <w:sz w:val="18"/>
          <w:szCs w:val="18"/>
          <w:color w:val="auto"/>
        </w:rPr>
      </w:pPr>
    </w:p>
    <w:p>
      <w:pPr>
        <w:ind w:left="2300" w:hanging="320"/>
        <w:spacing w:after="0"/>
        <w:tabs>
          <w:tab w:leader="none" w:pos="2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who is not an Employee.</w:t>
      </w:r>
    </w:p>
    <w:p>
      <w:pPr>
        <w:spacing w:after="0" w:line="130" w:lineRule="exact"/>
        <w:rPr>
          <w:rFonts w:ascii="Arial" w:cs="Arial" w:eastAsia="Arial" w:hAnsi="Arial"/>
          <w:sz w:val="18"/>
          <w:szCs w:val="18"/>
          <w:color w:val="auto"/>
        </w:rPr>
      </w:pPr>
    </w:p>
    <w:p>
      <w:pPr>
        <w:ind w:left="1620" w:right="879" w:firstLine="360"/>
        <w:spacing w:after="0" w:line="261" w:lineRule="auto"/>
        <w:tabs>
          <w:tab w:leader="none" w:pos="22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upon which the Plan is approved by the unitholders of the Partnership.</w:t>
      </w:r>
    </w:p>
    <w:p>
      <w:pPr>
        <w:spacing w:after="0" w:line="76" w:lineRule="exact"/>
        <w:rPr>
          <w:rFonts w:ascii="Arial" w:cs="Arial" w:eastAsia="Arial" w:hAnsi="Arial"/>
          <w:sz w:val="18"/>
          <w:szCs w:val="18"/>
          <w:color w:val="auto"/>
        </w:rPr>
      </w:pPr>
    </w:p>
    <w:p>
      <w:pPr>
        <w:ind w:left="2400" w:hanging="420"/>
        <w:spacing w:after="0"/>
        <w:tabs>
          <w:tab w:leader="none" w:pos="2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employee of the Company or an Affiliate of the Company.</w:t>
      </w:r>
    </w:p>
    <w:p>
      <w:pPr>
        <w:spacing w:after="0" w:line="144" w:lineRule="exact"/>
        <w:rPr>
          <w:rFonts w:ascii="Arial" w:cs="Arial" w:eastAsia="Arial" w:hAnsi="Arial"/>
          <w:sz w:val="18"/>
          <w:szCs w:val="18"/>
          <w:color w:val="auto"/>
        </w:rPr>
      </w:pPr>
    </w:p>
    <w:p>
      <w:pPr>
        <w:ind w:left="2300" w:hanging="320"/>
        <w:spacing w:after="0"/>
        <w:tabs>
          <w:tab w:leader="none" w:pos="2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30" w:lineRule="exact"/>
        <w:rPr>
          <w:rFonts w:ascii="Arial" w:cs="Arial" w:eastAsia="Arial" w:hAnsi="Arial"/>
          <w:sz w:val="18"/>
          <w:szCs w:val="18"/>
          <w:color w:val="auto"/>
        </w:rPr>
      </w:pPr>
    </w:p>
    <w:p>
      <w:pPr>
        <w:ind w:left="1620" w:right="619" w:firstLine="360"/>
        <w:spacing w:after="0" w:line="279" w:lineRule="auto"/>
        <w:tabs>
          <w:tab w:leader="none" w:pos="2294"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as of a given date means the closing sales price of a Unit on the nearest trading date immediately preceding such given date or as defined in an Award Agreement (other than with respect to establishing the exercise price of an Option or Unit Appreciation Right). In the event Units are not publicly traded at the time a determination of fair market value is required to be made hereunder, the determination of fair market value shall be made in good faith by the Committee.</w:t>
      </w:r>
    </w:p>
    <w:p>
      <w:pPr>
        <w:spacing w:after="0" w:line="64" w:lineRule="exact"/>
        <w:rPr>
          <w:rFonts w:ascii="Arial" w:cs="Arial" w:eastAsia="Arial" w:hAnsi="Arial"/>
          <w:sz w:val="16"/>
          <w:szCs w:val="16"/>
          <w:color w:val="auto"/>
        </w:rPr>
      </w:pPr>
    </w:p>
    <w:p>
      <w:pPr>
        <w:ind w:left="2300" w:hanging="320"/>
        <w:spacing w:after="0"/>
        <w:tabs>
          <w:tab w:leader="none" w:pos="2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Units granted under the Plan.</w:t>
      </w:r>
    </w:p>
    <w:p>
      <w:pPr>
        <w:spacing w:after="0" w:line="144" w:lineRule="exact"/>
        <w:rPr>
          <w:rFonts w:ascii="Arial" w:cs="Arial" w:eastAsia="Arial" w:hAnsi="Arial"/>
          <w:sz w:val="18"/>
          <w:szCs w:val="18"/>
          <w:color w:val="auto"/>
        </w:rPr>
      </w:pPr>
    </w:p>
    <w:p>
      <w:pPr>
        <w:ind w:left="1620" w:right="499" w:firstLine="360"/>
        <w:spacing w:after="0" w:line="261" w:lineRule="auto"/>
        <w:tabs>
          <w:tab w:leader="none" w:pos="229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w:t>
      </w:r>
      <w:r>
        <w:rPr>
          <w:rFonts w:ascii="Arial" w:cs="Arial" w:eastAsia="Arial" w:hAnsi="Arial"/>
          <w:sz w:val="18"/>
          <w:szCs w:val="18"/>
          <w:color w:val="auto"/>
        </w:rPr>
        <w:t>” means Plains GP Holdings, L.P., a Delaware limited partnership and the sole member of the Company.</w:t>
      </w:r>
    </w:p>
    <w:p>
      <w:pPr>
        <w:spacing w:after="0" w:line="76" w:lineRule="exact"/>
        <w:rPr>
          <w:rFonts w:ascii="Arial" w:cs="Arial" w:eastAsia="Arial" w:hAnsi="Arial"/>
          <w:sz w:val="18"/>
          <w:szCs w:val="18"/>
          <w:color w:val="auto"/>
        </w:rPr>
      </w:pPr>
    </w:p>
    <w:p>
      <w:pPr>
        <w:ind w:left="1620" w:right="879" w:firstLine="360"/>
        <w:spacing w:after="0" w:line="261" w:lineRule="auto"/>
        <w:tabs>
          <w:tab w:leader="none" w:pos="226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PAGP GP</w:t>
      </w:r>
      <w:r>
        <w:rPr>
          <w:rFonts w:ascii="Arial" w:cs="Arial" w:eastAsia="Arial" w:hAnsi="Arial"/>
          <w:sz w:val="18"/>
          <w:szCs w:val="18"/>
          <w:color w:val="auto"/>
        </w:rPr>
        <w:t>” means PAA GP Holdings LLC, a Delaware limited liability company and the general partner of PAGP.</w:t>
      </w:r>
    </w:p>
    <w:p>
      <w:pPr>
        <w:spacing w:after="0" w:line="76" w:lineRule="exact"/>
        <w:rPr>
          <w:rFonts w:ascii="Arial" w:cs="Arial" w:eastAsia="Arial" w:hAnsi="Arial"/>
          <w:sz w:val="18"/>
          <w:szCs w:val="18"/>
          <w:color w:val="auto"/>
        </w:rPr>
      </w:pPr>
    </w:p>
    <w:p>
      <w:pPr>
        <w:ind w:left="2280" w:hanging="300"/>
        <w:spacing w:after="0"/>
        <w:tabs>
          <w:tab w:leader="none" w:pos="2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Employee or Director granted an Award under the Plan.</w:t>
      </w:r>
    </w:p>
    <w:p>
      <w:pPr>
        <w:spacing w:after="0" w:line="144" w:lineRule="exact"/>
        <w:rPr>
          <w:rFonts w:ascii="Arial" w:cs="Arial" w:eastAsia="Arial" w:hAnsi="Arial"/>
          <w:sz w:val="18"/>
          <w:szCs w:val="18"/>
          <w:color w:val="auto"/>
        </w:rPr>
      </w:pPr>
    </w:p>
    <w:p>
      <w:pPr>
        <w:jc w:val="both"/>
        <w:ind w:left="1620" w:right="739" w:firstLine="360"/>
        <w:spacing w:after="0" w:line="248" w:lineRule="auto"/>
        <w:tabs>
          <w:tab w:leader="none" w:pos="225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87" w:lineRule="exact"/>
        <w:rPr>
          <w:rFonts w:ascii="Arial" w:cs="Arial" w:eastAsia="Arial" w:hAnsi="Arial"/>
          <w:sz w:val="18"/>
          <w:szCs w:val="18"/>
          <w:color w:val="auto"/>
        </w:rPr>
      </w:pPr>
    </w:p>
    <w:p>
      <w:pPr>
        <w:ind w:left="1620" w:right="519" w:firstLine="360"/>
        <w:spacing w:after="0" w:line="270" w:lineRule="auto"/>
        <w:tabs>
          <w:tab w:leader="none" w:pos="2294" w:val="left"/>
        </w:tabs>
        <w:numPr>
          <w:ilvl w:val="0"/>
          <w:numId w:val="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Phantom Unit</w:t>
      </w:r>
      <w:r>
        <w:rPr>
          <w:rFonts w:ascii="Arial" w:cs="Arial" w:eastAsia="Arial" w:hAnsi="Arial"/>
          <w:sz w:val="17"/>
          <w:szCs w:val="17"/>
          <w:color w:val="auto"/>
        </w:rPr>
        <w:t>” means a phantom (notional) Unit granted under the Plan that upon vesting entitles the Participant to receive a Unit or an amount of cash equal to the Fair Market Value of a Unit, as determined by the Committee in its discretion and as provided in the applicable Award Agreement.</w:t>
      </w:r>
    </w:p>
    <w:p>
      <w:pPr>
        <w:spacing w:after="0" w:line="69" w:lineRule="exact"/>
        <w:rPr>
          <w:rFonts w:ascii="Arial" w:cs="Arial" w:eastAsia="Arial" w:hAnsi="Arial"/>
          <w:sz w:val="17"/>
          <w:szCs w:val="17"/>
          <w:color w:val="auto"/>
        </w:rPr>
      </w:pPr>
    </w:p>
    <w:p>
      <w:pPr>
        <w:ind w:left="1620" w:right="439" w:firstLine="360"/>
        <w:spacing w:after="0"/>
        <w:tabs>
          <w:tab w:leader="none" w:pos="229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means the period established by the Committee with respect to an Award during which the Award or Unit may remain subject to restrictions established by the Committee, including without limitation a period during which such Award or Unit is subject to forfeiture or restrictions on transfer, or is not yet exercisable by or payable to the Participant, as the case may be. As the context requires, the word “vest” and its derivatives refers to the lapse of some or all, as the case may be, of the restrictions imposed during such Restricted Period.</w:t>
      </w:r>
    </w:p>
    <w:p>
      <w:pPr>
        <w:spacing w:after="0" w:line="108" w:lineRule="exact"/>
        <w:rPr>
          <w:rFonts w:ascii="Arial" w:cs="Arial" w:eastAsia="Arial" w:hAnsi="Arial"/>
          <w:sz w:val="18"/>
          <w:szCs w:val="18"/>
          <w:color w:val="auto"/>
        </w:rPr>
      </w:pPr>
    </w:p>
    <w:p>
      <w:pPr>
        <w:ind w:left="2380" w:hanging="400"/>
        <w:spacing w:after="0"/>
        <w:tabs>
          <w:tab w:leader="none" w:pos="23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Unit</w:t>
      </w:r>
      <w:r>
        <w:rPr>
          <w:rFonts w:ascii="Arial" w:cs="Arial" w:eastAsia="Arial" w:hAnsi="Arial"/>
          <w:sz w:val="16"/>
          <w:szCs w:val="16"/>
          <w:color w:val="auto"/>
        </w:rPr>
        <w:t>” means a Unit delivered under the Plan that is subject to a Restricted Period.</w:t>
      </w:r>
    </w:p>
    <w:p>
      <w:pPr>
        <w:spacing w:after="0" w:line="140" w:lineRule="exact"/>
        <w:rPr>
          <w:rFonts w:ascii="Arial" w:cs="Arial" w:eastAsia="Arial" w:hAnsi="Arial"/>
          <w:sz w:val="16"/>
          <w:szCs w:val="16"/>
          <w:color w:val="auto"/>
        </w:rPr>
      </w:pPr>
    </w:p>
    <w:p>
      <w:pPr>
        <w:ind w:left="1620" w:right="899" w:firstLine="360"/>
        <w:spacing w:after="0" w:line="261" w:lineRule="auto"/>
        <w:tabs>
          <w:tab w:leader="none" w:pos="229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by the SEC under the Exchange Act, or any successor rule or regulation thereto as in effect from time to time.</w:t>
      </w:r>
    </w:p>
    <w:p>
      <w:pPr>
        <w:spacing w:after="0" w:line="76" w:lineRule="exact"/>
        <w:rPr>
          <w:rFonts w:ascii="Arial" w:cs="Arial" w:eastAsia="Arial" w:hAnsi="Arial"/>
          <w:sz w:val="18"/>
          <w:szCs w:val="18"/>
          <w:color w:val="auto"/>
        </w:rPr>
      </w:pPr>
    </w:p>
    <w:p>
      <w:pPr>
        <w:ind w:left="2300" w:hanging="320"/>
        <w:spacing w:after="0"/>
        <w:tabs>
          <w:tab w:leader="none" w:pos="2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 or any successor thereto.</w:t>
      </w:r>
    </w:p>
    <w:p>
      <w:pPr>
        <w:spacing w:after="0" w:line="144" w:lineRule="exact"/>
        <w:rPr>
          <w:rFonts w:ascii="Arial" w:cs="Arial" w:eastAsia="Arial" w:hAnsi="Arial"/>
          <w:sz w:val="18"/>
          <w:szCs w:val="18"/>
          <w:color w:val="auto"/>
        </w:rPr>
      </w:pPr>
    </w:p>
    <w:p>
      <w:pPr>
        <w:ind w:left="2280" w:hanging="300"/>
        <w:spacing w:after="0"/>
        <w:tabs>
          <w:tab w:leader="none" w:pos="2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UDR</w:t>
      </w:r>
      <w:r>
        <w:rPr>
          <w:rFonts w:ascii="Arial" w:cs="Arial" w:eastAsia="Arial" w:hAnsi="Arial"/>
          <w:sz w:val="18"/>
          <w:szCs w:val="18"/>
          <w:color w:val="auto"/>
        </w:rPr>
        <w:t>” means a distribution made by the Partnership with respect to a Restricted Unit.</w:t>
      </w:r>
    </w:p>
    <w:p>
      <w:pPr>
        <w:spacing w:after="0" w:line="131" w:lineRule="exact"/>
        <w:rPr>
          <w:sz w:val="20"/>
          <w:szCs w:val="20"/>
          <w:color w:val="auto"/>
        </w:rPr>
      </w:pPr>
    </w:p>
    <w:p>
      <w:pPr>
        <w:ind w:left="2360" w:hanging="380"/>
        <w:spacing w:after="0"/>
        <w:tabs>
          <w:tab w:leader="none" w:pos="2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w:t>
      </w:r>
      <w:r>
        <w:rPr>
          <w:rFonts w:ascii="Arial" w:cs="Arial" w:eastAsia="Arial" w:hAnsi="Arial"/>
          <w:sz w:val="18"/>
          <w:szCs w:val="18"/>
          <w:color w:val="auto"/>
        </w:rPr>
        <w:t>” means a Common Unit of the Partnership.</w:t>
      </w:r>
    </w:p>
    <w:p>
      <w:pPr>
        <w:spacing w:after="0" w:line="130" w:lineRule="exact"/>
        <w:rPr>
          <w:rFonts w:ascii="Arial" w:cs="Arial" w:eastAsia="Arial" w:hAnsi="Arial"/>
          <w:sz w:val="18"/>
          <w:szCs w:val="18"/>
          <w:color w:val="auto"/>
        </w:rPr>
      </w:pPr>
    </w:p>
    <w:p>
      <w:pPr>
        <w:ind w:left="1620" w:right="539" w:firstLine="360"/>
        <w:spacing w:after="0" w:line="324" w:lineRule="auto"/>
        <w:tabs>
          <w:tab w:leader="none" w:pos="2388" w:val="left"/>
        </w:tabs>
        <w:numPr>
          <w:ilvl w:val="0"/>
          <w:numId w:val="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Unit Appreciation Right</w:t>
      </w:r>
      <w:r>
        <w:rPr>
          <w:rFonts w:ascii="Arial" w:cs="Arial" w:eastAsia="Arial" w:hAnsi="Arial"/>
          <w:sz w:val="16"/>
          <w:szCs w:val="16"/>
          <w:color w:val="auto"/>
        </w:rPr>
        <w:t>” means an Award that, upon exercise, entitles the holder to receive the excess of the Fair Market Value of Unit on the exercise date over the exercise price established for</w:t>
      </w:r>
    </w:p>
    <w:p>
      <w:pPr>
        <w:spacing w:after="0" w:line="31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spacing w:after="0" w:line="261" w:lineRule="auto"/>
        <w:rPr>
          <w:sz w:val="20"/>
          <w:szCs w:val="20"/>
          <w:color w:val="auto"/>
        </w:rPr>
      </w:pPr>
      <w:r>
        <w:rPr>
          <w:rFonts w:ascii="Arial" w:cs="Arial" w:eastAsia="Arial" w:hAnsi="Arial"/>
          <w:sz w:val="18"/>
          <w:szCs w:val="18"/>
          <w:color w:val="auto"/>
        </w:rPr>
        <w:t>such Unit Appreciation Right. Such excess may be paid in cash and/or in Units as determined by the Committee in its discretion and as provided in the applicable Award Agreement.</w:t>
      </w:r>
    </w:p>
    <w:p>
      <w:pPr>
        <w:spacing w:after="0" w:line="72"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b w:val="1"/>
          <w:bCs w:val="1"/>
          <w:u w:val="single" w:color="auto"/>
          <w:color w:val="auto"/>
        </w:rPr>
        <w:t>Administration</w:t>
      </w:r>
      <w:r>
        <w:rPr>
          <w:rFonts w:ascii="Arial" w:cs="Arial" w:eastAsia="Arial" w:hAnsi="Arial"/>
          <w:sz w:val="16"/>
          <w:szCs w:val="16"/>
          <w:color w:val="auto"/>
        </w:rPr>
        <w:t>.</w:t>
      </w:r>
    </w:p>
    <w:p>
      <w:pPr>
        <w:spacing w:after="0" w:line="135" w:lineRule="exact"/>
        <w:rPr>
          <w:sz w:val="20"/>
          <w:szCs w:val="20"/>
          <w:color w:val="auto"/>
        </w:rPr>
      </w:pPr>
    </w:p>
    <w:p>
      <w:pPr>
        <w:ind w:left="1620" w:right="419" w:firstLine="360"/>
        <w:spacing w:after="0" w:line="251" w:lineRule="auto"/>
        <w:tabs>
          <w:tab w:leader="none" w:pos="2284"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Authority of the Committee</w:t>
      </w:r>
      <w:r>
        <w:rPr>
          <w:rFonts w:ascii="Arial" w:cs="Arial" w:eastAsia="Arial" w:hAnsi="Arial"/>
          <w:sz w:val="17"/>
          <w:szCs w:val="17"/>
          <w:color w:val="auto"/>
        </w:rPr>
        <w:t>. The Plan shall be administered by the Committee except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the Board elects to administer the Plan, in which case references herein to the “Committee” shall be deemed to include references to the Board. A majority of the Committee shall constitute a quorum, and the acts of a majority of the members of the Committee who are present at any meeting thereof at which a quorum is present, or acts unanimously approved by the members of the Committee in writing, shall be the acts of the Committee. Subject to the following and applicable law, the Committee, in its sole discretion, may delegate any or all of its powers and duties under the Plan, including the power to grant Awards under the Plan, to the Chief Executive Officer of the Company, subject to such limitations on such delegated powers and duties as the Committee may impose, if any. Upon any such delegation all references in the Plan to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xml:space="preserve">”, other than in </w:t>
      </w:r>
      <w:r>
        <w:rPr>
          <w:rFonts w:ascii="Arial" w:cs="Arial" w:eastAsia="Arial" w:hAnsi="Arial"/>
          <w:sz w:val="17"/>
          <w:szCs w:val="17"/>
          <w:u w:val="single" w:color="auto"/>
          <w:color w:val="auto"/>
        </w:rPr>
        <w:t>Section 7</w:t>
      </w:r>
      <w:r>
        <w:rPr>
          <w:rFonts w:ascii="Arial" w:cs="Arial" w:eastAsia="Arial" w:hAnsi="Arial"/>
          <w:sz w:val="17"/>
          <w:szCs w:val="17"/>
          <w:color w:val="auto"/>
        </w:rPr>
        <w:t>, shall be deemed to include the Chief Executive Officer; provided, however, that such delegation shall not limit the Chief Executive Officer’s right to receive Awards under the Plan. Notwithstanding the foregoing, the Chief Executive Officer may not grant Awards to, or take any action with respect to any Award previously granted to, a person who is an officer subject to Rule 16b-3 or a member of the Board. Subject to the express provisions of the Plan, Rule 16b-3 and other applicable law, and in addition to other express powers and authorizations conferred on the Committee by the Plan, the Committee shall have full power and authority, in its sole and absolute discretion, to:</w:t>
      </w:r>
    </w:p>
    <w:p>
      <w:pPr>
        <w:spacing w:after="0" w:line="102" w:lineRule="exact"/>
        <w:rPr>
          <w:rFonts w:ascii="Arial" w:cs="Arial" w:eastAsia="Arial" w:hAnsi="Arial"/>
          <w:sz w:val="17"/>
          <w:szCs w:val="17"/>
          <w:color w:val="auto"/>
        </w:rPr>
      </w:pPr>
    </w:p>
    <w:p>
      <w:pPr>
        <w:ind w:left="2660" w:hanging="320"/>
        <w:spacing w:after="0"/>
        <w:tabs>
          <w:tab w:leader="none" w:pos="2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designate eligible Persons as Participants;</w:t>
      </w:r>
    </w:p>
    <w:p>
      <w:pPr>
        <w:spacing w:after="0" w:line="130" w:lineRule="exact"/>
        <w:rPr>
          <w:rFonts w:ascii="Arial" w:cs="Arial" w:eastAsia="Arial" w:hAnsi="Arial"/>
          <w:sz w:val="18"/>
          <w:szCs w:val="18"/>
          <w:color w:val="auto"/>
        </w:rPr>
      </w:pPr>
    </w:p>
    <w:p>
      <w:pPr>
        <w:ind w:left="2720" w:hanging="380"/>
        <w:spacing w:after="0"/>
        <w:tabs>
          <w:tab w:leader="none" w:pos="27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a Participant;</w:t>
      </w:r>
    </w:p>
    <w:p>
      <w:pPr>
        <w:spacing w:after="0" w:line="130" w:lineRule="exact"/>
        <w:rPr>
          <w:rFonts w:ascii="Arial" w:cs="Arial" w:eastAsia="Arial" w:hAnsi="Arial"/>
          <w:sz w:val="18"/>
          <w:szCs w:val="18"/>
          <w:color w:val="auto"/>
        </w:rPr>
      </w:pPr>
    </w:p>
    <w:p>
      <w:pPr>
        <w:ind w:left="2780" w:hanging="440"/>
        <w:spacing w:after="0"/>
        <w:tabs>
          <w:tab w:leader="none" w:pos="27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determine the number of Units or amount of cash to be covered by Awards;</w:t>
      </w:r>
    </w:p>
    <w:p>
      <w:pPr>
        <w:spacing w:after="0" w:line="144" w:lineRule="exact"/>
        <w:rPr>
          <w:rFonts w:ascii="Arial" w:cs="Arial" w:eastAsia="Arial" w:hAnsi="Arial"/>
          <w:sz w:val="18"/>
          <w:szCs w:val="18"/>
          <w:color w:val="auto"/>
        </w:rPr>
      </w:pPr>
    </w:p>
    <w:p>
      <w:pPr>
        <w:ind w:left="1980" w:right="459" w:firstLine="360"/>
        <w:spacing w:after="0" w:line="257" w:lineRule="auto"/>
        <w:tabs>
          <w:tab w:leader="none" w:pos="27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determine the terms and conditions of any Award, including whether, to what extent and under what circumstances Awards may be vested, settled (including settlement in cash), exercised, cancelled or forfeited (including conditions based on continued employment or service requirements or the achievement of one or more performance goals, as well as the treatment of Awards upon a termination of employment or other service relationship);</w:t>
      </w:r>
    </w:p>
    <w:p>
      <w:pPr>
        <w:spacing w:after="0" w:line="93" w:lineRule="exact"/>
        <w:rPr>
          <w:rFonts w:ascii="Arial" w:cs="Arial" w:eastAsia="Arial" w:hAnsi="Arial"/>
          <w:sz w:val="18"/>
          <w:szCs w:val="18"/>
          <w:color w:val="auto"/>
        </w:rPr>
      </w:pPr>
    </w:p>
    <w:p>
      <w:pPr>
        <w:ind w:left="1980" w:right="419" w:firstLine="360"/>
        <w:spacing w:after="0" w:line="257" w:lineRule="auto"/>
        <w:tabs>
          <w:tab w:leader="none" w:pos="2706" w:val="left"/>
        </w:tabs>
        <w:numPr>
          <w:ilvl w:val="1"/>
          <w:numId w:val="98"/>
        </w:numPr>
        <w:rPr>
          <w:rFonts w:ascii="Arial" w:cs="Arial" w:eastAsia="Arial" w:hAnsi="Arial"/>
          <w:sz w:val="18"/>
          <w:szCs w:val="18"/>
          <w:color w:val="auto"/>
        </w:rPr>
      </w:pPr>
      <w:r>
        <w:rPr>
          <w:rFonts w:ascii="Arial" w:cs="Arial" w:eastAsia="Arial" w:hAnsi="Arial"/>
          <w:sz w:val="18"/>
          <w:szCs w:val="18"/>
          <w:color w:val="auto"/>
        </w:rPr>
        <w:t>establish, modify, adjust, amend, suspend, or waive any term or condition of an Award that has been granted, which may include the acceleration of vesting, waiver of forfeiture restrictions, modification of the form of settlement of the Award (for example, from cash to Units or vice versa), early termination of a performance period, or modification of any other condition or limitation regarding an Award;</w:t>
      </w:r>
    </w:p>
    <w:p>
      <w:pPr>
        <w:spacing w:after="0" w:line="93" w:lineRule="exact"/>
        <w:rPr>
          <w:rFonts w:ascii="Arial" w:cs="Arial" w:eastAsia="Arial" w:hAnsi="Arial"/>
          <w:sz w:val="18"/>
          <w:szCs w:val="18"/>
          <w:color w:val="auto"/>
        </w:rPr>
      </w:pPr>
    </w:p>
    <w:p>
      <w:pPr>
        <w:ind w:left="1980" w:right="679" w:firstLine="360"/>
        <w:spacing w:after="0" w:line="277" w:lineRule="auto"/>
        <w:tabs>
          <w:tab w:leader="none" w:pos="27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impose a holding period with respect to an Award or the Units received in connection with an Award;</w:t>
      </w:r>
    </w:p>
    <w:p>
      <w:pPr>
        <w:spacing w:after="0" w:line="89" w:lineRule="exact"/>
        <w:rPr>
          <w:rFonts w:ascii="Arial" w:cs="Arial" w:eastAsia="Arial" w:hAnsi="Arial"/>
          <w:sz w:val="18"/>
          <w:szCs w:val="18"/>
          <w:color w:val="auto"/>
        </w:rPr>
      </w:pPr>
    </w:p>
    <w:p>
      <w:pPr>
        <w:ind w:left="1980" w:right="479" w:firstLine="360"/>
        <w:spacing w:after="0" w:line="277" w:lineRule="auto"/>
        <w:tabs>
          <w:tab w:leader="none" w:pos="2813"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interpret and administer the Plan and any instrument or agreement relating to an Award made under the Plan;</w:t>
      </w:r>
    </w:p>
    <w:p>
      <w:pPr>
        <w:spacing w:after="0" w:line="75" w:lineRule="exact"/>
        <w:rPr>
          <w:rFonts w:ascii="Arial" w:cs="Arial" w:eastAsia="Arial" w:hAnsi="Arial"/>
          <w:sz w:val="18"/>
          <w:szCs w:val="18"/>
          <w:color w:val="auto"/>
        </w:rPr>
      </w:pPr>
    </w:p>
    <w:p>
      <w:pPr>
        <w:ind w:left="1980" w:right="579" w:firstLine="360"/>
        <w:spacing w:after="0" w:line="277" w:lineRule="auto"/>
        <w:tabs>
          <w:tab w:leader="none" w:pos="2867" w:val="left"/>
        </w:tabs>
        <w:numPr>
          <w:ilvl w:val="1"/>
          <w:numId w:val="98"/>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in any Award, or in any Award Agreement;</w:t>
      </w:r>
    </w:p>
    <w:p>
      <w:pPr>
        <w:spacing w:after="0" w:line="75" w:lineRule="exact"/>
        <w:rPr>
          <w:rFonts w:ascii="Arial" w:cs="Arial" w:eastAsia="Arial" w:hAnsi="Arial"/>
          <w:sz w:val="18"/>
          <w:szCs w:val="18"/>
          <w:color w:val="auto"/>
        </w:rPr>
      </w:pPr>
    </w:p>
    <w:p>
      <w:pPr>
        <w:ind w:left="2760" w:hanging="420"/>
        <w:spacing w:after="0"/>
        <w:tabs>
          <w:tab w:leader="none" w:pos="27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appoint such agents as it shall deem appropriate for the proper administration of the</w:t>
      </w:r>
    </w:p>
    <w:p>
      <w:pPr>
        <w:spacing w:after="0" w:line="23"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Plan; and</w:t>
      </w:r>
    </w:p>
    <w:p>
      <w:pPr>
        <w:spacing w:after="0" w:line="129" w:lineRule="exact"/>
        <w:rPr>
          <w:rFonts w:ascii="Arial" w:cs="Arial" w:eastAsia="Arial" w:hAnsi="Arial"/>
          <w:sz w:val="18"/>
          <w:szCs w:val="18"/>
          <w:color w:val="auto"/>
        </w:rPr>
      </w:pPr>
    </w:p>
    <w:p>
      <w:pPr>
        <w:ind w:left="1980" w:right="959" w:firstLine="360"/>
        <w:spacing w:after="0" w:line="277" w:lineRule="auto"/>
        <w:tabs>
          <w:tab w:leader="none" w:pos="2706" w:val="left"/>
        </w:tabs>
        <w:numPr>
          <w:ilvl w:val="1"/>
          <w:numId w:val="98"/>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Committee deems necessary or desirable for the administration of the Plan.</w:t>
      </w:r>
    </w:p>
    <w:p>
      <w:pPr>
        <w:spacing w:after="0" w:line="76" w:lineRule="exact"/>
        <w:rPr>
          <w:sz w:val="20"/>
          <w:szCs w:val="20"/>
          <w:color w:val="auto"/>
        </w:rPr>
      </w:pPr>
    </w:p>
    <w:p>
      <w:pPr>
        <w:ind w:left="1620" w:right="479"/>
        <w:spacing w:after="0" w:line="257" w:lineRule="auto"/>
        <w:rPr>
          <w:sz w:val="20"/>
          <w:szCs w:val="20"/>
          <w:color w:val="auto"/>
        </w:rPr>
      </w:pPr>
      <w:r>
        <w:rPr>
          <w:rFonts w:ascii="Arial" w:cs="Arial" w:eastAsia="Arial" w:hAnsi="Arial"/>
          <w:sz w:val="18"/>
          <w:szCs w:val="18"/>
          <w:color w:val="auto"/>
        </w:rPr>
        <w:t>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the Partnership, any of their Affiliates, any Participant, and any beneficiary of any Award.</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firstLine="360"/>
        <w:spacing w:after="0" w:line="268" w:lineRule="auto"/>
        <w:tabs>
          <w:tab w:leader="none" w:pos="2294"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Authority of a Subcommittee of the Committee</w:t>
      </w:r>
      <w:r>
        <w:rPr>
          <w:rFonts w:ascii="Arial" w:cs="Arial" w:eastAsia="Arial" w:hAnsi="Arial"/>
          <w:sz w:val="17"/>
          <w:szCs w:val="17"/>
          <w:color w:val="auto"/>
        </w:rPr>
        <w:t>. At any time that a member of the Committee is</w:t>
      </w:r>
      <w:r>
        <w:rPr>
          <w:rFonts w:ascii="Arial" w:cs="Arial" w:eastAsia="Arial" w:hAnsi="Arial"/>
          <w:sz w:val="17"/>
          <w:szCs w:val="17"/>
          <w:i w:val="1"/>
          <w:iCs w:val="1"/>
          <w:color w:val="auto"/>
        </w:rPr>
        <w:t xml:space="preserve"> </w:t>
      </w:r>
      <w:r>
        <w:rPr>
          <w:rFonts w:ascii="Arial" w:cs="Arial" w:eastAsia="Arial" w:hAnsi="Arial"/>
          <w:sz w:val="17"/>
          <w:szCs w:val="17"/>
          <w:color w:val="auto"/>
        </w:rPr>
        <w:t>not (i) a “nonemployee director” within the meaning of Rule 16b-3 and (ii) “independent” under the listing standards or rules of the securities exchange upon which the Units are traded, but only to the extent such independence is required in order to take the action at issue pursuant to such standards or rules (a “</w:t>
      </w:r>
      <w:r>
        <w:rPr>
          <w:rFonts w:ascii="Arial" w:cs="Arial" w:eastAsia="Arial" w:hAnsi="Arial"/>
          <w:sz w:val="17"/>
          <w:szCs w:val="17"/>
          <w:b w:val="1"/>
          <w:bCs w:val="1"/>
          <w:i w:val="1"/>
          <w:iCs w:val="1"/>
          <w:color w:val="auto"/>
        </w:rPr>
        <w:t>Qualified Member</w:t>
      </w:r>
      <w:r>
        <w:rPr>
          <w:rFonts w:ascii="Arial" w:cs="Arial" w:eastAsia="Arial" w:hAnsi="Arial"/>
          <w:sz w:val="17"/>
          <w:szCs w:val="17"/>
          <w:color w:val="auto"/>
        </w:rPr>
        <w:t>”), any action of the Committee relating to an Award granted or to be granted to a Participant who is then subject to Section 16 of the Exchange Act in respect of the Partnership where such action is not taken by the full Board may be taken either (i) by a subcommittee, designated by the Committee, composed solely of two or more Qualified Members, or (ii) by the Committee but with each such member who is not a Qualified Member abstaining or recusing himself or herself from such action; provided, however, that upon such abstention or recusal the Committee remains composed solely of two or more Qualified Members. Such action, authorized by such a subcommittee or by the Committee upon the abstention or recusal of such non-Qualified Member(s), shall be the action of the Committee for all purposes of the Plan. For the avoidance of doubt, the full Board may take any action relating to an Award granted or to be granted to an Eligible Person who is then subject to Section 16 of the Exchange Act in respect of the Company.</w:t>
      </w:r>
    </w:p>
    <w:p>
      <w:pPr>
        <w:spacing w:after="0" w:line="87" w:lineRule="exact"/>
        <w:rPr>
          <w:rFonts w:ascii="Arial" w:cs="Arial" w:eastAsia="Arial" w:hAnsi="Arial"/>
          <w:sz w:val="17"/>
          <w:szCs w:val="17"/>
          <w:color w:val="auto"/>
        </w:rPr>
      </w:pPr>
    </w:p>
    <w:p>
      <w:pPr>
        <w:ind w:left="1620" w:right="419" w:firstLine="360"/>
        <w:spacing w:after="0" w:line="267" w:lineRule="auto"/>
        <w:tabs>
          <w:tab w:leader="none" w:pos="2284"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Exemptions from Section 16(b) Liability</w:t>
      </w:r>
      <w:r>
        <w:rPr>
          <w:rFonts w:ascii="Arial" w:cs="Arial" w:eastAsia="Arial" w:hAnsi="Arial"/>
          <w:sz w:val="17"/>
          <w:szCs w:val="17"/>
          <w:color w:val="auto"/>
        </w:rPr>
        <w:t>. It is the intent of the Company and the Partnership</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grant of any Awards (and the issuance and withholding of any Units in connection with the vesting and settlement of any Award) to, or other transaction by, a Participant who is subject to Section 16 of the Exchange Act shall be exempt from Section 16(b) of the Exchange Act pursuant to Rule 16b-3 or another applicable exemption (except for transactions acknowledged by the Participant in writing to be non-exempt). Accordingly, if any provision of the Plan or any Award Agreement does not comply with the requirements of Rule 16b-3 or such other exemption as then applicable to any such transaction, such provision shall be construed or deemed amended to the extent necessary to conform to the applicable requirements of Rule 16b-3 so that such Participant shall avoid liability under</w:t>
      </w:r>
    </w:p>
    <w:p>
      <w:pPr>
        <w:spacing w:after="0" w:line="1"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Section 16(b) of the Exchange Act.</w:t>
      </w:r>
    </w:p>
    <w:p>
      <w:pPr>
        <w:spacing w:after="0" w:line="112" w:lineRule="exact"/>
        <w:rPr>
          <w:sz w:val="20"/>
          <w:szCs w:val="20"/>
          <w:color w:val="auto"/>
        </w:rPr>
      </w:pPr>
    </w:p>
    <w:p>
      <w:pPr>
        <w:ind w:left="1620"/>
        <w:spacing w:after="0"/>
        <w:tabs>
          <w:tab w:leader="none" w:pos="25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b w:val="1"/>
          <w:bCs w:val="1"/>
          <w:u w:val="single" w:color="auto"/>
          <w:color w:val="auto"/>
        </w:rPr>
        <w:t>Units</w:t>
      </w:r>
      <w:r>
        <w:rPr>
          <w:rFonts w:ascii="Arial" w:cs="Arial" w:eastAsia="Arial" w:hAnsi="Arial"/>
          <w:sz w:val="15"/>
          <w:szCs w:val="15"/>
          <w:color w:val="auto"/>
        </w:rPr>
        <w:t>.</w:t>
      </w:r>
    </w:p>
    <w:p>
      <w:pPr>
        <w:spacing w:after="0" w:line="148" w:lineRule="exact"/>
        <w:rPr>
          <w:sz w:val="20"/>
          <w:szCs w:val="20"/>
          <w:color w:val="auto"/>
        </w:rPr>
      </w:pPr>
    </w:p>
    <w:p>
      <w:pPr>
        <w:jc w:val="both"/>
        <w:ind w:left="1620" w:right="419" w:firstLine="360"/>
        <w:spacing w:after="0" w:line="274" w:lineRule="auto"/>
        <w:tabs>
          <w:tab w:leader="none" w:pos="2284" w:val="left"/>
        </w:tabs>
        <w:numPr>
          <w:ilvl w:val="1"/>
          <w:numId w:val="100"/>
        </w:numPr>
        <w:rPr>
          <w:rFonts w:ascii="Arial" w:cs="Arial" w:eastAsia="Arial" w:hAnsi="Arial"/>
          <w:sz w:val="17"/>
          <w:szCs w:val="17"/>
          <w:color w:val="auto"/>
        </w:rPr>
      </w:pPr>
      <w:r>
        <w:rPr>
          <w:rFonts w:ascii="Arial" w:cs="Arial" w:eastAsia="Arial" w:hAnsi="Arial"/>
          <w:sz w:val="17"/>
          <w:szCs w:val="17"/>
          <w:i w:val="1"/>
          <w:iCs w:val="1"/>
          <w:color w:val="auto"/>
        </w:rPr>
        <w:t>Limits on Units Deliverable</w:t>
      </w:r>
      <w:r>
        <w:rPr>
          <w:rFonts w:ascii="Arial" w:cs="Arial" w:eastAsia="Arial" w:hAnsi="Arial"/>
          <w:sz w:val="17"/>
          <w:szCs w:val="17"/>
          <w:color w:val="auto"/>
        </w:rPr>
        <w:t>. Subject to adjustment as provided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4(c)</w:t>
      </w:r>
      <w:r>
        <w:rPr>
          <w:rFonts w:ascii="Arial" w:cs="Arial" w:eastAsia="Arial" w:hAnsi="Arial"/>
          <w:sz w:val="17"/>
          <w:szCs w:val="17"/>
          <w:color w:val="auto"/>
        </w:rPr>
        <w:t>,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Units that may be actually delivered with respect to Awards under the Plan is the sum of (i) 20,000,000,</w:t>
      </w:r>
    </w:p>
    <w:p>
      <w:pPr>
        <w:ind w:left="1620" w:right="419"/>
        <w:spacing w:after="0" w:line="267" w:lineRule="auto"/>
        <w:tabs>
          <w:tab w:leader="none" w:pos="190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number of Units available for grant under the Prior Plan as of the Effective Date, and (iii) the number of Units subject to outstanding Awards under the Prior Plan as of the Effective Date that must or may be settled in Units. Units subject to an Award under the Plan that expires or is cancelled, forfeited, exchanged, settled in cash or otherwise terminated without the actual delivery of Units (Awards of Restricted Units shall not be considered “actually delivered” for this purpose), as well as any Units under an Award (other than an Option or Unit Appreciation Right) that are held back to cover tax withholding, will again be available for Awards. Notwithstanding the foregoing, (i) the number of Units tendered or withheld in payment of any exercise or purchase price of an Award, (ii) Units that were subject to an Option or a Unit Appreciation Right but were not issued or delivered as a result of the net settlement or net exercise of such Option or Unit Appreciation Right and (iii) Units repurchased on the open market with the proceeds of an Option’s exercise price, will not, in each case, be available for Awards. There shall not be any limitation on the number of Awards that may be paid or settled solely in cash, and such Awards need not be counted against any Unit limit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88" w:lineRule="exact"/>
        <w:rPr>
          <w:rFonts w:ascii="Arial" w:cs="Arial" w:eastAsia="Arial" w:hAnsi="Arial"/>
          <w:sz w:val="17"/>
          <w:szCs w:val="17"/>
          <w:color w:val="auto"/>
        </w:rPr>
      </w:pPr>
    </w:p>
    <w:p>
      <w:pPr>
        <w:ind w:left="1620" w:right="539" w:firstLine="360"/>
        <w:spacing w:after="0" w:line="259" w:lineRule="auto"/>
        <w:tabs>
          <w:tab w:leader="none" w:pos="2294" w:val="left"/>
        </w:tabs>
        <w:numPr>
          <w:ilvl w:val="1"/>
          <w:numId w:val="101"/>
        </w:numPr>
        <w:rPr>
          <w:rFonts w:ascii="Arial" w:cs="Arial" w:eastAsia="Arial" w:hAnsi="Arial"/>
          <w:sz w:val="18"/>
          <w:szCs w:val="18"/>
          <w:color w:val="auto"/>
        </w:rPr>
      </w:pPr>
      <w:r>
        <w:rPr>
          <w:rFonts w:ascii="Arial" w:cs="Arial" w:eastAsia="Arial" w:hAnsi="Arial"/>
          <w:sz w:val="18"/>
          <w:szCs w:val="18"/>
          <w:i w:val="1"/>
          <w:iCs w:val="1"/>
          <w:color w:val="auto"/>
        </w:rPr>
        <w:t>Sources of Units Deliverable under Awards</w:t>
      </w:r>
      <w:r>
        <w:rPr>
          <w:rFonts w:ascii="Arial" w:cs="Arial" w:eastAsia="Arial" w:hAnsi="Arial"/>
          <w:sz w:val="18"/>
          <w:szCs w:val="18"/>
          <w:color w:val="auto"/>
        </w:rPr>
        <w:t>. Any Units delivered pursuant to an Award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in whole or in part, of (i) Units acquired in the open market, (ii) Units acquired from the Partnership, any Affiliate of the Partnership or any other Person or (iii) any combination of the foregoing.</w:t>
      </w:r>
    </w:p>
    <w:p>
      <w:pPr>
        <w:spacing w:after="0" w:line="92" w:lineRule="exact"/>
        <w:rPr>
          <w:rFonts w:ascii="Arial" w:cs="Arial" w:eastAsia="Arial" w:hAnsi="Arial"/>
          <w:sz w:val="18"/>
          <w:szCs w:val="18"/>
          <w:color w:val="auto"/>
        </w:rPr>
      </w:pPr>
    </w:p>
    <w:p>
      <w:pPr>
        <w:ind w:left="2280" w:hanging="300"/>
        <w:spacing w:after="0"/>
        <w:tabs>
          <w:tab w:leader="none" w:pos="2280" w:val="left"/>
        </w:tabs>
        <w:numPr>
          <w:ilvl w:val="1"/>
          <w:numId w:val="101"/>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980" w:right="479" w:firstLine="360"/>
        <w:spacing w:after="0" w:line="254" w:lineRule="auto"/>
        <w:tabs>
          <w:tab w:leader="none" w:pos="2666" w:val="left"/>
        </w:tabs>
        <w:numPr>
          <w:ilvl w:val="2"/>
          <w:numId w:val="101"/>
        </w:numPr>
        <w:rPr>
          <w:rFonts w:ascii="Arial" w:cs="Arial" w:eastAsia="Arial" w:hAnsi="Arial"/>
          <w:sz w:val="18"/>
          <w:szCs w:val="18"/>
          <w:color w:val="auto"/>
        </w:rPr>
      </w:pPr>
      <w:r>
        <w:rPr>
          <w:rFonts w:ascii="Arial" w:cs="Arial" w:eastAsia="Arial" w:hAnsi="Arial"/>
          <w:sz w:val="18"/>
          <w:szCs w:val="18"/>
          <w:u w:val="single" w:color="auto"/>
          <w:color w:val="auto"/>
        </w:rPr>
        <w:t>Certain Restructurings</w:t>
      </w:r>
      <w:r>
        <w:rPr>
          <w:rFonts w:ascii="Arial" w:cs="Arial" w:eastAsia="Arial" w:hAnsi="Arial"/>
          <w:sz w:val="18"/>
          <w:szCs w:val="18"/>
          <w:color w:val="auto"/>
        </w:rPr>
        <w:t>. In the event of any change in the capital structure or business of the Company or the Partnership or other corporate transaction or event that would be considered an “equity restructuring” within the meaning of ASC Topic 718 and, in each case, that would result in an additional compensation expense to the Company or the Partnership pursuant to the provisions of ASC Topic 718, if adjustments to Awards with respect to such event were discretionary, the Committee shall equitably adjust the number and type of Units covered by each outstanding</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19"/>
        <w:spacing w:after="0" w:line="252" w:lineRule="auto"/>
        <w:rPr>
          <w:sz w:val="20"/>
          <w:szCs w:val="20"/>
          <w:color w:val="auto"/>
        </w:rPr>
      </w:pPr>
      <w:r>
        <w:rPr>
          <w:rFonts w:ascii="Arial" w:cs="Arial" w:eastAsia="Arial" w:hAnsi="Arial"/>
          <w:sz w:val="17"/>
          <w:szCs w:val="17"/>
          <w:color w:val="auto"/>
        </w:rPr>
        <w:t xml:space="preserve">Award and the terms and conditions, including the exercise price and performance criteria (if any), of such Award to equitably reflect such restructuring event and shall adjust the number and type of Units (or other securities or property) with respect to which Awards may be granted after such event. Upon the occurrence of any other similar event that would not result in an accounting charge under ASC Topic 718 if the adjustment to Awards with respect to such event were subject to discretionary action, the Committee shall have complete discretion to adjust Awards in such manner as it deems appropriate with respect to such other event. In the event the Committee makes any adjustment pursuant to the foregoing provisions of this </w:t>
      </w:r>
      <w:r>
        <w:rPr>
          <w:rFonts w:ascii="Arial" w:cs="Arial" w:eastAsia="Arial" w:hAnsi="Arial"/>
          <w:sz w:val="17"/>
          <w:szCs w:val="17"/>
          <w:u w:val="single" w:color="auto"/>
          <w:color w:val="auto"/>
        </w:rPr>
        <w:t>Section 4(c)(i)</w:t>
      </w:r>
      <w:r>
        <w:rPr>
          <w:rFonts w:ascii="Arial" w:cs="Arial" w:eastAsia="Arial" w:hAnsi="Arial"/>
          <w:sz w:val="17"/>
          <w:szCs w:val="17"/>
          <w:color w:val="auto"/>
        </w:rPr>
        <w:t xml:space="preserve">, the Committee shall make a corresponding and proportionate adjustment with respect to the maximum number of Units that may be delivered with respect to Awards under the Plan as provided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and the kind of Units or other securities available for grant under the Plan.</w:t>
      </w:r>
    </w:p>
    <w:p>
      <w:pPr>
        <w:spacing w:after="0" w:line="91" w:lineRule="exact"/>
        <w:rPr>
          <w:sz w:val="20"/>
          <w:szCs w:val="20"/>
          <w:color w:val="auto"/>
        </w:rPr>
      </w:pPr>
    </w:p>
    <w:p>
      <w:pPr>
        <w:ind w:left="1980" w:right="419" w:firstLine="360"/>
        <w:spacing w:after="0" w:line="249" w:lineRule="auto"/>
        <w:tabs>
          <w:tab w:leader="none" w:pos="272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Other Adjustments</w:t>
      </w:r>
      <w:r>
        <w:rPr>
          <w:rFonts w:ascii="Arial" w:cs="Arial" w:eastAsia="Arial" w:hAnsi="Arial"/>
          <w:sz w:val="17"/>
          <w:szCs w:val="17"/>
          <w:color w:val="auto"/>
        </w:rPr>
        <w:t xml:space="preserve">. Subject to, and without limiting the scope of, the provisions of </w:t>
      </w:r>
      <w:r>
        <w:rPr>
          <w:rFonts w:ascii="Arial" w:cs="Arial" w:eastAsia="Arial" w:hAnsi="Arial"/>
          <w:sz w:val="17"/>
          <w:szCs w:val="17"/>
          <w:u w:val="single" w:color="auto"/>
          <w:color w:val="auto"/>
        </w:rPr>
        <w:t>Section 4(c)(i)</w:t>
      </w:r>
      <w:r>
        <w:rPr>
          <w:rFonts w:ascii="Arial" w:cs="Arial" w:eastAsia="Arial" w:hAnsi="Arial"/>
          <w:sz w:val="17"/>
          <w:szCs w:val="17"/>
          <w:color w:val="auto"/>
        </w:rPr>
        <w:t>, in the event that the Committee determines that any distribution (whether in the form of cash, Units, other securities, or other property), recapitalization, split, reverse split, reorganization, merger, Change of Control, consolidation, split-up, spin-off, combination, repurchase, or exchange of Units or other securities of the Partnership, issuance of warrants or other rights to purchase Units or other securities of the Partnership, or other similar transaction or event affects the Units such that an adjustment is determined by the Committee, in its sole discretion, to be appropriate in order to prevent dilution or enlargement of the benefits or potential benefits intended to be made available under the Plan, then the Committee shall, in such manner as it may deem equitable, adjust any or all of (A) the number and type of Units (or other securities or property) with respect to which Awards may be granted, (B) the number and type of Units (or other securities or property) subject to outstanding Awards, and (C) the grant or exercise price with respect to any Award or, if deemed appropriate, make provision for a cash payment to the holder of an outstanding Award; provided, that the number of Units subject to any Award shall always be a whole number. Further, upon the occurrence of any event described in the preceding sentence, the Committee, acting in its sole discretion without the consent or approval of any holder, may effect one or more of the following alternatives, which may vary among individual holders and which may vary among Awards: (I) remove any applicable forfeiture restrictions on any Award; (II) accelerate the time of exercisability or the time at which the Restricted Period shall lapse to a specific date specified by the Committee; (III) require the mandatory surrender to the Company or the Partnership by selected holders of some or all of the outstanding Awards held by such holders (irrespective of whether such Awards are then subject to a Restricted Period or other restrictions pursuant to the Plan) as of a date specified by the Committee, in which event the Committee shall thereupon cancel such Awards and cause the Company, the Partnership or an Affiliate thereof to pay to each holder an amount of cash or other consideration per Unit (other than a DER, UDR or Cash Award, which the Committee may separately require to be surrendered in exchange for cash or other consideration determined by the Committee in its discretion) equal to the per Unit value as determined by the Committee as of the date determined by the Committee to be the date of cancellation and surrender of such Awards less the exercise price, if any, applicable to such Awards; provided, however, that to the extent the exercise price of an Option or a Unit Appreciation Right exceeds such per Unit value as determined by the Committee, no consideration will be paid with respect to that Award; (IV) cancel Awards that remain subject to a Restricted Period as of a date specified by the Committee without payment of any consideration to the Participant for such Awards; or (V) make such adjustments to Awards then outstanding as the Committee deems appropriate to reflect such event (including, but not limited to, the substitution of new awards for Awards); provided, however, that the Committee may determine in its sole discretion that no adjustment is necessary to Awards then outstanding.</w:t>
      </w:r>
    </w:p>
    <w:p>
      <w:pPr>
        <w:spacing w:after="0" w:line="106"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b w:val="1"/>
          <w:bCs w:val="1"/>
          <w:u w:val="single" w:color="auto"/>
          <w:color w:val="auto"/>
        </w:rPr>
        <w:t>Eligibility; Award Limitations</w:t>
      </w:r>
      <w:r>
        <w:rPr>
          <w:rFonts w:ascii="Arial" w:cs="Arial" w:eastAsia="Arial" w:hAnsi="Arial"/>
          <w:sz w:val="16"/>
          <w:szCs w:val="16"/>
          <w:color w:val="auto"/>
        </w:rPr>
        <w:t>.</w:t>
      </w:r>
    </w:p>
    <w:p>
      <w:pPr>
        <w:spacing w:after="0" w:line="148" w:lineRule="exact"/>
        <w:rPr>
          <w:sz w:val="20"/>
          <w:szCs w:val="20"/>
          <w:color w:val="auto"/>
        </w:rPr>
      </w:pPr>
    </w:p>
    <w:p>
      <w:pPr>
        <w:ind w:left="1620" w:right="939" w:firstLine="360"/>
        <w:spacing w:after="0" w:line="261" w:lineRule="auto"/>
        <w:tabs>
          <w:tab w:leader="none" w:pos="2284"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Any Employee or Director shall be eligible to be designated a Participant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 Award under the Plan.</w:t>
      </w:r>
    </w:p>
    <w:p>
      <w:pPr>
        <w:spacing w:after="0" w:line="76" w:lineRule="exact"/>
        <w:rPr>
          <w:rFonts w:ascii="Arial" w:cs="Arial" w:eastAsia="Arial" w:hAnsi="Arial"/>
          <w:sz w:val="18"/>
          <w:szCs w:val="18"/>
          <w:color w:val="auto"/>
        </w:rPr>
      </w:pPr>
    </w:p>
    <w:p>
      <w:pPr>
        <w:jc w:val="both"/>
        <w:ind w:left="1620" w:right="459" w:firstLine="360"/>
        <w:spacing w:after="0" w:line="270" w:lineRule="auto"/>
        <w:tabs>
          <w:tab w:leader="none" w:pos="2294"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Minimum Vesting Requirements</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4(c)</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any Award of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Units or other Award that will be potentially settled in Units (or portion thereof) granted under the Plan shall vest no earlier than the first anniversary of the date such Award is granted; provided, however,</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rPr>
          <w:sz w:val="20"/>
          <w:szCs w:val="20"/>
          <w:color w:val="auto"/>
        </w:rPr>
      </w:pPr>
      <w:r>
        <w:rPr>
          <w:rFonts w:ascii="Arial" w:cs="Arial" w:eastAsia="Arial" w:hAnsi="Arial"/>
          <w:sz w:val="18"/>
          <w:szCs w:val="18"/>
          <w:color w:val="auto"/>
        </w:rPr>
        <w:t xml:space="preserve">that, notwithstanding the foregoing, Awards that result in the issuance of an aggregate of up to 5% of the Units available for issuance under the Plan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may be granted to any one or more Participants without respect to and/or administered without regard for this minimum vesting provision. No Award Agreement shall be permitted to reduce or eliminate the requirements of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shall preclude the Committee from taking action, in its sole discretion, to accelerate the vesting of any Award for any reason.</w:t>
      </w:r>
    </w:p>
    <w:p>
      <w:pPr>
        <w:spacing w:after="0" w:line="91"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5"/>
          <w:szCs w:val="15"/>
          <w:b w:val="1"/>
          <w:bCs w:val="1"/>
          <w:u w:val="single" w:color="auto"/>
          <w:color w:val="auto"/>
        </w:rPr>
        <w:t>Awards</w:t>
      </w:r>
      <w:r>
        <w:rPr>
          <w:rFonts w:ascii="Arial" w:cs="Arial" w:eastAsia="Arial" w:hAnsi="Arial"/>
          <w:sz w:val="15"/>
          <w:szCs w:val="15"/>
          <w:color w:val="auto"/>
        </w:rPr>
        <w:t>.</w:t>
      </w:r>
    </w:p>
    <w:p>
      <w:pPr>
        <w:spacing w:after="0" w:line="135" w:lineRule="exact"/>
        <w:rPr>
          <w:sz w:val="20"/>
          <w:szCs w:val="20"/>
          <w:color w:val="auto"/>
        </w:rPr>
      </w:pPr>
    </w:p>
    <w:p>
      <w:pPr>
        <w:ind w:left="1620" w:right="559" w:firstLine="360"/>
        <w:spacing w:after="0"/>
        <w:tabs>
          <w:tab w:leader="none" w:pos="2284"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Committee shall have the authority to determine the Employees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Options shall be granted, the number of Units to be covered by each Option, whether DERs are granted with respect to such Option, the purchase price therefor and the conditions and limitations applicable to the exercise of the Option, including the following terms and conditions and such additional terms and conditions, as the Committee shall determine, that are not inconsistent with the provisions of the Plan.</w:t>
      </w:r>
    </w:p>
    <w:p>
      <w:pPr>
        <w:spacing w:after="0" w:line="108" w:lineRule="exact"/>
        <w:rPr>
          <w:rFonts w:ascii="Arial" w:cs="Arial" w:eastAsia="Arial" w:hAnsi="Arial"/>
          <w:sz w:val="18"/>
          <w:szCs w:val="18"/>
          <w:color w:val="auto"/>
        </w:rPr>
      </w:pPr>
    </w:p>
    <w:p>
      <w:pPr>
        <w:ind w:left="1980" w:right="659" w:firstLine="360"/>
        <w:spacing w:after="0" w:line="248" w:lineRule="auto"/>
        <w:tabs>
          <w:tab w:leader="none" w:pos="266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purchase price per Unit purchasable under an Option shall be determined by the Committee at the time the Option is granted but may not be less than the Fair Market Value of a Unit as of the date of grant.</w:t>
      </w:r>
    </w:p>
    <w:p>
      <w:pPr>
        <w:spacing w:after="0" w:line="87" w:lineRule="exact"/>
        <w:rPr>
          <w:rFonts w:ascii="Arial" w:cs="Arial" w:eastAsia="Arial" w:hAnsi="Arial"/>
          <w:sz w:val="18"/>
          <w:szCs w:val="18"/>
          <w:color w:val="auto"/>
        </w:rPr>
      </w:pPr>
    </w:p>
    <w:p>
      <w:pPr>
        <w:ind w:left="1980" w:right="479" w:firstLine="360"/>
        <w:spacing w:after="0" w:line="255" w:lineRule="auto"/>
        <w:tabs>
          <w:tab w:leader="none" w:pos="2720"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Time and Method of Exercise</w:t>
      </w:r>
      <w:r>
        <w:rPr>
          <w:rFonts w:ascii="Arial" w:cs="Arial" w:eastAsia="Arial" w:hAnsi="Arial"/>
          <w:sz w:val="17"/>
          <w:szCs w:val="17"/>
          <w:color w:val="auto"/>
        </w:rPr>
        <w:t>. The Committee shall determine the Restricted Period, i.e., the time or times at which an Option may be exercised in whole or in part, and the method or methods by which payment of the exercise price with respect thereto may be made or deemed to have been made, which may include, without limitation, cash, check acceptable to the Company, a “cashless-broker” exercise through procedures approved by the Company, other securities or other property, a note (in a form acceptable to the Company), or any combination thereof, having a Fair Market Value on the exercise date equal to the relevant exercise price.</w:t>
      </w:r>
    </w:p>
    <w:p>
      <w:pPr>
        <w:spacing w:after="0" w:line="85" w:lineRule="exact"/>
        <w:rPr>
          <w:rFonts w:ascii="Arial" w:cs="Arial" w:eastAsia="Arial" w:hAnsi="Arial"/>
          <w:sz w:val="17"/>
          <w:szCs w:val="17"/>
          <w:color w:val="auto"/>
        </w:rPr>
      </w:pPr>
    </w:p>
    <w:p>
      <w:pPr>
        <w:ind w:left="1980" w:right="419" w:firstLine="360"/>
        <w:spacing w:after="0" w:line="241" w:lineRule="auto"/>
        <w:tabs>
          <w:tab w:leader="none" w:pos="2773"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 Except as otherwise provided in the terms of the Option Award Agreement, upon termination of a Participant’s employment with the Company and its Affiliates or membership on the Board, whichever is applicable, for any reason during the applicable Restricted Period, all outstanding Options awarded to the Participant shall be automatically forfeited on such termination.</w:t>
      </w:r>
    </w:p>
    <w:p>
      <w:pPr>
        <w:spacing w:after="0" w:line="108" w:lineRule="exact"/>
        <w:rPr>
          <w:rFonts w:ascii="Arial" w:cs="Arial" w:eastAsia="Arial" w:hAnsi="Arial"/>
          <w:sz w:val="18"/>
          <w:szCs w:val="18"/>
          <w:color w:val="auto"/>
        </w:rPr>
      </w:pPr>
    </w:p>
    <w:p>
      <w:pPr>
        <w:ind w:left="1980" w:right="419" w:firstLine="360"/>
        <w:spacing w:after="0" w:line="259" w:lineRule="auto"/>
        <w:tabs>
          <w:tab w:leader="none" w:pos="2760"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Option DERs</w:t>
      </w:r>
      <w:r>
        <w:rPr>
          <w:rFonts w:ascii="Arial" w:cs="Arial" w:eastAsia="Arial" w:hAnsi="Arial"/>
          <w:sz w:val="17"/>
          <w:szCs w:val="17"/>
          <w:color w:val="auto"/>
        </w:rPr>
        <w:t>. To the extent provided by the Committee, in its discretion, an Option may include a tandem DER grant, which may provide that such DERs shall be paid directly to the Participant, be credited to a bookkeeping account (with or without interest in the discretion of the Committee), be subject to the same vesting restrictions as the tandem Options Award, or be subject to such other provisions or restrictions as determined by the Committee in its discretion.</w:t>
      </w:r>
    </w:p>
    <w:p>
      <w:pPr>
        <w:spacing w:after="0" w:line="79" w:lineRule="exact"/>
        <w:rPr>
          <w:rFonts w:ascii="Arial" w:cs="Arial" w:eastAsia="Arial" w:hAnsi="Arial"/>
          <w:sz w:val="17"/>
          <w:szCs w:val="17"/>
          <w:color w:val="auto"/>
        </w:rPr>
      </w:pPr>
    </w:p>
    <w:p>
      <w:pPr>
        <w:ind w:left="1620" w:right="439" w:firstLine="360"/>
        <w:spacing w:after="0"/>
        <w:tabs>
          <w:tab w:leader="none" w:pos="2294"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Restricted Units and Phantom Units</w:t>
      </w:r>
      <w:r>
        <w:rPr>
          <w:rFonts w:ascii="Arial" w:cs="Arial" w:eastAsia="Arial" w:hAnsi="Arial"/>
          <w:sz w:val="18"/>
          <w:szCs w:val="18"/>
          <w:color w:val="auto"/>
        </w:rPr>
        <w:t>. The Committee shall have the authority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Employees and Directors to whom Restricted Units or Phantom Units shall be granted, the number of Restricted Units or Phantom Units to be granted to each such Participant, the Restricted Period, the conditions under which the Restricted Units or Phantom Units may become vested or forfeited, and such other terms and conditions as the Committee may establish with respect to such Awards, including whether DERs are granted with respect to the Phantom Units.</w:t>
      </w:r>
    </w:p>
    <w:p>
      <w:pPr>
        <w:spacing w:after="0" w:line="94" w:lineRule="exact"/>
        <w:rPr>
          <w:rFonts w:ascii="Arial" w:cs="Arial" w:eastAsia="Arial" w:hAnsi="Arial"/>
          <w:sz w:val="18"/>
          <w:szCs w:val="18"/>
          <w:color w:val="auto"/>
        </w:rPr>
      </w:pPr>
    </w:p>
    <w:p>
      <w:pPr>
        <w:ind w:left="1980" w:right="459" w:firstLine="360"/>
        <w:spacing w:after="0"/>
        <w:tabs>
          <w:tab w:leader="none" w:pos="266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DERs</w:t>
      </w:r>
      <w:r>
        <w:rPr>
          <w:rFonts w:ascii="Arial" w:cs="Arial" w:eastAsia="Arial" w:hAnsi="Arial"/>
          <w:sz w:val="18"/>
          <w:szCs w:val="18"/>
          <w:color w:val="auto"/>
        </w:rPr>
        <w:t>. To the extent provided by the Committee, in its discretion, a Phantom Unit Award may include a tandem DER grant, which may provide that such DERs shall be paid directly to the Participant, be credited to a bookkeeping account (with or without interest in the discretion of the Committee), be subject to the same vesting restrictions as the tandem Phantom Unit Award, or be subject to such other provisions or restrictions as determined by the Committee in its discretion.</w:t>
      </w:r>
    </w:p>
    <w:p>
      <w:pPr>
        <w:spacing w:after="0" w:line="108" w:lineRule="exact"/>
        <w:rPr>
          <w:rFonts w:ascii="Arial" w:cs="Arial" w:eastAsia="Arial" w:hAnsi="Arial"/>
          <w:sz w:val="18"/>
          <w:szCs w:val="18"/>
          <w:color w:val="auto"/>
        </w:rPr>
      </w:pPr>
    </w:p>
    <w:p>
      <w:pPr>
        <w:ind w:left="1980" w:right="459" w:firstLine="360"/>
        <w:spacing w:after="0" w:line="239" w:lineRule="auto"/>
        <w:tabs>
          <w:tab w:leader="none" w:pos="272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UDRs</w:t>
      </w:r>
      <w:r>
        <w:rPr>
          <w:rFonts w:ascii="Arial" w:cs="Arial" w:eastAsia="Arial" w:hAnsi="Arial"/>
          <w:sz w:val="18"/>
          <w:szCs w:val="18"/>
          <w:color w:val="auto"/>
        </w:rPr>
        <w:t>. To the extent provided by the Committee, in its discretion, a Restricted Units Award Agreement may provide that distributions made by the Partnership with respect to the Restricted Units shall be subject to the same forfeiture and other restrictions as the Restricted Unit and, if restricted, such distributions shall be held, without interest, until the Restricted Unit vests or is forfeited with the UDR being paid or forfeited at the same time, as the case may be. Absent such a restriction on the UDRs in the Award Agreement, UDRs shall be paid to the holder of the Restricted Unit without restriction.</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619" w:firstLine="360"/>
        <w:spacing w:after="0" w:line="275" w:lineRule="auto"/>
        <w:tabs>
          <w:tab w:leader="none" w:pos="2773"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Forfeitures</w:t>
      </w:r>
      <w:r>
        <w:rPr>
          <w:rFonts w:ascii="Arial" w:cs="Arial" w:eastAsia="Arial" w:hAnsi="Arial"/>
          <w:sz w:val="17"/>
          <w:szCs w:val="17"/>
          <w:color w:val="auto"/>
        </w:rPr>
        <w:t>. Except as otherwise provided in the terms of the Restricted Units or Phantom Units Award Agreement, upon termination of a Participant’s employment with the Company and its Affiliates or membership on the Board, whichever is applicable, for any reason during the applicable Restricted Period, all outstanding Restricted Units and Phantom Units awarded to the Participant shall be automatically forfeited on such termination.</w:t>
      </w:r>
    </w:p>
    <w:p>
      <w:pPr>
        <w:spacing w:after="0" w:line="81" w:lineRule="exact"/>
        <w:rPr>
          <w:rFonts w:ascii="Arial" w:cs="Arial" w:eastAsia="Arial" w:hAnsi="Arial"/>
          <w:sz w:val="17"/>
          <w:szCs w:val="17"/>
          <w:color w:val="auto"/>
        </w:rPr>
      </w:pPr>
    </w:p>
    <w:p>
      <w:pPr>
        <w:ind w:left="2760" w:hanging="420"/>
        <w:spacing w:after="0"/>
        <w:tabs>
          <w:tab w:leader="none" w:pos="276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340" w:right="539" w:firstLine="360"/>
        <w:spacing w:after="0" w:line="257" w:lineRule="auto"/>
        <w:tabs>
          <w:tab w:leader="none" w:pos="3054"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Phantom Units</w:t>
      </w:r>
      <w:r>
        <w:rPr>
          <w:rFonts w:ascii="Arial" w:cs="Arial" w:eastAsia="Arial" w:hAnsi="Arial"/>
          <w:sz w:val="18"/>
          <w:szCs w:val="18"/>
          <w:color w:val="auto"/>
        </w:rPr>
        <w:t xml:space="preserve">. Upon or as soon as reasonably practical following the vesting of each Phantom Unit, subject to the provisions of </w:t>
      </w:r>
      <w:r>
        <w:rPr>
          <w:rFonts w:ascii="Arial" w:cs="Arial" w:eastAsia="Arial" w:hAnsi="Arial"/>
          <w:sz w:val="18"/>
          <w:szCs w:val="18"/>
          <w:u w:val="single" w:color="auto"/>
          <w:color w:val="auto"/>
        </w:rPr>
        <w:t>Section 8(b)</w:t>
      </w:r>
      <w:r>
        <w:rPr>
          <w:rFonts w:ascii="Arial" w:cs="Arial" w:eastAsia="Arial" w:hAnsi="Arial"/>
          <w:sz w:val="18"/>
          <w:szCs w:val="18"/>
          <w:color w:val="auto"/>
        </w:rPr>
        <w:t>, the Participant shall be entitled to receive from the Company one Unit or cash equal to the Fair Market Value of a Unit, as determined by the Committee in its discretion and as provided in the applicable Award Agreement.</w:t>
      </w:r>
    </w:p>
    <w:p>
      <w:pPr>
        <w:spacing w:after="0" w:line="106" w:lineRule="exact"/>
        <w:rPr>
          <w:rFonts w:ascii="Arial" w:cs="Arial" w:eastAsia="Arial" w:hAnsi="Arial"/>
          <w:sz w:val="18"/>
          <w:szCs w:val="18"/>
          <w:color w:val="auto"/>
        </w:rPr>
      </w:pPr>
    </w:p>
    <w:p>
      <w:pPr>
        <w:ind w:left="2340" w:right="439" w:firstLine="360"/>
        <w:spacing w:after="0" w:line="263" w:lineRule="auto"/>
        <w:tabs>
          <w:tab w:leader="none" w:pos="3044" w:val="left"/>
        </w:tabs>
        <w:numPr>
          <w:ilvl w:val="2"/>
          <w:numId w:val="105"/>
        </w:numPr>
        <w:rPr>
          <w:rFonts w:ascii="Arial" w:cs="Arial" w:eastAsia="Arial" w:hAnsi="Arial"/>
          <w:sz w:val="18"/>
          <w:szCs w:val="18"/>
          <w:color w:val="auto"/>
        </w:rPr>
      </w:pPr>
      <w:r>
        <w:rPr>
          <w:rFonts w:ascii="Arial" w:cs="Arial" w:eastAsia="Arial" w:hAnsi="Arial"/>
          <w:sz w:val="18"/>
          <w:szCs w:val="18"/>
          <w:u w:val="single" w:color="auto"/>
          <w:color w:val="auto"/>
        </w:rPr>
        <w:t>Restricted Units</w:t>
      </w:r>
      <w:r>
        <w:rPr>
          <w:rFonts w:ascii="Arial" w:cs="Arial" w:eastAsia="Arial" w:hAnsi="Arial"/>
          <w:sz w:val="18"/>
          <w:szCs w:val="18"/>
          <w:color w:val="auto"/>
        </w:rPr>
        <w:t xml:space="preserve">. Upon or as soon as reasonably practical following the vesting of each Restricted Unit, subject to the provisions of </w:t>
      </w:r>
      <w:r>
        <w:rPr>
          <w:rFonts w:ascii="Arial" w:cs="Arial" w:eastAsia="Arial" w:hAnsi="Arial"/>
          <w:sz w:val="18"/>
          <w:szCs w:val="18"/>
          <w:u w:val="single" w:color="auto"/>
          <w:color w:val="auto"/>
        </w:rPr>
        <w:t>Section 8(b)</w:t>
      </w:r>
      <w:r>
        <w:rPr>
          <w:rFonts w:ascii="Arial" w:cs="Arial" w:eastAsia="Arial" w:hAnsi="Arial"/>
          <w:sz w:val="18"/>
          <w:szCs w:val="18"/>
          <w:color w:val="auto"/>
        </w:rPr>
        <w:t>, the Participant shall be entitled to have the relevant restrictions removed from his or her Unit certificate.</w:t>
      </w:r>
    </w:p>
    <w:p>
      <w:pPr>
        <w:spacing w:after="0" w:line="89" w:lineRule="exact"/>
        <w:rPr>
          <w:rFonts w:ascii="Arial" w:cs="Arial" w:eastAsia="Arial" w:hAnsi="Arial"/>
          <w:sz w:val="18"/>
          <w:szCs w:val="18"/>
          <w:color w:val="auto"/>
        </w:rPr>
      </w:pPr>
    </w:p>
    <w:p>
      <w:pPr>
        <w:ind w:left="1620" w:right="419" w:firstLine="360"/>
        <w:spacing w:after="0" w:line="273" w:lineRule="auto"/>
        <w:tabs>
          <w:tab w:leader="none" w:pos="2284"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Unit Appreciation Rights</w:t>
      </w:r>
      <w:r>
        <w:rPr>
          <w:rFonts w:ascii="Arial" w:cs="Arial" w:eastAsia="Arial" w:hAnsi="Arial"/>
          <w:sz w:val="17"/>
          <w:szCs w:val="17"/>
          <w:color w:val="auto"/>
        </w:rPr>
        <w:t>. The Committee shall have the authority to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Directors to whom Unit Appreciation Rights shall be granted, the number of Units to be covered by each Award Agreement, whether DERs are granted with respect to such Unit Appreciation Rights, the exercise price therefor and the conditions and limitations applicable to the exercise of the Unit Appreciation Rights, including the following terms and conditions and such additional terms and conditions, as the Committee shall determine, that are not inconsistent with the provisions of the Plan.</w:t>
      </w:r>
    </w:p>
    <w:p>
      <w:pPr>
        <w:spacing w:after="0" w:line="83" w:lineRule="exact"/>
        <w:rPr>
          <w:rFonts w:ascii="Arial" w:cs="Arial" w:eastAsia="Arial" w:hAnsi="Arial"/>
          <w:sz w:val="17"/>
          <w:szCs w:val="17"/>
          <w:color w:val="auto"/>
        </w:rPr>
      </w:pPr>
    </w:p>
    <w:p>
      <w:pPr>
        <w:jc w:val="both"/>
        <w:ind w:left="1980" w:right="619" w:firstLine="360"/>
        <w:spacing w:after="0" w:line="263" w:lineRule="auto"/>
        <w:tabs>
          <w:tab w:leader="none" w:pos="2666"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Unit Appreciation Right shall be determined by the Committee at the time the Unit Appreciation Rights are granted but may not be less than the Fair Market Value of a Unit as of the date of grant.</w:t>
      </w:r>
    </w:p>
    <w:p>
      <w:pPr>
        <w:spacing w:after="0" w:line="102" w:lineRule="exact"/>
        <w:rPr>
          <w:rFonts w:ascii="Arial" w:cs="Arial" w:eastAsia="Arial" w:hAnsi="Arial"/>
          <w:sz w:val="18"/>
          <w:szCs w:val="18"/>
          <w:color w:val="auto"/>
        </w:rPr>
      </w:pPr>
    </w:p>
    <w:p>
      <w:pPr>
        <w:ind w:left="1980" w:right="419" w:firstLine="360"/>
        <w:spacing w:after="0" w:line="277" w:lineRule="auto"/>
        <w:tabs>
          <w:tab w:leader="none" w:pos="272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Time of Exercise</w:t>
      </w:r>
      <w:r>
        <w:rPr>
          <w:rFonts w:ascii="Arial" w:cs="Arial" w:eastAsia="Arial" w:hAnsi="Arial"/>
          <w:sz w:val="18"/>
          <w:szCs w:val="18"/>
          <w:color w:val="auto"/>
        </w:rPr>
        <w:t>. The Committee shall determine the Restricted Period, i.e., the time or times at which a Unit Appreciation Right may be exercised in whole or in part.</w:t>
      </w:r>
    </w:p>
    <w:p>
      <w:pPr>
        <w:spacing w:after="0" w:line="75" w:lineRule="exact"/>
        <w:rPr>
          <w:rFonts w:ascii="Arial" w:cs="Arial" w:eastAsia="Arial" w:hAnsi="Arial"/>
          <w:sz w:val="18"/>
          <w:szCs w:val="18"/>
          <w:color w:val="auto"/>
        </w:rPr>
      </w:pPr>
    </w:p>
    <w:p>
      <w:pPr>
        <w:ind w:left="1980" w:right="479" w:firstLine="360"/>
        <w:spacing w:after="0" w:line="257" w:lineRule="auto"/>
        <w:tabs>
          <w:tab w:leader="none" w:pos="2773"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 Except as otherwise provided in the terms of the Unit Appreciation Rights Award Agreement, upon termination of a Participant’s employment with the Company and its Affiliates or membership on the Board, whichever is applicable, for any reason during the applicable Restricted Period, all outstanding Unit Appreciation Rights awarded to the Participant shall be automatically forfeited on such termination.</w:t>
      </w:r>
    </w:p>
    <w:p>
      <w:pPr>
        <w:spacing w:after="0" w:line="93" w:lineRule="exact"/>
        <w:rPr>
          <w:rFonts w:ascii="Arial" w:cs="Arial" w:eastAsia="Arial" w:hAnsi="Arial"/>
          <w:sz w:val="18"/>
          <w:szCs w:val="18"/>
          <w:color w:val="auto"/>
        </w:rPr>
      </w:pPr>
    </w:p>
    <w:p>
      <w:pPr>
        <w:ind w:left="1980" w:right="539" w:firstLine="360"/>
        <w:spacing w:after="0" w:line="255" w:lineRule="auto"/>
        <w:tabs>
          <w:tab w:leader="none" w:pos="2760"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Unit Appreciation Rights DERs</w:t>
      </w:r>
      <w:r>
        <w:rPr>
          <w:rFonts w:ascii="Arial" w:cs="Arial" w:eastAsia="Arial" w:hAnsi="Arial"/>
          <w:sz w:val="18"/>
          <w:szCs w:val="18"/>
          <w:color w:val="auto"/>
        </w:rPr>
        <w:t>. To the extent provided by the Committee, in its discretion, a Unit Appreciation Right may include a tandem DER grant, which may provide that such DERs shall be paid directly to the Participant, be credited to a bookkeeping account (with or without interest in the discretion of the Committee), be subject to the same vesting restrictions as the tandem Unit Appreciation Rights Award, or be subject to such other provisions or restrictions as determined by the Committee in its discretion.</w:t>
      </w:r>
    </w:p>
    <w:p>
      <w:pPr>
        <w:spacing w:after="0" w:line="111" w:lineRule="exact"/>
        <w:rPr>
          <w:rFonts w:ascii="Arial" w:cs="Arial" w:eastAsia="Arial" w:hAnsi="Arial"/>
          <w:sz w:val="18"/>
          <w:szCs w:val="18"/>
          <w:color w:val="auto"/>
        </w:rPr>
      </w:pPr>
    </w:p>
    <w:p>
      <w:pPr>
        <w:ind w:left="1620" w:right="579" w:firstLine="360"/>
        <w:spacing w:after="0" w:line="255" w:lineRule="auto"/>
        <w:tabs>
          <w:tab w:leader="none" w:pos="2294"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The Committee shall have the authority to determine the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to whom Cash Awards shall be granted, the amount of cash to be covered by each Cash Award, and all terms and conditions applicable to Cash Awards, including for purposes of any annual or short-term incentive or other bonus program. Cash Awards may be granted on a free-standing basis or as an element of, a supplement to, or in lieu of any other Award under the Plan to Employees and Directors.</w:t>
      </w:r>
    </w:p>
    <w:p>
      <w:pPr>
        <w:spacing w:after="0" w:line="97" w:lineRule="exact"/>
        <w:rPr>
          <w:rFonts w:ascii="Arial" w:cs="Arial" w:eastAsia="Arial" w:hAnsi="Arial"/>
          <w:sz w:val="18"/>
          <w:szCs w:val="18"/>
          <w:color w:val="auto"/>
        </w:rPr>
      </w:pPr>
    </w:p>
    <w:p>
      <w:pPr>
        <w:ind w:left="2280" w:hanging="300"/>
        <w:spacing w:after="0"/>
        <w:tabs>
          <w:tab w:leader="none" w:pos="22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right="579" w:firstLine="360"/>
        <w:spacing w:after="0" w:line="273" w:lineRule="auto"/>
        <w:tabs>
          <w:tab w:leader="none" w:pos="2656"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Awards may be granted on the terms and conditions set forth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be subject to such terms and conditions, not inconsistent with the provisions of the Plan, as the Committee shall determine, including service- or performance-based vesting conditions. Without limiting the scope of </w:t>
      </w:r>
      <w:r>
        <w:rPr>
          <w:rFonts w:ascii="Arial" w:cs="Arial" w:eastAsia="Arial" w:hAnsi="Arial"/>
          <w:sz w:val="17"/>
          <w:szCs w:val="17"/>
          <w:u w:val="single" w:color="auto"/>
          <w:color w:val="auto"/>
        </w:rPr>
        <w:t>Section 6(e)(i)</w:t>
      </w:r>
      <w:r>
        <w:rPr>
          <w:rFonts w:ascii="Arial" w:cs="Arial" w:eastAsia="Arial" w:hAnsi="Arial"/>
          <w:sz w:val="17"/>
          <w:szCs w:val="17"/>
          <w:color w:val="auto"/>
        </w:rPr>
        <w:t>, with respect to any performance-based conditions, (i) the Committee may use one or more business criteria or other measures of performance as it may deem appropriate in establishing any performance goals applicable to an Award, (ii) any such</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19"/>
        <w:spacing w:after="0"/>
        <w:rPr>
          <w:sz w:val="20"/>
          <w:szCs w:val="20"/>
          <w:color w:val="auto"/>
        </w:rPr>
      </w:pPr>
      <w:r>
        <w:rPr>
          <w:rFonts w:ascii="Arial" w:cs="Arial" w:eastAsia="Arial" w:hAnsi="Arial"/>
          <w:sz w:val="18"/>
          <w:szCs w:val="18"/>
          <w:color w:val="auto"/>
        </w:rPr>
        <w:t>performance goals may relate to the performance of the Participant, the Partnership, the Company and/or any of their respective Affiliates or Subsidiaries, business, financial or geographical units or operating areas of the Company, (iii) the performance period or periods over which performance goals will be measured shall be established by the Committee, and (iv) any such performance goals and performance periods may differ among Awards granted to any one Participant or to different Participants.</w:t>
      </w:r>
    </w:p>
    <w:p>
      <w:pPr>
        <w:spacing w:after="0" w:line="95" w:lineRule="exact"/>
        <w:rPr>
          <w:sz w:val="20"/>
          <w:szCs w:val="20"/>
          <w:color w:val="auto"/>
        </w:rPr>
      </w:pPr>
    </w:p>
    <w:p>
      <w:pPr>
        <w:ind w:left="1980" w:right="479" w:firstLine="360"/>
        <w:spacing w:after="0" w:line="239" w:lineRule="auto"/>
        <w:tabs>
          <w:tab w:leader="none" w:pos="27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Awards May Be Granted Separately or Together</w:t>
      </w:r>
      <w:r>
        <w:rPr>
          <w:rFonts w:ascii="Arial" w:cs="Arial" w:eastAsia="Arial" w:hAnsi="Arial"/>
          <w:sz w:val="18"/>
          <w:szCs w:val="18"/>
          <w:color w:val="auto"/>
        </w:rPr>
        <w:t>. Awards may, in the discretion of the Committee, be granted either alone or in addition to, in tandem with, or in substitution for any other Award granted under the Plan or any award granted under any other plan of the Company or any Affiliate of the Company. Awards (including, without limitation, DERs) granted in addition to or in tandem with other Awards or awards granted under any other plan of the Company or any Affiliate of the Company may be granted either at the same time as or at a different time from the grant of such other Awards or awards.</w:t>
      </w:r>
    </w:p>
    <w:p>
      <w:pPr>
        <w:spacing w:after="0" w:line="96" w:lineRule="exact"/>
        <w:rPr>
          <w:rFonts w:ascii="Arial" w:cs="Arial" w:eastAsia="Arial" w:hAnsi="Arial"/>
          <w:sz w:val="18"/>
          <w:szCs w:val="18"/>
          <w:color w:val="auto"/>
        </w:rPr>
      </w:pPr>
    </w:p>
    <w:p>
      <w:pPr>
        <w:ind w:left="2780" w:hanging="440"/>
        <w:spacing w:after="0"/>
        <w:tabs>
          <w:tab w:leader="none" w:pos="27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Limits on Transfer of Awards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2340" w:right="459" w:firstLine="360"/>
        <w:spacing w:after="0" w:line="248" w:lineRule="auto"/>
        <w:tabs>
          <w:tab w:leader="none" w:pos="305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Except as provided in (C) below, each Option and Unit Appreciation Right shall be exercisable only by the Participant during the Participant’s lifetime, or by the person to whom the Participant’s rights shall pass by will or the laws of descent and distribution.</w:t>
      </w:r>
    </w:p>
    <w:p>
      <w:pPr>
        <w:spacing w:after="0" w:line="87" w:lineRule="exact"/>
        <w:rPr>
          <w:rFonts w:ascii="Arial" w:cs="Arial" w:eastAsia="Arial" w:hAnsi="Arial"/>
          <w:sz w:val="18"/>
          <w:szCs w:val="18"/>
          <w:color w:val="auto"/>
        </w:rPr>
      </w:pPr>
    </w:p>
    <w:p>
      <w:pPr>
        <w:ind w:left="2340" w:right="519" w:firstLine="360"/>
        <w:spacing w:after="0" w:line="259" w:lineRule="auto"/>
        <w:tabs>
          <w:tab w:leader="none" w:pos="3044" w:val="left"/>
        </w:tabs>
        <w:numPr>
          <w:ilvl w:val="1"/>
          <w:numId w:val="107"/>
        </w:numPr>
        <w:rPr>
          <w:rFonts w:ascii="Arial" w:cs="Arial" w:eastAsia="Arial" w:hAnsi="Arial"/>
          <w:sz w:val="17"/>
          <w:szCs w:val="17"/>
          <w:color w:val="auto"/>
        </w:rPr>
      </w:pPr>
      <w:r>
        <w:rPr>
          <w:rFonts w:ascii="Arial" w:cs="Arial" w:eastAsia="Arial" w:hAnsi="Arial"/>
          <w:sz w:val="17"/>
          <w:szCs w:val="17"/>
          <w:color w:val="auto"/>
        </w:rPr>
        <w:t>Except as provided in (C) below, no Award and no right under any such Award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the Partnership or any of their Affiliates.</w:t>
      </w:r>
    </w:p>
    <w:p>
      <w:pPr>
        <w:spacing w:after="0" w:line="79" w:lineRule="exact"/>
        <w:rPr>
          <w:rFonts w:ascii="Arial" w:cs="Arial" w:eastAsia="Arial" w:hAnsi="Arial"/>
          <w:sz w:val="17"/>
          <w:szCs w:val="17"/>
          <w:color w:val="auto"/>
        </w:rPr>
      </w:pPr>
    </w:p>
    <w:p>
      <w:pPr>
        <w:ind w:left="2340" w:right="659" w:firstLine="360"/>
        <w:spacing w:after="0" w:line="257" w:lineRule="auto"/>
        <w:tabs>
          <w:tab w:leader="none" w:pos="304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To the extent specifically provided by the Committee with respect to an Option or Unit Appreciation Right Award Agreement, an Option or Unit Appreciation Right may be transferred by a Participant without consideration to immediate family members or related family trusts, limited partnerships or similar entities or on such terms and conditions as the Committee may from time to time establish; provided, however, that no Award may be transferred to a third-party financial institution for value.</w:t>
      </w:r>
    </w:p>
    <w:p>
      <w:pPr>
        <w:spacing w:after="0" w:line="94" w:lineRule="exact"/>
        <w:rPr>
          <w:rFonts w:ascii="Arial" w:cs="Arial" w:eastAsia="Arial" w:hAnsi="Arial"/>
          <w:sz w:val="17"/>
          <w:szCs w:val="17"/>
          <w:color w:val="auto"/>
        </w:rPr>
      </w:pPr>
    </w:p>
    <w:p>
      <w:pPr>
        <w:ind w:left="1980" w:right="1279" w:firstLine="360"/>
        <w:spacing w:after="0" w:line="261" w:lineRule="auto"/>
        <w:tabs>
          <w:tab w:leader="none" w:pos="27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Term of Awards</w:t>
      </w:r>
      <w:r>
        <w:rPr>
          <w:rFonts w:ascii="Arial" w:cs="Arial" w:eastAsia="Arial" w:hAnsi="Arial"/>
          <w:sz w:val="18"/>
          <w:szCs w:val="18"/>
          <w:color w:val="auto"/>
        </w:rPr>
        <w:t>. The term of each Award shall be for such period as may be determined by the Committee.</w:t>
      </w:r>
    </w:p>
    <w:p>
      <w:pPr>
        <w:spacing w:after="0" w:line="76" w:lineRule="exact"/>
        <w:rPr>
          <w:rFonts w:ascii="Arial" w:cs="Arial" w:eastAsia="Arial" w:hAnsi="Arial"/>
          <w:sz w:val="18"/>
          <w:szCs w:val="18"/>
          <w:color w:val="auto"/>
        </w:rPr>
      </w:pPr>
    </w:p>
    <w:p>
      <w:pPr>
        <w:ind w:left="1980" w:right="519" w:firstLine="360"/>
        <w:spacing w:after="0" w:line="239" w:lineRule="auto"/>
        <w:tabs>
          <w:tab w:leader="none" w:pos="270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Unit Restrictions</w:t>
      </w:r>
      <w:r>
        <w:rPr>
          <w:rFonts w:ascii="Arial" w:cs="Arial" w:eastAsia="Arial" w:hAnsi="Arial"/>
          <w:sz w:val="18"/>
          <w:szCs w:val="18"/>
          <w:color w:val="auto"/>
        </w:rPr>
        <w:t>. All Units or other securities of the Partnership (whether or not in certificated form) delivered under the Plan pursuant to any Award or the exercise thereof shall be subject to such stop transfer orders and other restrictions as the Committee may deem advisable under the Plan or the rules, regulations, and other requirements of the SEC, any stock exchange upon which such Units or other securities are then listed, and any applicable federal or state laws, and the Committee may cause a legend or legends to be put on any certificates, if applicable, to make appropriate reference to such restrictions.</w:t>
      </w:r>
    </w:p>
    <w:p>
      <w:pPr>
        <w:spacing w:after="0" w:line="96" w:lineRule="exact"/>
        <w:rPr>
          <w:rFonts w:ascii="Arial" w:cs="Arial" w:eastAsia="Arial" w:hAnsi="Arial"/>
          <w:sz w:val="18"/>
          <w:szCs w:val="18"/>
          <w:color w:val="auto"/>
        </w:rPr>
      </w:pPr>
    </w:p>
    <w:p>
      <w:pPr>
        <w:ind w:left="1980" w:right="759" w:firstLine="360"/>
        <w:spacing w:after="0" w:line="261" w:lineRule="auto"/>
        <w:tabs>
          <w:tab w:leader="none" w:pos="27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Consideration for Grants</w:t>
      </w:r>
      <w:r>
        <w:rPr>
          <w:rFonts w:ascii="Arial" w:cs="Arial" w:eastAsia="Arial" w:hAnsi="Arial"/>
          <w:sz w:val="18"/>
          <w:szCs w:val="18"/>
          <w:color w:val="auto"/>
        </w:rPr>
        <w:t>. Awards may be granted for such consideration, including services, as the Committee determines.</w:t>
      </w:r>
    </w:p>
    <w:p>
      <w:pPr>
        <w:spacing w:after="0" w:line="89" w:lineRule="exact"/>
        <w:rPr>
          <w:rFonts w:ascii="Arial" w:cs="Arial" w:eastAsia="Arial" w:hAnsi="Arial"/>
          <w:sz w:val="18"/>
          <w:szCs w:val="18"/>
          <w:color w:val="auto"/>
        </w:rPr>
      </w:pPr>
    </w:p>
    <w:p>
      <w:pPr>
        <w:ind w:left="1980" w:right="419" w:firstLine="360"/>
        <w:spacing w:after="0" w:line="252" w:lineRule="auto"/>
        <w:tabs>
          <w:tab w:leader="none" w:pos="2813"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Delivery of Units or other Securities and Payment by Participant of Consideration</w:t>
      </w:r>
      <w:r>
        <w:rPr>
          <w:rFonts w:ascii="Arial" w:cs="Arial" w:eastAsia="Arial" w:hAnsi="Arial"/>
          <w:sz w:val="17"/>
          <w:szCs w:val="17"/>
          <w:color w:val="auto"/>
        </w:rPr>
        <w:t>. Notwithstanding anything in the Plan or any Award Agreement to the contrary, delivery of Units pursuant to the exercise or vesting of an Award may be deferred for any period during which, in the good faith determination of the Committee, the Company is not reasonably able to obtain Units to deliver pursuant to such Award without violating the rules or regulations of any applicable law or securities exchange. No Units or other securities shall be delivered pursuant to any Award until payment in full of any amount required to be paid pursuant to the Plan or the applicable Award Agreement (including, without limitation, any exercise price or tax withholding) is received by the Company. Such payment may be made by such method or methods and in such form or forms as the Committee shall determine, including without limitation cash, other Awards, withholding of Units, cashless broker exercises with simultaneous sale, or any combination thereof; provided that the combined value, as determined by the Committee, of all cash and cash equivalents and the</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980" w:right="559"/>
        <w:spacing w:after="0" w:line="263" w:lineRule="auto"/>
        <w:rPr>
          <w:sz w:val="20"/>
          <w:szCs w:val="20"/>
          <w:color w:val="auto"/>
        </w:rPr>
      </w:pPr>
      <w:r>
        <w:rPr>
          <w:rFonts w:ascii="Arial" w:cs="Arial" w:eastAsia="Arial" w:hAnsi="Arial"/>
          <w:sz w:val="18"/>
          <w:szCs w:val="18"/>
          <w:color w:val="auto"/>
        </w:rPr>
        <w:t>Fair Market Value of any such Units or other property so tendered to the Company, as of the date of such tender, is at least equal to the full amount required to be paid to the Company pursuant to the Plan or the applicable Award Agreement.</w:t>
      </w:r>
    </w:p>
    <w:p>
      <w:pPr>
        <w:spacing w:after="0" w:line="89" w:lineRule="exact"/>
        <w:rPr>
          <w:sz w:val="20"/>
          <w:szCs w:val="20"/>
          <w:color w:val="auto"/>
        </w:rPr>
      </w:pPr>
    </w:p>
    <w:p>
      <w:pPr>
        <w:ind w:left="1980" w:right="539" w:firstLine="360"/>
        <w:spacing w:after="0" w:line="263" w:lineRule="auto"/>
        <w:tabs>
          <w:tab w:leader="none" w:pos="2867"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Except to the extent otherwise specifically provided in an Award Agreement, vesting of any Award shall not occur solely upon the occurrence of a Change of Control.</w:t>
      </w:r>
    </w:p>
    <w:p>
      <w:pPr>
        <w:spacing w:after="0" w:line="89" w:lineRule="exact"/>
        <w:rPr>
          <w:rFonts w:ascii="Arial" w:cs="Arial" w:eastAsia="Arial" w:hAnsi="Arial"/>
          <w:sz w:val="18"/>
          <w:szCs w:val="18"/>
          <w:color w:val="auto"/>
        </w:rPr>
      </w:pPr>
    </w:p>
    <w:p>
      <w:pPr>
        <w:ind w:left="1980" w:right="599" w:firstLine="360"/>
        <w:spacing w:after="0" w:line="255" w:lineRule="auto"/>
        <w:tabs>
          <w:tab w:leader="none" w:pos="276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Awards may be granted under the Plan in substitution for similar awards held by individuals who become employees as a result of a merger, consolidation or acquisition by the Company or an Affiliate of the Company of another entity or the assets of another entity. To the extent permitted by Section 409A of the Code and the regulations thereunder, such substitute Awards may have exercise prices less than the Fair Market Value of a Unit on the date of such substitution.</w:t>
      </w:r>
    </w:p>
    <w:p>
      <w:pPr>
        <w:spacing w:after="0" w:line="111" w:lineRule="exact"/>
        <w:rPr>
          <w:rFonts w:ascii="Arial" w:cs="Arial" w:eastAsia="Arial" w:hAnsi="Arial"/>
          <w:sz w:val="18"/>
          <w:szCs w:val="18"/>
          <w:color w:val="auto"/>
        </w:rPr>
      </w:pPr>
    </w:p>
    <w:p>
      <w:pPr>
        <w:ind w:left="1980" w:right="579" w:firstLine="360"/>
        <w:spacing w:after="0" w:line="268" w:lineRule="auto"/>
        <w:tabs>
          <w:tab w:leader="none" w:pos="2706"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Prohibition on Repricing of Certain Awards</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7(c)</w:t>
      </w:r>
      <w:r>
        <w:rPr>
          <w:rFonts w:ascii="Arial" w:cs="Arial" w:eastAsia="Arial" w:hAnsi="Arial"/>
          <w:sz w:val="17"/>
          <w:szCs w:val="17"/>
          <w:color w:val="auto"/>
        </w:rPr>
        <w:t>, the terms of outstanding Award Agreements may not be amended without the approval of the Partnership’s unitholders so as to (A) reduce the Unit exercise price of any outstanding Options or Unit Appreciation Rights or grant a new Option, Unit Appreciation Right or other Award in substitution for, or upon the cancellation of, any previously granted Option or Unit Appreciation Right that has the effect of reducing the Exercise Price or grant price thereof,</w:t>
      </w:r>
    </w:p>
    <w:p>
      <w:pPr>
        <w:ind w:left="1980" w:right="479"/>
        <w:spacing w:after="0" w:line="251" w:lineRule="auto"/>
        <w:tabs>
          <w:tab w:leader="none" w:pos="227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cancel any outstanding Options or Unit Appreciation Rights in substitution or exchange for cash, other consideration or other Awards when the Option or Unit Appreciation Right exercise price per Unit exceeds the Fair Market Value of the underlying Unit or (C) take any other action that would be considered a “repricing” of an Option or Unit Appreciation Right under the applicable listing standards of the national securities exchange on which the Units are listed (if any) or under generally accepted accounting principles. Subject to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8(l)</w:t>
      </w:r>
      <w:r>
        <w:rPr>
          <w:rFonts w:ascii="Arial" w:cs="Arial" w:eastAsia="Arial" w:hAnsi="Arial"/>
          <w:sz w:val="18"/>
          <w:szCs w:val="18"/>
          <w:color w:val="auto"/>
        </w:rPr>
        <w:t>, the Committee shall have the authority, without the approval of the Partnership’s unitholders, to amend any outstanding Award to increase the per Unit exercise price of any outstanding Options or Unit Appreciation Rights or to cancel and replace any outstanding Options or Unit Appreciation Rights with the grant of Options or Unit Appreciation Rights having a per Unit exercise price that is equal to or greater than the per Unit exercise price of the original Options or Unit Appreciation Rights.</w:t>
      </w:r>
    </w:p>
    <w:p>
      <w:pPr>
        <w:spacing w:after="0" w:line="98" w:lineRule="exact"/>
        <w:rPr>
          <w:sz w:val="20"/>
          <w:szCs w:val="20"/>
          <w:color w:val="auto"/>
        </w:rPr>
      </w:pPr>
    </w:p>
    <w:p>
      <w:pPr>
        <w:ind w:left="1260"/>
        <w:spacing w:after="0"/>
        <w:tabs>
          <w:tab w:leader="none" w:pos="2180" w:val="left"/>
          <w:tab w:leader="none" w:pos="45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8"/>
          <w:szCs w:val="18"/>
          <w:b w:val="1"/>
          <w:bCs w:val="1"/>
          <w:u w:val="single" w:color="auto"/>
          <w:color w:val="auto"/>
        </w:rPr>
        <w:t>Amendment and Termination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Except to the extent prohibited by applicable law:</w:t>
      </w:r>
    </w:p>
    <w:p>
      <w:pPr>
        <w:spacing w:after="0" w:line="135" w:lineRule="exact"/>
        <w:rPr>
          <w:sz w:val="20"/>
          <w:szCs w:val="20"/>
          <w:color w:val="auto"/>
        </w:rPr>
      </w:pPr>
    </w:p>
    <w:p>
      <w:pPr>
        <w:ind w:left="1620" w:right="459" w:firstLine="360"/>
        <w:spacing w:after="0" w:line="257" w:lineRule="auto"/>
        <w:tabs>
          <w:tab w:leader="none" w:pos="2284"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Amendments to the Plan</w:t>
      </w:r>
      <w:r>
        <w:rPr>
          <w:rFonts w:ascii="Arial" w:cs="Arial" w:eastAsia="Arial" w:hAnsi="Arial"/>
          <w:sz w:val="18"/>
          <w:szCs w:val="18"/>
          <w:color w:val="auto"/>
        </w:rPr>
        <w:t>. Except as required by applicable law or the rules of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exchange on which the Units are traded and subject to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below, the Board or the Committee may amend, alter, suspend, discontinue, or terminate the Plan in any manner, including increasing the number of Units available for Awards under the Plan, without the consent of any partner, Participant, other holder or beneficiary of an Award, or other Person.</w:t>
      </w:r>
    </w:p>
    <w:p>
      <w:pPr>
        <w:spacing w:after="0" w:line="106" w:lineRule="exact"/>
        <w:rPr>
          <w:rFonts w:ascii="Arial" w:cs="Arial" w:eastAsia="Arial" w:hAnsi="Arial"/>
          <w:sz w:val="18"/>
          <w:szCs w:val="18"/>
          <w:color w:val="auto"/>
        </w:rPr>
      </w:pPr>
    </w:p>
    <w:p>
      <w:pPr>
        <w:ind w:left="1620" w:right="479" w:firstLine="360"/>
        <w:spacing w:after="0" w:line="255" w:lineRule="auto"/>
        <w:tabs>
          <w:tab w:leader="none" w:pos="2294"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Amendments to Awards</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7(a)</w:t>
      </w:r>
      <w:r>
        <w:rPr>
          <w:rFonts w:ascii="Arial" w:cs="Arial" w:eastAsia="Arial" w:hAnsi="Arial"/>
          <w:sz w:val="18"/>
          <w:szCs w:val="18"/>
          <w:color w:val="auto"/>
        </w:rPr>
        <w:t>, the Committee may waive any conditions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rights under, amend any terms of, or alter any Award theretofore granted (including without limitation requiring or allowing for an election to settle an Award in cash), provided no change, other than pursuant to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7(c)</w:t>
      </w:r>
      <w:r>
        <w:rPr>
          <w:rFonts w:ascii="Arial" w:cs="Arial" w:eastAsia="Arial" w:hAnsi="Arial"/>
          <w:sz w:val="18"/>
          <w:szCs w:val="18"/>
          <w:color w:val="auto"/>
        </w:rPr>
        <w:t>, in any Award shall (i) materially reduce the benefit to a Participant without the consent of such Participant or (ii) cause the Plan or such Award to fail to comply with the requirements of Section 409A of the Code.</w:t>
      </w:r>
    </w:p>
    <w:p>
      <w:pPr>
        <w:spacing w:after="0" w:line="97" w:lineRule="exact"/>
        <w:rPr>
          <w:rFonts w:ascii="Arial" w:cs="Arial" w:eastAsia="Arial" w:hAnsi="Arial"/>
          <w:sz w:val="18"/>
          <w:szCs w:val="18"/>
          <w:color w:val="auto"/>
        </w:rPr>
      </w:pPr>
    </w:p>
    <w:p>
      <w:pPr>
        <w:ind w:left="1620" w:right="419" w:firstLine="360"/>
        <w:spacing w:after="0" w:line="270" w:lineRule="auto"/>
        <w:tabs>
          <w:tab w:leader="none" w:pos="2284"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Adjustment of Awards Upon the Occurrence of Certain Unusual or Nonrecurring Events</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is hereby authorized to make adjustments in the terms and conditions of, and the criteria included in, Awards in recognition of unusual or nonrecurring events (including, without limitation, the events described in </w:t>
      </w:r>
      <w:r>
        <w:rPr>
          <w:rFonts w:ascii="Arial" w:cs="Arial" w:eastAsia="Arial" w:hAnsi="Arial"/>
          <w:sz w:val="17"/>
          <w:szCs w:val="17"/>
          <w:u w:val="single" w:color="auto"/>
          <w:color w:val="auto"/>
        </w:rPr>
        <w:t>Section 4(c)</w:t>
      </w:r>
      <w:r>
        <w:rPr>
          <w:rFonts w:ascii="Arial" w:cs="Arial" w:eastAsia="Arial" w:hAnsi="Arial"/>
          <w:sz w:val="17"/>
          <w:szCs w:val="17"/>
          <w:color w:val="auto"/>
        </w:rPr>
        <w:t>) affecting the Partnership or the financial statements of the Partnership, or of changes in applicable laws, regulations, or accounting principles, whenever the Committee determines that such adjustments are appropriate in order to prevent dilution or enlargement of the benefits or potential benefits intended to be made available under the Plan or such Award; provided, however, that no such adjustment may be made that would cause the Plan or such Award to fail to comply with the requirements of Section 409A of the Code.</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b w:val="1"/>
          <w:bCs w:val="1"/>
          <w:u w:val="single" w:color="auto"/>
          <w:color w:val="auto"/>
        </w:rPr>
        <w:t>General Provisions</w:t>
      </w:r>
      <w:r>
        <w:rPr>
          <w:rFonts w:ascii="Arial" w:cs="Arial" w:eastAsia="Arial" w:hAnsi="Arial"/>
          <w:sz w:val="15"/>
          <w:szCs w:val="15"/>
          <w:color w:val="auto"/>
        </w:rPr>
        <w:t>.</w:t>
      </w:r>
    </w:p>
    <w:p>
      <w:pPr>
        <w:spacing w:after="0" w:line="135" w:lineRule="exact"/>
        <w:rPr>
          <w:sz w:val="20"/>
          <w:szCs w:val="20"/>
          <w:color w:val="auto"/>
        </w:rPr>
      </w:pPr>
    </w:p>
    <w:p>
      <w:pPr>
        <w:ind w:left="1620" w:right="479" w:firstLine="360"/>
        <w:spacing w:after="0" w:line="248" w:lineRule="auto"/>
        <w:tabs>
          <w:tab w:leader="none" w:pos="2284"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No Rights to Award</w:t>
      </w:r>
      <w:r>
        <w:rPr>
          <w:rFonts w:ascii="Arial" w:cs="Arial" w:eastAsia="Arial" w:hAnsi="Arial"/>
          <w:sz w:val="18"/>
          <w:szCs w:val="18"/>
          <w:color w:val="auto"/>
        </w:rPr>
        <w:t>. No Person shall have any claim to be granted any Award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there is no obligation for uniformity of treatment of Participants. The terms and conditions of Awards need not be the same with respect to each recipient.</w:t>
      </w:r>
    </w:p>
    <w:p>
      <w:pPr>
        <w:spacing w:after="0" w:line="87" w:lineRule="exact"/>
        <w:rPr>
          <w:rFonts w:ascii="Arial" w:cs="Arial" w:eastAsia="Arial" w:hAnsi="Arial"/>
          <w:sz w:val="18"/>
          <w:szCs w:val="18"/>
          <w:color w:val="auto"/>
        </w:rPr>
      </w:pPr>
    </w:p>
    <w:p>
      <w:pPr>
        <w:ind w:left="1620" w:right="419" w:firstLine="360"/>
        <w:spacing w:after="0" w:line="250" w:lineRule="auto"/>
        <w:tabs>
          <w:tab w:leader="none" w:pos="2294"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Tax Withholding</w:t>
      </w:r>
      <w:r>
        <w:rPr>
          <w:rFonts w:ascii="Arial" w:cs="Arial" w:eastAsia="Arial" w:hAnsi="Arial"/>
          <w:sz w:val="17"/>
          <w:szCs w:val="17"/>
          <w:color w:val="auto"/>
        </w:rPr>
        <w:t>. The Company or any Affiliate of the Company is authorized to withhold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any Award, from any payment due or transfer made under any Award or from any compensation or other amount owing to a Participant the amount (in cash, Units, other securities, Units that would otherwise be issued pursuant to such Award or other property) of any applicable taxes due or potentially payable in respect of the grant of an Award, its exercise, the lapse of restrictions thereon, any payment or transfer under an Award or under the Plan or any other transaction involving an Award, and to take such other action as may be necessary in the opinion of the Company to satisfy its withholding obligations for the payment of withholding taxes and other tax obligations. The Committee shall determine, in its sole discretion, the form of payment acceptable for such tax withholding obligations, including the delivery of cash or cash equivalents, Units (including through delivery of previously owned Units, net settlement, a broker-assisted sale, or other cashless withholding or reduction of the amount of Units otherwise issuable or delivered pursuant to the Award), other property, or any other legal consideration the Committee deems appropriate. Any determination made by the Committee to allow a Participant who is subject to Rule 16b-3 to pay taxes with Units through net settlement or previously owned Units shall be approved by either a committee made up of solely two or more Qualified Members or the full Board. If such tax withholding amounts are satisfied through net settlement or previously owned Units, the maximum number of Units that may be so withheld or surrendered shall be the number of Units that have an aggregate Fair Market Value on the date of withholding or surrender equal to the aggregate amount of such tax liabilities determined based on the greatest withholding rates for federal, state, foreign and/or local tax purposes, including payroll taxes, that may be utilized without creating adverse accounting treatment for the Company with respect to such Award, as determined by the Committee.</w:t>
      </w:r>
    </w:p>
    <w:p>
      <w:pPr>
        <w:spacing w:after="0" w:line="110" w:lineRule="exact"/>
        <w:rPr>
          <w:rFonts w:ascii="Arial" w:cs="Arial" w:eastAsia="Arial" w:hAnsi="Arial"/>
          <w:sz w:val="17"/>
          <w:szCs w:val="17"/>
          <w:color w:val="auto"/>
        </w:rPr>
      </w:pPr>
    </w:p>
    <w:p>
      <w:pPr>
        <w:ind w:left="1620" w:right="459" w:firstLine="360"/>
        <w:spacing w:after="0" w:line="241" w:lineRule="auto"/>
        <w:tabs>
          <w:tab w:leader="none" w:pos="2284"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No Right to Employment or Services</w:t>
      </w:r>
      <w:r>
        <w:rPr>
          <w:rFonts w:ascii="Arial" w:cs="Arial" w:eastAsia="Arial" w:hAnsi="Arial"/>
          <w:sz w:val="18"/>
          <w:szCs w:val="18"/>
          <w:color w:val="auto"/>
        </w:rPr>
        <w:t>. The grant of an Award shall not be construed as giving</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the right to be retained in the employ of the Company or any of its Affiliates, or to remain on the Board, as applicable. Further, the Company or an Affiliate of the Company may at any time dismiss a Participant from employment, free from any liability or any claim under the Plan, unless otherwise expressly provided in the Plan, any Award Agreement or other agreement.</w:t>
      </w:r>
    </w:p>
    <w:p>
      <w:pPr>
        <w:spacing w:after="0" w:line="94" w:lineRule="exact"/>
        <w:rPr>
          <w:rFonts w:ascii="Arial" w:cs="Arial" w:eastAsia="Arial" w:hAnsi="Arial"/>
          <w:sz w:val="18"/>
          <w:szCs w:val="18"/>
          <w:color w:val="auto"/>
        </w:rPr>
      </w:pPr>
    </w:p>
    <w:p>
      <w:pPr>
        <w:jc w:val="both"/>
        <w:ind w:left="1620" w:right="1159" w:firstLine="360"/>
        <w:spacing w:after="0" w:line="248" w:lineRule="auto"/>
        <w:tabs>
          <w:tab w:leader="none" w:pos="2294"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relating to the Plan shall be determined in accordance with the laws of the State of Delaware without regard to its conflict of laws principles.</w:t>
      </w:r>
    </w:p>
    <w:p>
      <w:pPr>
        <w:spacing w:after="0" w:line="87" w:lineRule="exact"/>
        <w:rPr>
          <w:rFonts w:ascii="Arial" w:cs="Arial" w:eastAsia="Arial" w:hAnsi="Arial"/>
          <w:sz w:val="18"/>
          <w:szCs w:val="18"/>
          <w:color w:val="auto"/>
        </w:rPr>
      </w:pPr>
    </w:p>
    <w:p>
      <w:pPr>
        <w:ind w:left="1620" w:right="439" w:firstLine="360"/>
        <w:spacing w:after="0" w:line="255" w:lineRule="auto"/>
        <w:tabs>
          <w:tab w:leader="none" w:pos="2284"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If any provision of the Plan or any Award is or becomes or is deemed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98" w:lineRule="exact"/>
        <w:rPr>
          <w:rFonts w:ascii="Arial" w:cs="Arial" w:eastAsia="Arial" w:hAnsi="Arial"/>
          <w:sz w:val="17"/>
          <w:szCs w:val="17"/>
          <w:color w:val="auto"/>
        </w:rPr>
      </w:pPr>
    </w:p>
    <w:p>
      <w:pPr>
        <w:ind w:left="1620" w:right="419" w:firstLine="360"/>
        <w:spacing w:after="0" w:line="255" w:lineRule="auto"/>
        <w:tabs>
          <w:tab w:leader="none" w:pos="2264"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Other Laws</w:t>
      </w:r>
      <w:r>
        <w:rPr>
          <w:rFonts w:ascii="Arial" w:cs="Arial" w:eastAsia="Arial" w:hAnsi="Arial"/>
          <w:sz w:val="17"/>
          <w:szCs w:val="17"/>
          <w:color w:val="auto"/>
        </w:rPr>
        <w:t>. The Committee may refuse to issue or transfer any Units or other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an Award if, in its sole discretion, it determines that the issuance or transfer of such Units or such other consideration might violate any applicable law or regulation, the rules of the principal securities exchange on which the Units are then traded, or entitle the Partnership or an Affiliate of the Partnership to recover the same under Section 16(b) of the Exchange Act, and any payment tendered to the Company by a Participant, other holder or beneficiary in connection with the exercise of such Award shall be promptly refunded to the relevant Participant, holder or beneficiary.</w:t>
      </w:r>
    </w:p>
    <w:p>
      <w:pPr>
        <w:spacing w:after="0" w:line="85" w:lineRule="exact"/>
        <w:rPr>
          <w:rFonts w:ascii="Arial" w:cs="Arial" w:eastAsia="Arial" w:hAnsi="Arial"/>
          <w:sz w:val="17"/>
          <w:szCs w:val="17"/>
          <w:color w:val="auto"/>
        </w:rPr>
      </w:pPr>
    </w:p>
    <w:p>
      <w:pPr>
        <w:ind w:left="1620" w:right="739" w:firstLine="360"/>
        <w:spacing w:after="0" w:line="262" w:lineRule="auto"/>
        <w:tabs>
          <w:tab w:leader="none" w:pos="2294"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No Trust or Fund Created</w:t>
      </w:r>
      <w:r>
        <w:rPr>
          <w:rFonts w:ascii="Arial" w:cs="Arial" w:eastAsia="Arial" w:hAnsi="Arial"/>
          <w:sz w:val="17"/>
          <w:szCs w:val="17"/>
          <w:color w:val="auto"/>
        </w:rPr>
        <w:t>. Neither the Plan nor any Award shall create or be construed to</w:t>
      </w:r>
      <w:r>
        <w:rPr>
          <w:rFonts w:ascii="Arial" w:cs="Arial" w:eastAsia="Arial" w:hAnsi="Arial"/>
          <w:sz w:val="17"/>
          <w:szCs w:val="17"/>
          <w:i w:val="1"/>
          <w:iCs w:val="1"/>
          <w:color w:val="auto"/>
        </w:rPr>
        <w:t xml:space="preserve"> </w:t>
      </w:r>
      <w:r>
        <w:rPr>
          <w:rFonts w:ascii="Arial" w:cs="Arial" w:eastAsia="Arial" w:hAnsi="Arial"/>
          <w:sz w:val="17"/>
          <w:szCs w:val="17"/>
          <w:color w:val="auto"/>
        </w:rPr>
        <w:t>create a trust or separate fund of any kind or a fiduciary relationship between the Company or any participating Affiliate of the Company and a Participant or any other Person. To the extent that any Person acquires a right to receive payments from the Company or any participating Affiliate of the</w:t>
      </w:r>
    </w:p>
    <w:p>
      <w:pPr>
        <w:spacing w:after="0" w:line="3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99"/>
        <w:spacing w:after="0" w:line="261" w:lineRule="auto"/>
        <w:rPr>
          <w:sz w:val="20"/>
          <w:szCs w:val="20"/>
          <w:color w:val="auto"/>
        </w:rPr>
      </w:pPr>
      <w:r>
        <w:rPr>
          <w:rFonts w:ascii="Arial" w:cs="Arial" w:eastAsia="Arial" w:hAnsi="Arial"/>
          <w:sz w:val="18"/>
          <w:szCs w:val="18"/>
          <w:color w:val="auto"/>
        </w:rPr>
        <w:t>Company pursuant to an Award, such right shall be no greater than the right of any general unsecured creditor of the Company or any participating Affiliate of the Company.</w:t>
      </w:r>
    </w:p>
    <w:p>
      <w:pPr>
        <w:spacing w:after="0" w:line="76" w:lineRule="exact"/>
        <w:rPr>
          <w:sz w:val="20"/>
          <w:szCs w:val="20"/>
          <w:color w:val="auto"/>
        </w:rPr>
      </w:pPr>
    </w:p>
    <w:p>
      <w:pPr>
        <w:ind w:left="1620" w:right="419" w:firstLine="360"/>
        <w:spacing w:after="0" w:line="243" w:lineRule="auto"/>
        <w:tabs>
          <w:tab w:leader="none" w:pos="2294"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No Fractional Units</w:t>
      </w:r>
      <w:r>
        <w:rPr>
          <w:rFonts w:ascii="Arial" w:cs="Arial" w:eastAsia="Arial" w:hAnsi="Arial"/>
          <w:sz w:val="18"/>
          <w:szCs w:val="18"/>
          <w:color w:val="auto"/>
        </w:rPr>
        <w:t>. No fractional Units shall be issued or delivered pursuant to the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 and the Committee shall determine whether cash, other securities, or other property shall be paid or transferred in lieu of any fractional Units or whether such fractional Units or any rights thereto shall be canceled, terminated, or otherwise eliminated.</w:t>
      </w:r>
    </w:p>
    <w:p>
      <w:pPr>
        <w:spacing w:after="0" w:line="93" w:lineRule="exact"/>
        <w:rPr>
          <w:rFonts w:ascii="Arial" w:cs="Arial" w:eastAsia="Arial" w:hAnsi="Arial"/>
          <w:sz w:val="18"/>
          <w:szCs w:val="18"/>
          <w:color w:val="auto"/>
        </w:rPr>
      </w:pPr>
    </w:p>
    <w:p>
      <w:pPr>
        <w:ind w:left="1620" w:right="519" w:firstLine="360"/>
        <w:spacing w:after="0" w:line="267" w:lineRule="auto"/>
        <w:tabs>
          <w:tab w:leader="none" w:pos="2254"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Headings; Construction</w:t>
      </w:r>
      <w:r>
        <w:rPr>
          <w:rFonts w:ascii="Arial" w:cs="Arial" w:eastAsia="Arial" w:hAnsi="Arial"/>
          <w:sz w:val="17"/>
          <w:szCs w:val="17"/>
          <w:color w:val="auto"/>
        </w:rPr>
        <w:t>. The Table of Contents and the Section, subsection and exhibit,</w:t>
      </w:r>
      <w:r>
        <w:rPr>
          <w:rFonts w:ascii="Arial" w:cs="Arial" w:eastAsia="Arial" w:hAnsi="Arial"/>
          <w:sz w:val="17"/>
          <w:szCs w:val="17"/>
          <w:i w:val="1"/>
          <w:iCs w:val="1"/>
          <w:color w:val="auto"/>
        </w:rPr>
        <w:t xml:space="preserve"> </w:t>
      </w:r>
      <w:r>
        <w:rPr>
          <w:rFonts w:ascii="Arial" w:cs="Arial" w:eastAsia="Arial" w:hAnsi="Arial"/>
          <w:sz w:val="17"/>
          <w:szCs w:val="17"/>
          <w:color w:val="auto"/>
        </w:rPr>
        <w:t>annex, appendix and other attachment titles and headings in the Plan are as a convenience to facilitate reference. Such headings shall not be deemed in any way material or relevant to the construction or interpretation of the Plan or any provision thereof. All references to Sections and subsections refer to Sections and subsections of the Plan, and all references to exhibits, annexes, appendices and other attachments are to exhibits, annexes, appendices and other attachments attached to the Plan, each of which is made a part of the Plan for all purposes. Whenever the context requires, the gender of all words used in the Plan includes the masculine, feminine and neuter. The singular shall include the plural and the plural shall include the singular whenever appropriate. All references to “including” shall be construed as meaning “including without limitation.” All references to dollars refer to United States dollars. The words “hereof,” “hereto,” “hereby,” “herein,” “hereunder” and words of similar import, when used in the Plan, shall refer to the Plan as a whole and not to any particular section or article in which such words appear. Unless the context requires otherwise, the word “or” shall not be exclusive. Unless the context requires otherwise, all references to laws, regulations, contracts, agreements and instruments refer to such laws, regulations, contracts, agreements and instruments as they may be amended from time to time, and references to particular provisions of laws or regulations include a reference to the corresponding provisions of any succeeding law or regulation. Except as expressly set forth herein, when any provision of the Plan authorizes a Person to make a determination (or to use its discretion), such authorization includes the authority of such Person to make such determination (or exercise such discretion) in its respective sole and absolute judgment.</w:t>
      </w:r>
    </w:p>
    <w:p>
      <w:pPr>
        <w:spacing w:after="0" w:line="105" w:lineRule="exact"/>
        <w:rPr>
          <w:rFonts w:ascii="Arial" w:cs="Arial" w:eastAsia="Arial" w:hAnsi="Arial"/>
          <w:sz w:val="17"/>
          <w:szCs w:val="17"/>
          <w:color w:val="auto"/>
        </w:rPr>
      </w:pPr>
    </w:p>
    <w:p>
      <w:pPr>
        <w:ind w:left="1620" w:right="479" w:firstLine="360"/>
        <w:spacing w:after="0" w:line="257" w:lineRule="auto"/>
        <w:tabs>
          <w:tab w:leader="none" w:pos="2254"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Facility Payment</w:t>
      </w:r>
      <w:r>
        <w:rPr>
          <w:rFonts w:ascii="Arial" w:cs="Arial" w:eastAsia="Arial" w:hAnsi="Arial"/>
          <w:sz w:val="18"/>
          <w:szCs w:val="18"/>
          <w:color w:val="auto"/>
        </w:rPr>
        <w:t>. Any amounts payable hereunder to any person under legal disability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who, in the judgment of the Committee, is unable to properly manage his financial affairs, may be paid to the legal representative of such person, or may be applied for the benefit of such person in any manner which the Committee may select, and the Company shall be relieved of any further liability for payment of such amounts.</w:t>
      </w:r>
    </w:p>
    <w:p>
      <w:pPr>
        <w:spacing w:after="0" w:line="93" w:lineRule="exact"/>
        <w:rPr>
          <w:rFonts w:ascii="Arial" w:cs="Arial" w:eastAsia="Arial" w:hAnsi="Arial"/>
          <w:sz w:val="18"/>
          <w:szCs w:val="18"/>
          <w:color w:val="auto"/>
        </w:rPr>
      </w:pPr>
    </w:p>
    <w:p>
      <w:pPr>
        <w:ind w:left="1620" w:right="479" w:firstLine="360"/>
        <w:spacing w:after="0" w:line="255" w:lineRule="auto"/>
        <w:tabs>
          <w:tab w:leader="none" w:pos="2294"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Participation by Affiliates</w:t>
      </w:r>
      <w:r>
        <w:rPr>
          <w:rFonts w:ascii="Arial" w:cs="Arial" w:eastAsia="Arial" w:hAnsi="Arial"/>
          <w:sz w:val="18"/>
          <w:szCs w:val="18"/>
          <w:color w:val="auto"/>
        </w:rPr>
        <w:t>. In making Awards to Employees employed by an Affiliate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Committee shall be acting on behalf of the Affiliate of the Company, and to the extent the Partnership has an obligation to reimburse the Company for compensation paid to Employees for services rendered for the benefit of the Partnership, such reimbursement payments may be made by the Partnership directly to the Affiliate of the Company, and, if made to the Company, shall be received by the Company as agent for the Affiliate of the Company.</w:t>
      </w:r>
    </w:p>
    <w:p>
      <w:pPr>
        <w:spacing w:after="0" w:line="97" w:lineRule="exact"/>
        <w:rPr>
          <w:rFonts w:ascii="Arial" w:cs="Arial" w:eastAsia="Arial" w:hAnsi="Arial"/>
          <w:sz w:val="18"/>
          <w:szCs w:val="18"/>
          <w:color w:val="auto"/>
        </w:rPr>
      </w:pPr>
    </w:p>
    <w:p>
      <w:pPr>
        <w:ind w:left="2260" w:hanging="280"/>
        <w:spacing w:after="0"/>
        <w:tabs>
          <w:tab w:leader="none" w:pos="22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Compliance with Section 409A</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980" w:right="459" w:firstLine="360"/>
        <w:spacing w:after="0" w:line="268" w:lineRule="auto"/>
        <w:tabs>
          <w:tab w:leader="none" w:pos="2666"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Nothing in the Plan or any Award Agreement shall operate or be construed to cause the Plan or an Award to fail to comply with Section 409A of the Code. The applicable provisions of Section 409A of the Code and the regulations thereunder are hereby incorporated by reference into and shall control over any Plan or Award Agreement provision in conflict therewith or that would cause a failure of compliance thereunder, to the extent necessary to resolve such conflict or obviate such failure. Subject to any other restrictions or limitations contained herein, in the event that a “specified employee” (as defined under Section 409A of the Code and the regulations thereunder) becomes entitled to a payment under an Award that constitutes a “deferral of compensation” (as defined under Section 409A of the Code and the regulations thereunder) on account of a “separation from service” (as defined under Section 409A of the Code and the regulations thereunder), to the extent required by the Code, such payment shall not occur until the date that is six months plus one day from the date of such separation from service. Any amount that is otherwise payable within the six-month period described herein will be aggregated and paid in a lump sum without interest.</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39" w:firstLine="360"/>
        <w:spacing w:after="0" w:line="262" w:lineRule="auto"/>
        <w:tabs>
          <w:tab w:leader="none" w:pos="2720"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Application to Specific Awards</w:t>
      </w:r>
      <w:r>
        <w:rPr>
          <w:rFonts w:ascii="Arial" w:cs="Arial" w:eastAsia="Arial" w:hAnsi="Arial"/>
          <w:sz w:val="17"/>
          <w:szCs w:val="17"/>
          <w:color w:val="auto"/>
        </w:rPr>
        <w:t xml:space="preserve">. It is the intent that each Award shall either (A) qualify as a “short term deferral” as such phrase is used in Section 1.409A-1 of the U.S. Treasury Regulations or (B) comply with the requirements of Section 409A of the Code. In that regard, notwithstanding anything in any Award to the contrary (but subject to an express provision in an Award Agreement authorized by the Committee in its discretion to override the provisions of this </w:t>
      </w:r>
      <w:r>
        <w:rPr>
          <w:rFonts w:ascii="Arial" w:cs="Arial" w:eastAsia="Arial" w:hAnsi="Arial"/>
          <w:sz w:val="17"/>
          <w:szCs w:val="17"/>
          <w:u w:val="single" w:color="auto"/>
          <w:color w:val="auto"/>
        </w:rPr>
        <w:t>Section 8(l)(ii)</w:t>
      </w:r>
      <w:r>
        <w:rPr>
          <w:rFonts w:ascii="Arial" w:cs="Arial" w:eastAsia="Arial" w:hAnsi="Arial"/>
          <w:sz w:val="17"/>
          <w:szCs w:val="17"/>
          <w:color w:val="auto"/>
        </w:rPr>
        <w:t>): (I) in no event shall payment of or under an Award be made later than 2</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2</w:t>
      </w:r>
      <w:r>
        <w:rPr>
          <w:rFonts w:ascii="Arial" w:cs="Arial" w:eastAsia="Arial" w:hAnsi="Arial"/>
          <w:sz w:val="17"/>
          <w:szCs w:val="17"/>
          <w:color w:val="auto"/>
        </w:rPr>
        <w:t xml:space="preserve"> months following the year in which such payment ceases to be subject to a substantial risk of forfeiture for purposes of Section 409A; and (II) for any Award in which all or a portion becomes “nonforfeitable” upon the occurrence of an event, the relevant provisions of such Award shall be deemed to include a proviso that (x) to the extent all requirements for vesting but for the passage of time have been met as of the occurrence of such event, payment shall be made as of the next following Distribution Date and (y) to the extent additional vesting would require the achievement of additional performance thresholds (e.g., distribution or earnings levels), vesting shall occur and payment made (if based on a distribution) on the Distribution Date on which the threshold is achieved or (if based on earnings or other performance metric) the next Distribution Date following the date on which the threshold is achieved. For this purpose, as used herein and in any Award, the term “</w:t>
      </w:r>
      <w:r>
        <w:rPr>
          <w:rFonts w:ascii="Arial" w:cs="Arial" w:eastAsia="Arial" w:hAnsi="Arial"/>
          <w:sz w:val="17"/>
          <w:szCs w:val="17"/>
          <w:b w:val="1"/>
          <w:bCs w:val="1"/>
          <w:i w:val="1"/>
          <w:iCs w:val="1"/>
          <w:color w:val="auto"/>
        </w:rPr>
        <w:t>Distribution Date</w:t>
      </w:r>
      <w:r>
        <w:rPr>
          <w:rFonts w:ascii="Arial" w:cs="Arial" w:eastAsia="Arial" w:hAnsi="Arial"/>
          <w:sz w:val="17"/>
          <w:szCs w:val="17"/>
          <w:color w:val="auto"/>
        </w:rPr>
        <w:t>” shall mean the day in February, May, August or November in any year (as such month and year are specified in the Award or as context dictates; e.g., the “next following Distribution Date” after the occurrence of an event) that is 45 days after the end of a calendar quarter (or, if not a business day, the closest previous business day).</w:t>
      </w:r>
    </w:p>
    <w:p>
      <w:pPr>
        <w:spacing w:after="0" w:line="99" w:lineRule="exact"/>
        <w:rPr>
          <w:rFonts w:ascii="Arial" w:cs="Arial" w:eastAsia="Arial" w:hAnsi="Arial"/>
          <w:sz w:val="17"/>
          <w:szCs w:val="17"/>
          <w:color w:val="auto"/>
        </w:rPr>
      </w:pPr>
    </w:p>
    <w:p>
      <w:pPr>
        <w:ind w:left="1620" w:right="459" w:firstLine="360"/>
        <w:spacing w:after="0" w:line="270" w:lineRule="auto"/>
        <w:tabs>
          <w:tab w:leader="none" w:pos="2344"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The Plan and all Awards granted hereunder are subject to any written clawback</w:t>
      </w:r>
      <w:r>
        <w:rPr>
          <w:rFonts w:ascii="Arial" w:cs="Arial" w:eastAsia="Arial" w:hAnsi="Arial"/>
          <w:sz w:val="17"/>
          <w:szCs w:val="17"/>
          <w:i w:val="1"/>
          <w:iCs w:val="1"/>
          <w:color w:val="auto"/>
        </w:rPr>
        <w:t xml:space="preserve"> </w:t>
      </w:r>
      <w:r>
        <w:rPr>
          <w:rFonts w:ascii="Arial" w:cs="Arial" w:eastAsia="Arial" w:hAnsi="Arial"/>
          <w:sz w:val="17"/>
          <w:szCs w:val="17"/>
          <w:color w:val="auto"/>
        </w:rPr>
        <w:t>policies that the Company, with the approval of the Board or an authorized committee thereof, may adopt either prior to or following the Effective Date, including any policy adopted to conform to the Dodd-Frank Wall Street Reform and Consumer Protection Act of 2010 and rules promulgated thereunder by the SEC and that the Company determines should apply to Awards. Any such policy may subject a Participant’s Awards and amounts paid or realized with respect to Awards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w:t>
      </w:r>
    </w:p>
    <w:p>
      <w:pPr>
        <w:spacing w:after="0" w:line="82" w:lineRule="exact"/>
        <w:rPr>
          <w:sz w:val="20"/>
          <w:szCs w:val="20"/>
          <w:color w:val="auto"/>
        </w:rPr>
      </w:pPr>
    </w:p>
    <w:p>
      <w:pPr>
        <w:ind w:left="1260"/>
        <w:spacing w:after="0"/>
        <w:tabs>
          <w:tab w:leader="none" w:pos="21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5"/>
          <w:szCs w:val="15"/>
          <w:b w:val="1"/>
          <w:bCs w:val="1"/>
          <w:u w:val="single" w:color="auto"/>
          <w:color w:val="auto"/>
        </w:rPr>
        <w:t>Term of the Plan</w:t>
      </w:r>
      <w:r>
        <w:rPr>
          <w:rFonts w:ascii="Arial" w:cs="Arial" w:eastAsia="Arial" w:hAnsi="Arial"/>
          <w:sz w:val="15"/>
          <w:szCs w:val="15"/>
          <w:color w:val="auto"/>
        </w:rPr>
        <w:t>.</w:t>
      </w:r>
    </w:p>
    <w:p>
      <w:pPr>
        <w:spacing w:after="0" w:line="14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Plan shall be effective on the Effective Date and shall continue until the earliest of (i) the date terminated by the Board or the Committee; (ii) the date that all available Units under the Plan have been paid or issued to Participants; or (iii) the tenth anniversary of the Effective Date. No Awards may be granted under the Plan on and after the tenth anniversary of the Effective Date or the earlier termination of the Plan. However, unless otherwise expressly provided in the Plan or in an applicable Award Agreement, any Award granted prior to such termination, and the authority of the Board or the Committee under the Plan or an Award Agreement to amend, alter, adjust, suspend, discontinue, or terminate any such Award or to waive any conditions or rights under such Award, shall extend beyond such termination date. Notwithstanding anything in the Plan to the contrary, except with respect to Awards made under the Prior Plan, no Awards may become vested, and no Units may be issued under the Plan, prior to the Effective Date. Further, if the Plan is not approved by the unitholders of the Partnership on or before May 19, 2021, then the Plan shall be void ab initio, and the Prior Plan shall continue in effect as if this amendment, restatement and renaming of the Prior Plan had not occurred, and any Awards previously granted under the Prior Plan shall continue in effect under the terms of the grant; provided, further, that thereafter Awards may continue to be granted pursuant to the terms of the Prior Plan (as the same may thereafter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8849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888492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8595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885952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8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4740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8474075"/>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lvl w:ilvl="1">
      <w:lvlJc w:val="left"/>
      <w:lvlText w:val="(%2)"/>
      <w:numFmt w:val="decimal"/>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1:"/>
      <w:numFmt w:val="upperLetter"/>
      <w:start w:val="1"/>
    </w:lvl>
  </w:abstractNum>
  <w:abstractNum w:abstractNumId="6">
    <w:nsid w:val="D34B6A8"/>
    <w:multiLevelType w:val="hybridMultilevel"/>
    <w:lvl w:ilvl="0">
      <w:lvlJc w:val="left"/>
      <w:lvlText w:val="%1:"/>
      <w:numFmt w:val="upperLetter"/>
      <w:start w:val="1"/>
    </w:lvl>
    <w:lvl w:ilvl="1">
      <w:lvlJc w:val="left"/>
      <w:lvlText w:val="•"/>
      <w:numFmt w:val="bullet"/>
      <w:start w:val="1"/>
    </w:lvl>
  </w:abstractNum>
  <w:abstractNum w:abstractNumId="7">
    <w:nsid w:val="10233C99"/>
    <w:multiLevelType w:val="hybridMultilevel"/>
    <w:lvl w:ilvl="0">
      <w:lvlJc w:val="left"/>
      <w:lvlText w:val="%1:"/>
      <w:numFmt w:val="upperLetter"/>
      <w:start w:val="1"/>
    </w:lvl>
  </w:abstractNum>
  <w:abstractNum w:abstractNumId="8">
    <w:nsid w:val="3F6AB60F"/>
    <w:multiLevelType w:val="hybridMultilevel"/>
    <w:lvl w:ilvl="0">
      <w:lvlJc w:val="left"/>
      <w:lvlText w:val="%1:"/>
      <w:numFmt w:val="upperLetter"/>
      <w:start w:val="1"/>
    </w:lvl>
  </w:abstractNum>
  <w:abstractNum w:abstractNumId="9">
    <w:nsid w:val="61574095"/>
    <w:multiLevelType w:val="hybridMultilevel"/>
    <w:lvl w:ilvl="0">
      <w:lvlJc w:val="left"/>
      <w:lvlText w:val="%1:"/>
      <w:numFmt w:val="upperLetter"/>
      <w:start w:val="1"/>
    </w:lvl>
  </w:abstractNum>
  <w:abstractNum w:abstractNumId="10">
    <w:nsid w:val="7E0C57B1"/>
    <w:multiLevelType w:val="hybridMultilevel"/>
    <w:lvl w:ilvl="0">
      <w:lvlJc w:val="left"/>
      <w:lvlText w:val="%1:"/>
      <w:numFmt w:val="upperLetter"/>
      <w:start w:val="1"/>
    </w:lvl>
  </w:abstractNum>
  <w:abstractNum w:abstractNumId="11">
    <w:nsid w:val="77AE35EB"/>
    <w:multiLevelType w:val="hybridMultilevel"/>
    <w:lvl w:ilvl="0">
      <w:lvlJc w:val="left"/>
      <w:lvlText w:val="%1:"/>
      <w:numFmt w:val="upperLetter"/>
      <w:start w:val="1"/>
    </w:lvl>
  </w:abstractNum>
  <w:abstractNum w:abstractNumId="12">
    <w:nsid w:val="579BE4F1"/>
    <w:multiLevelType w:val="hybridMultilevel"/>
    <w:lvl w:ilvl="0">
      <w:lvlJc w:val="left"/>
      <w:lvlText w:val="%1:"/>
      <w:numFmt w:val="upperLetter"/>
      <w:start w:val="1"/>
    </w:lvl>
    <w:lvl w:ilvl="1">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1:"/>
      <w:numFmt w:val="upperLetter"/>
      <w:start w:val="1"/>
    </w:lvl>
    <w:lvl w:ilvl="1">
      <w:lvlJc w:val="left"/>
      <w:lvlText w:val="•"/>
      <w:numFmt w:val="bullet"/>
      <w:start w:val="1"/>
    </w:lvl>
  </w:abstractNum>
  <w:abstractNum w:abstractNumId="15">
    <w:nsid w:val="2F305DEF"/>
    <w:multiLevelType w:val="hybridMultilevel"/>
    <w:lvl w:ilvl="0">
      <w:lvlJc w:val="left"/>
      <w:lvlText w:val="%1:"/>
      <w:numFmt w:val="upperLetter"/>
      <w:start w:val="1"/>
    </w:lvl>
  </w:abstractNum>
  <w:abstractNum w:abstractNumId="16">
    <w:nsid w:val="25A70BF7"/>
    <w:multiLevelType w:val="hybridMultilevel"/>
    <w:lvl w:ilvl="0">
      <w:lvlJc w:val="left"/>
      <w:lvlText w:val="%1:"/>
      <w:numFmt w:val="upperLetter"/>
      <w:start w:val="1"/>
    </w:lvl>
    <w:lvl w:ilvl="1">
      <w:lvlJc w:val="left"/>
      <w:lvlText w:val="•"/>
      <w:numFmt w:val="bullet"/>
      <w:start w:val="1"/>
    </w:lvl>
  </w:abstractNum>
  <w:abstractNum w:abstractNumId="17">
    <w:nsid w:val="1DBABF00"/>
    <w:multiLevelType w:val="hybridMultilevel"/>
    <w:lvl w:ilvl="0">
      <w:lvlJc w:val="left"/>
      <w:lvlText w:val="%1:"/>
      <w:numFmt w:val="upperLetter"/>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1."/>
      <w:numFmt w:val="decimal"/>
      <w:start w:val="4"/>
    </w:lvl>
  </w:abstractNum>
  <w:abstractNum w:abstractNumId="20">
    <w:nsid w:val="1381823A"/>
    <w:multiLevelType w:val="hybridMultilevel"/>
    <w:lvl w:ilvl="0">
      <w:lvlJc w:val="left"/>
      <w:lvlText w:val="%1:"/>
      <w:numFmt w:val="upperLetter"/>
      <w:start w:val="1"/>
    </w:lvl>
  </w:abstractNum>
  <w:abstractNum w:abstractNumId="21">
    <w:nsid w:val="5DB70AE5"/>
    <w:multiLevelType w:val="hybridMultilevel"/>
    <w:lvl w:ilvl="0">
      <w:lvlJc w:val="left"/>
      <w:lvlText w:val="%1:"/>
      <w:numFmt w:val="upperLetter"/>
      <w:start w:val="1"/>
    </w:lvl>
  </w:abstractNum>
  <w:abstractNum w:abstractNumId="22">
    <w:nsid w:val="100F8FCA"/>
    <w:multiLevelType w:val="hybridMultilevel"/>
    <w:lvl w:ilvl="0">
      <w:lvlJc w:val="left"/>
      <w:lvlText w:val="%1:"/>
      <w:numFmt w:val="upperLetter"/>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1"/>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1)"/>
      <w:numFmt w:val="lowerRoman"/>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2"/>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1)"/>
      <w:numFmt w:val="decimal"/>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1)"/>
      <w:numFmt w:val="lowerRoman"/>
      <w:start w:val="2"/>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3"/>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1"/>
    </w:lvl>
  </w:abstractNum>
  <w:abstractNum w:abstractNumId="53">
    <w:nsid w:val="100F59DC"/>
    <w:multiLevelType w:val="hybridMultilevel"/>
    <w:lvl w:ilvl="0">
      <w:lvlJc w:val="left"/>
      <w:lvlText w:val="(%1)"/>
      <w:numFmt w:val="decimal"/>
      <w:start w:val="1"/>
    </w:lvl>
  </w:abstractNum>
  <w:abstractNum w:abstractNumId="54">
    <w:nsid w:val="7FB7E0AA"/>
    <w:multiLevelType w:val="hybridMultilevel"/>
    <w:lvl w:ilvl="0">
      <w:lvlJc w:val="left"/>
      <w:lvlText w:val="(%1)"/>
      <w:numFmt w:val="lowerRoman"/>
      <w:start w:val="1"/>
    </w:lvl>
  </w:abstractNum>
  <w:abstractNum w:abstractNumId="55">
    <w:nsid w:val="6EB5BD4"/>
    <w:multiLevelType w:val="hybridMultilevel"/>
    <w:lvl w:ilvl="0">
      <w:lvlJc w:val="left"/>
      <w:lvlText w:val="4"/>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3"/>
    </w:lvl>
  </w:abstractNum>
  <w:abstractNum w:abstractNumId="59">
    <w:nsid w:val="76272110"/>
    <w:multiLevelType w:val="hybridMultilevel"/>
    <w:lvl w:ilvl="0">
      <w:lvlJc w:val="left"/>
      <w:lvlText w:val="(%1)"/>
      <w:numFmt w:val="decimal"/>
      <w:start w:val="1"/>
    </w:lvl>
  </w:abstractNum>
  <w:abstractNum w:abstractNumId="60">
    <w:nsid w:val="4C04A8AF"/>
    <w:multiLevelType w:val="hybridMultilevel"/>
    <w:lvl w:ilvl="0">
      <w:lvlJc w:val="left"/>
      <w:lvlText w:val="(%1)"/>
      <w:numFmt w:val="decimal"/>
      <w:start w:val="1"/>
    </w:lvl>
    <w:lvl w:ilvl="1">
      <w:lvlJc w:val="left"/>
      <w:lvlText w:val="(%2)"/>
      <w:numFmt w:val="lowerRoman"/>
      <w:start w:val="2"/>
    </w:lvl>
  </w:abstractNum>
  <w:abstractNum w:abstractNumId="61">
    <w:nsid w:val="1716703B"/>
    <w:multiLevelType w:val="hybridMultilevel"/>
    <w:lvl w:ilvl="0">
      <w:lvlJc w:val="left"/>
      <w:lvlText w:val="(%1)"/>
      <w:numFmt w:val="decimal"/>
      <w:start w:val="9"/>
    </w:lvl>
  </w:abstractNum>
  <w:abstractNum w:abstractNumId="62">
    <w:nsid w:val="14E17E33"/>
    <w:multiLevelType w:val="hybridMultilevel"/>
    <w:lvl w:ilvl="0">
      <w:lvlJc w:val="left"/>
      <w:lvlText w:val="(%1)"/>
      <w:numFmt w:val="decimal"/>
      <w:start w:val="1"/>
    </w:lvl>
  </w:abstractNum>
  <w:abstractNum w:abstractNumId="63">
    <w:nsid w:val="3222E7CD"/>
    <w:multiLevelType w:val="hybridMultilevel"/>
    <w:lvl w:ilvl="0">
      <w:lvlJc w:val="left"/>
      <w:lvlText w:val="(%1)"/>
      <w:numFmt w:val="decimal"/>
      <w:start w:val="1"/>
    </w:lvl>
  </w:abstractNum>
  <w:abstractNum w:abstractNumId="64">
    <w:nsid w:val="74DE0EE3"/>
    <w:multiLevelType w:val="hybridMultilevel"/>
    <w:lvl w:ilvl="0">
      <w:lvlJc w:val="left"/>
      <w:lvlText w:val="(%1)"/>
      <w:numFmt w:val="decimal"/>
      <w:start w:val="2"/>
    </w:lvl>
  </w:abstractNum>
  <w:abstractNum w:abstractNumId="65">
    <w:nsid w:val="68EBC550"/>
    <w:multiLevelType w:val="hybridMultilevel"/>
    <w:lvl w:ilvl="0">
      <w:lvlJc w:val="left"/>
      <w:lvlText w:val="(%1)"/>
      <w:numFmt w:val="decimal"/>
      <w:start w:val="3"/>
    </w:lvl>
  </w:abstractNum>
  <w:abstractNum w:abstractNumId="66">
    <w:nsid w:val="2DF6D648"/>
    <w:multiLevelType w:val="hybridMultilevel"/>
    <w:lvl w:ilvl="0">
      <w:lvlJc w:val="left"/>
      <w:lvlText w:val="(%1)"/>
      <w:numFmt w:val="decimal"/>
      <w:start w:val="4"/>
    </w:lvl>
  </w:abstractNum>
  <w:abstractNum w:abstractNumId="67">
    <w:nsid w:val="46B7D447"/>
    <w:multiLevelType w:val="hybridMultilevel"/>
    <w:lvl w:ilvl="0">
      <w:lvlJc w:val="left"/>
      <w:lvlText w:val="(%1)"/>
      <w:numFmt w:val="decimal"/>
      <w:start w:val="5"/>
    </w:lvl>
  </w:abstractNum>
  <w:abstractNum w:abstractNumId="68">
    <w:nsid w:val="4A2AC315"/>
    <w:multiLevelType w:val="hybridMultilevel"/>
    <w:lvl w:ilvl="0">
      <w:lvlJc w:val="left"/>
      <w:lvlText w:val="(%1)"/>
      <w:numFmt w:val="decimal"/>
      <w:start w:val="6"/>
    </w:lvl>
  </w:abstractNum>
  <w:abstractNum w:abstractNumId="69">
    <w:nsid w:val="39EE015C"/>
    <w:multiLevelType w:val="hybridMultilevel"/>
    <w:lvl w:ilvl="0">
      <w:lvlJc w:val="left"/>
      <w:lvlText w:val="(%1)"/>
      <w:numFmt w:val="lowerRoman"/>
      <w:start w:val="2"/>
    </w:lvl>
  </w:abstractNum>
  <w:abstractNum w:abstractNumId="70">
    <w:nsid w:val="57FC4FBB"/>
    <w:multiLevelType w:val="hybridMultilevel"/>
    <w:lvl w:ilvl="0">
      <w:lvlJc w:val="left"/>
      <w:lvlText w:val="%1"/>
      <w:numFmt w:val="decimal"/>
      <w:start w:val="1"/>
    </w:lvl>
    <w:lvl w:ilvl="1">
      <w:lvlJc w:val="left"/>
      <w:lvlText w:val="(%2)"/>
      <w:numFmt w:val="lowerRoman"/>
      <w:start w:val="2"/>
    </w:lvl>
  </w:abstractNum>
  <w:abstractNum w:abstractNumId="71">
    <w:nsid w:val="CC1016F"/>
    <w:multiLevelType w:val="hybridMultilevel"/>
    <w:lvl w:ilvl="0">
      <w:lvlJc w:val="left"/>
      <w:lvlText w:val="(%1)"/>
      <w:numFmt w:val="decimal"/>
      <w:start w:val="7"/>
    </w:lvl>
    <w:lvl w:ilvl="1">
      <w:lvlJc w:val="left"/>
      <w:lvlText w:val="(%2)"/>
      <w:numFmt w:val="lowerRoman"/>
      <w:start w:val="3"/>
    </w:lvl>
  </w:abstractNum>
  <w:abstractNum w:abstractNumId="72">
    <w:nsid w:val="43F18422"/>
    <w:multiLevelType w:val="hybridMultilevel"/>
    <w:lvl w:ilvl="0">
      <w:lvlJc w:val="left"/>
      <w:lvlText w:val="(%1)"/>
      <w:numFmt w:val="decimal"/>
      <w:start w:val="1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1)"/>
      <w:numFmt w:val="decimal"/>
      <w:start w:val="2"/>
    </w:lvl>
  </w:abstractNum>
  <w:abstractNum w:abstractNumId="77">
    <w:nsid w:val="7055A5F5"/>
    <w:multiLevelType w:val="hybridMultilevel"/>
    <w:lvl w:ilvl="0">
      <w:lvlJc w:val="left"/>
      <w:lvlText w:val="(%1)"/>
      <w:numFmt w:val="lowerRoman"/>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1)"/>
      <w:numFmt w:val="decimal"/>
      <w:start w:val="2"/>
    </w:lvl>
  </w:abstractNum>
  <w:abstractNum w:abstractNumId="81">
    <w:nsid w:val="5FB8011C"/>
    <w:multiLevelType w:val="hybridMultilevel"/>
    <w:lvl w:ilvl="0">
      <w:lvlJc w:val="left"/>
      <w:lvlText w:val="(%1)"/>
      <w:numFmt w:val="decimal"/>
      <w:start w:val="1"/>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1)"/>
      <w:numFmt w:val="lowerRoman"/>
      <w:start w:val="1"/>
    </w:lvl>
  </w:abstractNum>
  <w:abstractNum w:abstractNumId="84">
    <w:nsid w:val="6FC75AF8"/>
    <w:multiLevelType w:val="hybridMultilevel"/>
    <w:lvl w:ilvl="0">
      <w:lvlJc w:val="left"/>
      <w:lvlText w:val="(%1)"/>
      <w:numFmt w:val="decimal"/>
      <w:start w:val="1"/>
    </w:lvl>
  </w:abstractNum>
  <w:abstractNum w:abstractNumId="85">
    <w:nsid w:val="6A5F7029"/>
    <w:multiLevelType w:val="hybridMultilevel"/>
    <w:lvl w:ilvl="0">
      <w:lvlJc w:val="left"/>
      <w:lvlText w:val="•"/>
      <w:numFmt w:val="bullet"/>
      <w:start w:val="1"/>
    </w:lvl>
    <w:lvl w:ilvl="1">
      <w:lvlJc w:val="left"/>
      <w:lvlText w:val="•"/>
      <w:numFmt w:val="bullet"/>
      <w:start w:val="1"/>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1)"/>
      <w:numFmt w:val="lowerRoman"/>
      <w:start w:val="3"/>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1)"/>
      <w:numFmt w:val="decimal"/>
      <w:start w:val="1"/>
    </w:lvl>
  </w:abstractNum>
  <w:abstractNum w:abstractNumId="91">
    <w:nsid w:val="3FA62ACA"/>
    <w:multiLevelType w:val="hybridMultilevel"/>
    <w:lvl w:ilvl="0">
      <w:lvlJc w:val="left"/>
      <w:lvlText w:val="(%1)"/>
      <w:numFmt w:val="lowerRoman"/>
      <w:start w:val="1"/>
    </w:lvl>
  </w:abstractNum>
  <w:abstractNum w:abstractNumId="92">
    <w:nsid w:val="14FCE74E"/>
    <w:multiLevelType w:val="hybridMultilevel"/>
    <w:lvl w:ilvl="0">
      <w:lvlJc w:val="left"/>
      <w:lvlText w:val="(%1)"/>
      <w:numFmt w:val="lowerRoman"/>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1)"/>
      <w:numFmt w:val="lowerLetter"/>
      <w:start w:val="8"/>
    </w:lvl>
  </w:abstractNum>
  <w:abstractNum w:abstractNumId="96">
    <w:nsid w:val="53299938"/>
    <w:multiLevelType w:val="hybridMultilevel"/>
    <w:lvl w:ilvl="0">
      <w:lvlJc w:val="left"/>
      <w:lvlText w:val="(%1)"/>
      <w:numFmt w:val="lowerLetter"/>
      <w:start w:val="27"/>
    </w:lvl>
  </w:abstractNum>
  <w:abstractNum w:abstractNumId="97">
    <w:nsid w:val="1FBFE8E0"/>
    <w:multiLevelType w:val="hybridMultilevel"/>
    <w:lvl w:ilvl="0">
      <w:lvlJc w:val="left"/>
      <w:lvlText w:val="(%1)"/>
      <w:numFmt w:val="lowerLetter"/>
      <w:start w:val="1"/>
    </w:lvl>
    <w:lvl w:ilvl="1">
      <w:lvlJc w:val="left"/>
      <w:lvlText w:val="(%2)"/>
      <w:numFmt w:val="lowerRoman"/>
      <w:start w:val="1"/>
    </w:lvl>
  </w:abstractNum>
  <w:abstractNum w:abstractNumId="98">
    <w:nsid w:val="5092CA79"/>
    <w:multiLevelType w:val="hybridMultilevel"/>
    <w:lvl w:ilvl="0">
      <w:lvlJc w:val="left"/>
      <w:lvlText w:val="(%1)"/>
      <w:numFmt w:val="lowerLetter"/>
      <w:start w:val="2"/>
    </w:lvl>
  </w:abstractNum>
  <w:abstractNum w:abstractNumId="99">
    <w:nsid w:val="1D545C4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0">
    <w:nsid w:val="59ADEA3D"/>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01">
    <w:nsid w:val="288F1A34"/>
    <w:multiLevelType w:val="hybridMultilevel"/>
    <w:lvl w:ilvl="0">
      <w:lvlJc w:val="left"/>
      <w:lvlText w:val="(%1)"/>
      <w:numFmt w:val="lowerRoman"/>
      <w:start w:val="2"/>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1"/>
    </w:lvl>
    <w:lvl w:ilvl="1">
      <w:lvlJc w:val="left"/>
      <w:lvlText w:val="(%2)"/>
      <w:numFmt w:val="lowerRoman"/>
      <w:start w:val="1"/>
    </w:lvl>
  </w:abstractNum>
  <w:abstractNum w:abstractNumId="104">
    <w:nsid w:val="97E1B4E"/>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05">
    <w:nsid w:val="5108827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6">
    <w:nsid w:val="1CA0C5FA"/>
    <w:multiLevelType w:val="hybridMultilevel"/>
    <w:lvl w:ilvl="0">
      <w:lvlJc w:val="left"/>
      <w:lvlText w:val="(%1)"/>
      <w:numFmt w:val="lowerRoman"/>
      <w:start w:val="2"/>
    </w:lvl>
    <w:lvl w:ilvl="1">
      <w:lvlJc w:val="left"/>
      <w:lvlText w:val="(%2)"/>
      <w:numFmt w:val="upperLetter"/>
      <w:start w:val="1"/>
    </w:lvl>
  </w:abstractNum>
  <w:abstractNum w:abstractNumId="107">
    <w:nsid w:val="53584BCB"/>
    <w:multiLevelType w:val="hybridMultilevel"/>
    <w:lvl w:ilvl="0">
      <w:lvlJc w:val="left"/>
      <w:lvlText w:val="%1"/>
      <w:numFmt w:val="upperLetter"/>
      <w:start w:val="1"/>
    </w:lvl>
    <w:lvl w:ilvl="1">
      <w:lvlJc w:val="left"/>
      <w:lvlText w:val="(%2)"/>
      <w:numFmt w:val="lowerRoman"/>
      <w:start w:val="8"/>
    </w:lvl>
  </w:abstractNum>
  <w:abstractNum w:abstractNumId="108">
    <w:nsid w:val="415E286C"/>
    <w:multiLevelType w:val="hybridMultilevel"/>
    <w:lvl w:ilvl="0">
      <w:lvlJc w:val="left"/>
      <w:lvlText w:val="(%1)"/>
      <w:numFmt w:val="upperLetter"/>
      <w:start w:val="2"/>
    </w:lvl>
    <w:lvl w:ilvl="1">
      <w:lvlJc w:val="left"/>
      <w:lvlText w:val="%2"/>
      <w:numFmt w:val="lowerRoman"/>
      <w:start w:val="1"/>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lowerLetter"/>
      <w:start w:val="1"/>
    </w:lvl>
  </w:abstractNum>
  <w:abstractNum w:abstractNumId="111">
    <w:nsid w:val="45E6D486"/>
    <w:multiLevelType w:val="hybridMultilevel"/>
    <w:lvl w:ilvl="0">
      <w:lvlJc w:val="left"/>
      <w:lvlText w:val="(%1)"/>
      <w:numFmt w:val="lowerLetter"/>
      <w:start w:val="8"/>
    </w:lvl>
    <w:lvl w:ilvl="1">
      <w:lvlJc w:val="left"/>
      <w:lvlText w:val="(%2)"/>
      <w:numFmt w:val="lowerLetter"/>
      <w:start w:val="9"/>
    </w:lvl>
  </w:abstractNum>
  <w:abstractNum w:abstractNumId="112">
    <w:nsid w:val="5C10FE21"/>
    <w:multiLevelType w:val="hybridMultilevel"/>
    <w:lvl w:ilvl="0">
      <w:lvlJc w:val="left"/>
      <w:lvlText w:val="%1"/>
      <w:numFmt w:val="lowerLetter"/>
      <w:start w:val="1"/>
    </w:lvl>
    <w:lvl w:ilvl="1">
      <w:lvlJc w:val="left"/>
      <w:lvlText w:val="(%2)"/>
      <w:numFmt w:val="lowerLetter"/>
      <w:start w:val="35"/>
    </w:lvl>
  </w:abstractNum>
  <w:abstractNum w:abstractNumId="113">
    <w:nsid w:val="E7FFA2B"/>
    <w:multiLevelType w:val="hybridMultilevel"/>
    <w:lvl w:ilvl="0">
      <w:lvlJc w:val="left"/>
      <w:lvlText w:val="(%1)"/>
      <w:numFmt w:val="lowerLetter"/>
      <w:start w:val="1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2021-04-12T05:18:59Z</dcterms:created>
  <dcterms:modified xsi:type="dcterms:W3CDTF">2021-04-12T05:18:59Z</dcterms:modified>
</cp:coreProperties>
</file>