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hyperlink w:anchor="TableOfContents">
        <w:bookmarkStart w:id="0" w:name="a10-5749_110q.htm"/>
        <w:bookmarkStart w:id="1" w:name="ksa105749_110q"/>
        <w:bookmarkEnd w:id="0"/>
        <w:bookmarkEnd w:id="1"/>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pBdr/>
        <w:spacing w:before="0" w:after="0"/>
        <w:ind w:left="0" w:right="0" w:hanging="0"/>
        <w:rPr>
          <w:bdr w:val="single" w:sz="24" w:space="1" w:color="000000"/>
        </w:rPr>
      </w:pPr>
      <w:r>
        <w:rPr>
          <w:bdr w:val="single" w:sz="24" w:space="1" w:color="000000"/>
        </w:rPr>
        <w:t> </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30"/>
        </w:rPr>
      </w:pPr>
      <w:r>
        <w:rPr>
          <w:rFonts w:ascii="Times New Roman" w:hAnsi="Times New Roman"/>
          <w:b/>
          <w:sz w:val="30"/>
        </w:rPr>
        <w:t>UNITED STATES SECURITIES AND EXCHANGE</w:t>
      </w:r>
    </w:p>
    <w:p>
      <w:pPr>
        <w:pStyle w:val="TextBody"/>
        <w:spacing w:before="0" w:after="0"/>
        <w:ind w:left="0" w:right="0" w:hanging="0"/>
        <w:rPr>
          <w:rFonts w:ascii="Times New Roman" w:hAnsi="Times New Roman"/>
          <w:b/>
          <w:sz w:val="30"/>
        </w:rPr>
      </w:pPr>
      <w:r>
        <w:rPr>
          <w:rFonts w:ascii="Times New Roman" w:hAnsi="Times New Roman"/>
          <w:b/>
          <w:sz w:val="30"/>
        </w:rPr>
        <w:t>COMMISSION</w:t>
      </w:r>
    </w:p>
    <w:p>
      <w:pPr>
        <w:pStyle w:val="TextBody"/>
        <w:spacing w:before="0" w:after="0"/>
        <w:ind w:left="0" w:right="0" w:hanging="0"/>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t> </w:t>
      </w:r>
    </w:p>
    <w:p>
      <w:pPr>
        <w:pStyle w:val="Heading5"/>
        <w:rPr>
          <w:rFonts w:ascii="Times New Roman" w:hAnsi="Times New Roman"/>
          <w:b/>
          <w:spacing w:val="0"/>
          <w:sz w:val="30"/>
        </w:rPr>
      </w:pPr>
      <w:r>
        <w:rPr>
          <w:rFonts w:ascii="Times New Roman" w:hAnsi="Times New Roman"/>
          <w:b/>
          <w:spacing w:val="0"/>
          <w:sz w:val="30"/>
        </w:rPr>
        <w:t>FORM 10-Q</w:t>
      </w:r>
    </w:p>
    <w:p>
      <w:pPr>
        <w:pStyle w:val="Heading5"/>
        <w:rPr>
          <w:spacing w:val="0"/>
        </w:rPr>
      </w:pPr>
      <w:r>
        <w:rPr>
          <w:spacing w:val="0"/>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0"/>
              <w:ind w:left="0" w:right="0" w:hanging="0"/>
              <w:rPr>
                <w:rFonts w:ascii="Wingdings" w:hAnsi="Wingdings"/>
                <w:b/>
                <w:sz w:val="20"/>
              </w:rPr>
            </w:pPr>
            <w:r>
              <w:rPr>
                <w:rFonts w:ascii="Wingdings" w:hAnsi="Wingdings"/>
                <w:b/>
                <w:sz w:val="20"/>
              </w:rPr>
              <w:t>x</w:t>
            </w:r>
          </w:p>
        </w:tc>
        <w:tc>
          <w:tcPr>
            <w:tcW w:w="9696"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QUARTERLY REPORT PURSUANT TO SECTION 13 OR 15(d) OF THE SECURITIES EXCHANGE ACT OF 1934</w:t>
            </w:r>
          </w:p>
        </w:tc>
      </w:tr>
      <w:tr>
        <w:trPr/>
        <w:tc>
          <w:tcPr>
            <w:tcW w:w="509" w:type="dxa"/>
            <w:tcBorders/>
            <w:shd w:fill="auto" w:val="clear"/>
          </w:tcPr>
          <w:p>
            <w:pPr>
              <w:pStyle w:val="TableContents"/>
              <w:spacing w:before="0" w:after="0"/>
              <w:ind w:left="0" w:right="0" w:hanging="0"/>
              <w:rPr/>
            </w:pPr>
            <w:r>
              <w:rPr/>
              <w:t> </w:t>
            </w:r>
          </w:p>
        </w:tc>
        <w:tc>
          <w:tcPr>
            <w:tcW w:w="9696" w:type="dxa"/>
            <w:tcBorders/>
            <w:shd w:fill="auto" w:val="clear"/>
          </w:tcPr>
          <w:p>
            <w:pPr>
              <w:pStyle w:val="TableContents"/>
              <w:spacing w:before="0" w:after="0"/>
              <w:ind w:left="0" w:right="0" w:hanging="0"/>
              <w:rPr/>
            </w:pPr>
            <w:r>
              <w:rPr/>
              <w:t> </w:t>
            </w:r>
          </w:p>
        </w:tc>
      </w:tr>
      <w:tr>
        <w:trPr/>
        <w:tc>
          <w:tcPr>
            <w:tcW w:w="509" w:type="dxa"/>
            <w:tcBorders/>
            <w:shd w:fill="auto" w:val="clear"/>
          </w:tcPr>
          <w:p>
            <w:pPr>
              <w:pStyle w:val="TableContents"/>
              <w:spacing w:before="0" w:after="0"/>
              <w:ind w:left="0" w:right="0" w:hanging="0"/>
              <w:rPr/>
            </w:pPr>
            <w:r>
              <w:rPr/>
              <w:t> </w:t>
            </w:r>
          </w:p>
        </w:tc>
        <w:tc>
          <w:tcPr>
            <w:tcW w:w="9696"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For the quarterly period ended March 31, 2010</w:t>
            </w:r>
          </w:p>
        </w:tc>
      </w:tr>
      <w:tr>
        <w:trPr/>
        <w:tc>
          <w:tcPr>
            <w:tcW w:w="10205" w:type="dxa"/>
            <w:gridSpan w:val="2"/>
            <w:tcBorders/>
            <w:shd w:fill="auto" w:val="clear"/>
          </w:tcPr>
          <w:p>
            <w:pPr>
              <w:pStyle w:val="TableContents"/>
              <w:spacing w:before="0" w:after="0"/>
              <w:ind w:left="0" w:right="0" w:hanging="0"/>
              <w:jc w:val="center"/>
              <w:rPr/>
            </w:pPr>
            <w:r>
              <w:rPr/>
              <w:t> </w:t>
            </w:r>
          </w:p>
        </w:tc>
      </w:tr>
      <w:tr>
        <w:trPr/>
        <w:tc>
          <w:tcPr>
            <w:tcW w:w="10205" w:type="dxa"/>
            <w:gridSpan w:val="2"/>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OR</w:t>
            </w:r>
          </w:p>
        </w:tc>
      </w:tr>
      <w:tr>
        <w:trPr/>
        <w:tc>
          <w:tcPr>
            <w:tcW w:w="10205" w:type="dxa"/>
            <w:gridSpan w:val="2"/>
            <w:tcBorders/>
            <w:shd w:fill="auto" w:val="clear"/>
          </w:tcPr>
          <w:p>
            <w:pPr>
              <w:pStyle w:val="TableContents"/>
              <w:spacing w:before="0" w:after="0"/>
              <w:ind w:left="0" w:right="0" w:hanging="0"/>
              <w:jc w:val="center"/>
              <w:rPr/>
            </w:pPr>
            <w:r>
              <w:rPr/>
              <w:t> </w:t>
            </w:r>
          </w:p>
        </w:tc>
      </w:tr>
      <w:tr>
        <w:trPr/>
        <w:tc>
          <w:tcPr>
            <w:tcW w:w="509" w:type="dxa"/>
            <w:tcBorders/>
            <w:shd w:fill="auto" w:val="clear"/>
          </w:tcPr>
          <w:p>
            <w:pPr>
              <w:pStyle w:val="TableContents"/>
              <w:spacing w:before="0" w:after="0"/>
              <w:ind w:left="0" w:right="0" w:hanging="0"/>
              <w:rPr>
                <w:rFonts w:ascii="Wingdings" w:hAnsi="Wingdings"/>
                <w:b/>
                <w:sz w:val="20"/>
              </w:rPr>
            </w:pPr>
            <w:r>
              <w:rPr>
                <w:rFonts w:ascii="Wingdings" w:hAnsi="Wingdings"/>
                <w:b/>
                <w:sz w:val="20"/>
              </w:rPr>
              <w:t>o</w:t>
            </w:r>
          </w:p>
        </w:tc>
        <w:tc>
          <w:tcPr>
            <w:tcW w:w="9696"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Commission file number: 1-14569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4999"/>
        <w:gridCol w:w="206"/>
        <w:gridCol w:w="5000"/>
      </w:tblGrid>
      <w:tr>
        <w:trPr/>
        <w:tc>
          <w:tcPr>
            <w:tcW w:w="4999"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6" w:type="dxa"/>
            <w:tcBorders/>
            <w:shd w:fill="auto" w:val="clear"/>
            <w:vAlign w:val="bottom"/>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499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 or organization)</w:t>
            </w:r>
          </w:p>
        </w:tc>
        <w:tc>
          <w:tcPr>
            <w:tcW w:w="206" w:type="dxa"/>
            <w:tcBorders/>
            <w:shd w:fill="auto" w:val="clear"/>
            <w:vAlign w:val="bottom"/>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w:t>
              <w:br/>
              <w:t>Identification No.)</w:t>
            </w:r>
          </w:p>
        </w:tc>
      </w:tr>
      <w:tr>
        <w:trPr/>
        <w:tc>
          <w:tcPr>
            <w:tcW w:w="4999" w:type="dxa"/>
            <w:tcBorders/>
            <w:shd w:fill="auto" w:val="clear"/>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jc w:val="center"/>
              <w:rPr/>
            </w:pPr>
            <w:r>
              <w:rPr/>
              <w:t> </w:t>
            </w:r>
          </w:p>
        </w:tc>
      </w:tr>
      <w:tr>
        <w:trPr/>
        <w:tc>
          <w:tcPr>
            <w:tcW w:w="4999"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w:t>
            </w:r>
          </w:p>
        </w:tc>
        <w:tc>
          <w:tcPr>
            <w:tcW w:w="206" w:type="dxa"/>
            <w:tcBorders/>
            <w:shd w:fill="auto" w:val="clear"/>
            <w:vAlign w:val="bottom"/>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77002</w:t>
            </w:r>
          </w:p>
        </w:tc>
      </w:tr>
      <w:tr>
        <w:trPr/>
        <w:tc>
          <w:tcPr>
            <w:tcW w:w="499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(Address of principal executive offices)</w:t>
            </w:r>
          </w:p>
        </w:tc>
        <w:tc>
          <w:tcPr>
            <w:tcW w:w="206" w:type="dxa"/>
            <w:tcBorders/>
            <w:shd w:fill="auto" w:val="clear"/>
            <w:vAlign w:val="bottom"/>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(Zip Code)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(713) 646-4100</w:t>
      </w:r>
    </w:p>
    <w:p>
      <w:pPr>
        <w:pStyle w:val="TextBody"/>
        <w:spacing w:before="0" w:after="0"/>
        <w:ind w:left="0" w:right="0" w:hanging="0"/>
        <w:jc w:val="center"/>
        <w:rPr>
          <w:rFonts w:ascii="Times New Roman" w:hAnsi="Times New Roman"/>
          <w:sz w:val="17"/>
        </w:rPr>
      </w:pPr>
      <w:r>
        <w:rPr>
          <w:rFonts w:ascii="Times New Roman" w:hAnsi="Times New Roman"/>
          <w:sz w:val="17"/>
        </w:rPr>
        <w:t>(Registrants telephone number, including area code)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hAnsi="Wingdings"/>
          <w:sz w:val="17"/>
        </w:rPr>
        <w:t>x</w:t>
      </w:r>
      <w:r>
        <w:rPr>
          <w:rFonts w:ascii="Times New Roman" w:hAnsi="Times New Roman"/>
          <w:sz w:val="17"/>
        </w:rPr>
        <w:t xml:space="preserve">Yes  </w:t>
      </w:r>
      <w:r>
        <w:rPr>
          <w:rFonts w:ascii="Wingdings" w:hAnsi="Wingdings"/>
          <w:sz w:val="17"/>
        </w:rPr>
        <w:t>o</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w:t>
      </w:r>
      <w:r>
        <w:rPr>
          <w:rFonts w:ascii="Wingdings" w:hAnsi="Wingdings"/>
          <w:sz w:val="17"/>
        </w:rPr>
        <w:t>x</w:t>
      </w:r>
      <w:r>
        <w:rPr>
          <w:rFonts w:ascii="Times New Roman" w:hAnsi="Times New Roman"/>
          <w:sz w:val="17"/>
        </w:rPr>
        <w:t xml:space="preserve">Yes  </w:t>
      </w:r>
      <w:r>
        <w:rPr>
          <w:rFonts w:ascii="Wingdings" w:hAnsi="Wingdings"/>
          <w:sz w:val="17"/>
        </w:rPr>
        <w:t>o</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2388"/>
        <w:gridCol w:w="217"/>
        <w:gridCol w:w="2389"/>
        <w:gridCol w:w="216"/>
        <w:gridCol w:w="2389"/>
        <w:gridCol w:w="217"/>
        <w:gridCol w:w="2389"/>
      </w:tblGrid>
      <w:tr>
        <w:trPr/>
        <w:tc>
          <w:tcPr>
            <w:tcW w:w="2388" w:type="dxa"/>
            <w:tcBorders/>
            <w:shd w:fill="auto" w:val="clear"/>
          </w:tcPr>
          <w:p>
            <w:pPr>
              <w:pStyle w:val="TableContents"/>
              <w:spacing w:before="0" w:after="0"/>
              <w:ind w:left="0" w:right="0" w:hanging="0"/>
              <w:jc w:val="center"/>
              <w:rPr/>
            </w:pPr>
            <w:r>
              <w:rPr>
                <w:rFonts w:ascii="Times New Roman" w:hAnsi="Times New Roman"/>
                <w:sz w:val="17"/>
              </w:rPr>
              <w:t>Large accelerated filer  </w:t>
            </w:r>
            <w:r>
              <w:rPr>
                <w:rFonts w:ascii="Wingdings" w:hAnsi="Wingdings"/>
                <w:sz w:val="17"/>
              </w:rPr>
              <w:t>x</w:t>
            </w:r>
          </w:p>
        </w:tc>
        <w:tc>
          <w:tcPr>
            <w:tcW w:w="217" w:type="dxa"/>
            <w:tcBorders/>
            <w:shd w:fill="auto" w:val="clear"/>
            <w:vAlign w:val="bottom"/>
          </w:tcPr>
          <w:p>
            <w:pPr>
              <w:pStyle w:val="TableContents"/>
              <w:spacing w:before="0" w:after="0"/>
              <w:ind w:left="0" w:right="0" w:hanging="0"/>
              <w:rPr/>
            </w:pPr>
            <w:r>
              <w:rPr/>
              <w:t> </w:t>
            </w:r>
          </w:p>
        </w:tc>
        <w:tc>
          <w:tcPr>
            <w:tcW w:w="2389" w:type="dxa"/>
            <w:tcBorders/>
            <w:shd w:fill="auto" w:val="clear"/>
          </w:tcPr>
          <w:p>
            <w:pPr>
              <w:pStyle w:val="TableContents"/>
              <w:spacing w:before="0" w:after="0"/>
              <w:ind w:left="0" w:right="0" w:hanging="0"/>
              <w:jc w:val="center"/>
              <w:rPr/>
            </w:pPr>
            <w:r>
              <w:rPr>
                <w:rFonts w:ascii="Times New Roman" w:hAnsi="Times New Roman"/>
                <w:sz w:val="17"/>
              </w:rPr>
              <w:t>Accelerated filer  </w:t>
            </w:r>
            <w:r>
              <w:rPr>
                <w:rFonts w:ascii="Wingdings" w:hAnsi="Wingdings"/>
                <w:sz w:val="17"/>
              </w:rPr>
              <w:t>o</w:t>
            </w:r>
          </w:p>
        </w:tc>
        <w:tc>
          <w:tcPr>
            <w:tcW w:w="216" w:type="dxa"/>
            <w:tcBorders/>
            <w:shd w:fill="auto" w:val="clear"/>
            <w:vAlign w:val="bottom"/>
          </w:tcPr>
          <w:p>
            <w:pPr>
              <w:pStyle w:val="TableContents"/>
              <w:spacing w:before="0" w:after="0"/>
              <w:ind w:left="0" w:right="0" w:hanging="0"/>
              <w:rPr/>
            </w:pPr>
            <w:r>
              <w:rPr/>
              <w:t> </w:t>
            </w:r>
          </w:p>
        </w:tc>
        <w:tc>
          <w:tcPr>
            <w:tcW w:w="2389" w:type="dxa"/>
            <w:tcBorders/>
            <w:shd w:fill="auto" w:val="clear"/>
          </w:tcPr>
          <w:p>
            <w:pPr>
              <w:pStyle w:val="TableContents"/>
              <w:spacing w:before="0" w:after="0"/>
              <w:ind w:left="0" w:right="0" w:hanging="0"/>
              <w:jc w:val="center"/>
              <w:rPr/>
            </w:pPr>
            <w:r>
              <w:rPr>
                <w:rFonts w:ascii="Times New Roman" w:hAnsi="Times New Roman"/>
                <w:sz w:val="17"/>
              </w:rPr>
              <w:t>Non-accelerated filer  </w:t>
            </w:r>
            <w:r>
              <w:rPr>
                <w:rFonts w:ascii="Wingdings" w:hAnsi="Wingdings"/>
                <w:sz w:val="17"/>
              </w:rPr>
              <w:t>o</w:t>
            </w:r>
          </w:p>
        </w:tc>
        <w:tc>
          <w:tcPr>
            <w:tcW w:w="217" w:type="dxa"/>
            <w:tcBorders/>
            <w:shd w:fill="auto" w:val="clear"/>
            <w:vAlign w:val="bottom"/>
          </w:tcPr>
          <w:p>
            <w:pPr>
              <w:pStyle w:val="TableContents"/>
              <w:spacing w:before="0" w:after="0"/>
              <w:ind w:left="0" w:right="0" w:hanging="0"/>
              <w:rPr/>
            </w:pPr>
            <w:r>
              <w:rPr/>
              <w:t> </w:t>
            </w:r>
          </w:p>
        </w:tc>
        <w:tc>
          <w:tcPr>
            <w:tcW w:w="2389" w:type="dxa"/>
            <w:tcBorders/>
            <w:shd w:fill="auto" w:val="clear"/>
          </w:tcPr>
          <w:p>
            <w:pPr>
              <w:pStyle w:val="TableContents"/>
              <w:spacing w:before="0" w:after="0"/>
              <w:ind w:left="0" w:right="0" w:hanging="0"/>
              <w:jc w:val="center"/>
              <w:rPr/>
            </w:pPr>
            <w:r>
              <w:rPr>
                <w:rFonts w:ascii="Times New Roman" w:hAnsi="Times New Roman"/>
                <w:sz w:val="17"/>
              </w:rPr>
              <w:t>Smaller reporting company  </w:t>
            </w:r>
            <w:r>
              <w:rPr>
                <w:rFonts w:ascii="Wingdings" w:hAnsi="Wingdings"/>
                <w:sz w:val="17"/>
              </w:rPr>
              <w:t>o</w:t>
            </w:r>
          </w:p>
        </w:tc>
      </w:tr>
      <w:tr>
        <w:trPr/>
        <w:tc>
          <w:tcPr>
            <w:tcW w:w="2388" w:type="dxa"/>
            <w:tcBorders/>
            <w:shd w:fill="auto" w:val="clear"/>
          </w:tcPr>
          <w:p>
            <w:pPr>
              <w:pStyle w:val="TableContents"/>
              <w:spacing w:before="0" w:after="0"/>
              <w:ind w:left="0" w:right="0" w:hanging="0"/>
              <w:jc w:val="center"/>
              <w:rPr/>
            </w:pPr>
            <w:r>
              <w:rPr/>
              <w:t> </w:t>
            </w:r>
          </w:p>
        </w:tc>
        <w:tc>
          <w:tcPr>
            <w:tcW w:w="217" w:type="dxa"/>
            <w:tcBorders/>
            <w:shd w:fill="auto" w:val="clear"/>
            <w:vAlign w:val="bottom"/>
          </w:tcPr>
          <w:p>
            <w:pPr>
              <w:pStyle w:val="TableContents"/>
              <w:spacing w:before="0" w:after="0"/>
              <w:ind w:left="0" w:right="0" w:hanging="0"/>
              <w:rPr/>
            </w:pPr>
            <w:r>
              <w:rPr/>
              <w:t> </w:t>
            </w:r>
          </w:p>
        </w:tc>
        <w:tc>
          <w:tcPr>
            <w:tcW w:w="2389" w:type="dxa"/>
            <w:tcBorders/>
            <w:shd w:fill="auto" w:val="clear"/>
          </w:tcPr>
          <w:p>
            <w:pPr>
              <w:pStyle w:val="TableContents"/>
              <w:spacing w:before="0" w:after="0"/>
              <w:ind w:left="0" w:right="0" w:hanging="0"/>
              <w:jc w:val="center"/>
              <w:rPr/>
            </w:pPr>
            <w:r>
              <w:rPr/>
              <w:t> </w:t>
            </w:r>
          </w:p>
        </w:tc>
        <w:tc>
          <w:tcPr>
            <w:tcW w:w="216" w:type="dxa"/>
            <w:tcBorders/>
            <w:shd w:fill="auto" w:val="clear"/>
            <w:vAlign w:val="bottom"/>
          </w:tcPr>
          <w:p>
            <w:pPr>
              <w:pStyle w:val="TableContents"/>
              <w:spacing w:before="0" w:after="0"/>
              <w:ind w:left="0" w:right="0" w:hanging="0"/>
              <w:rPr/>
            </w:pPr>
            <w:r>
              <w:rPr/>
              <w:t> </w:t>
            </w:r>
          </w:p>
        </w:tc>
        <w:tc>
          <w:tcPr>
            <w:tcW w:w="238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(Do not check if a smaller</w:t>
              <w:br/>
              <w:t>reporting company)</w:t>
            </w:r>
          </w:p>
        </w:tc>
        <w:tc>
          <w:tcPr>
            <w:tcW w:w="217" w:type="dxa"/>
            <w:tcBorders/>
            <w:shd w:fill="auto" w:val="clear"/>
            <w:vAlign w:val="bottom"/>
          </w:tcPr>
          <w:p>
            <w:pPr>
              <w:pStyle w:val="TableContents"/>
              <w:spacing w:before="0" w:after="0"/>
              <w:ind w:left="0" w:right="0" w:hanging="0"/>
              <w:rPr/>
            </w:pPr>
            <w:r>
              <w:rPr/>
              <w:t> </w:t>
            </w:r>
          </w:p>
        </w:tc>
        <w:tc>
          <w:tcPr>
            <w:tcW w:w="2389" w:type="dxa"/>
            <w:tcBorders/>
            <w:shd w:fill="auto" w:val="clear"/>
          </w:tcPr>
          <w:p>
            <w:pPr>
              <w:pStyle w:val="TableContents"/>
              <w:spacing w:before="0" w:after="0"/>
              <w:ind w:left="0" w:right="0" w:hanging="0"/>
              <w:jc w:val="center"/>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Indicate by check mark whether the registrant is a shell company (as defined in Rule 12b-2 of the Exchange Act). </w:t>
      </w:r>
      <w:r>
        <w:rPr>
          <w:rFonts w:ascii="Wingdings" w:hAnsi="Wingdings"/>
          <w:sz w:val="17"/>
        </w:rPr>
        <w:t>o</w:t>
      </w:r>
      <w:r>
        <w:rPr>
          <w:rFonts w:ascii="Times New Roman" w:hAnsi="Times New Roman"/>
        </w:rPr>
        <w:t xml:space="preserve"> </w:t>
      </w:r>
      <w:r>
        <w:rPr>
          <w:rFonts w:ascii="Times New Roman" w:hAnsi="Times New Roman"/>
          <w:sz w:val="17"/>
        </w:rPr>
        <w:t xml:space="preserve">Yes </w:t>
      </w:r>
      <w:r>
        <w:rPr>
          <w:rFonts w:ascii="Wingdings" w:hAnsi="Wingdings"/>
          <w:sz w:val="17"/>
        </w:rPr>
        <w:t>x</w:t>
      </w:r>
      <w:r>
        <w:rPr>
          <w:rFonts w:ascii="Times New Roman" w:hAnsi="Times New Roman"/>
        </w:rPr>
        <w:t xml:space="preserve">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May 3, 2010, there were 136,135,988 Common Units outstanding.  The common units trade on the New York Stock Exchange under the ticker symbol PAA.</w:t>
      </w:r>
    </w:p>
    <w:p>
      <w:pPr>
        <w:pStyle w:val="TextBody"/>
        <w:spacing w:before="0" w:after="0"/>
        <w:ind w:left="0" w:right="0" w:hanging="0"/>
        <w:jc w:val="center"/>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TABLE OF CONTENTS</w:t>
      </w:r>
      <w:bookmarkStart w:id="2" w:name="TableOfContents"/>
      <w:bookmarkEnd w:id="2"/>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623"/>
        <w:gridCol w:w="8958"/>
        <w:gridCol w:w="624"/>
      </w:tblGrid>
      <w:tr>
        <w:trPr/>
        <w:tc>
          <w:tcPr>
            <w:tcW w:w="9581" w:type="dxa"/>
            <w:gridSpan w:val="2"/>
            <w:tcBorders/>
            <w:shd w:fill="auto" w:val="clear"/>
            <w:vAlign w:val="bottom"/>
          </w:tcPr>
          <w:p>
            <w:pPr>
              <w:pStyle w:val="TableContents"/>
              <w:spacing w:before="0" w:after="0"/>
              <w:ind w:left="0" w:right="0" w:hanging="0"/>
              <w:rPr/>
            </w:pPr>
            <w:r>
              <w:rPr/>
              <w:t> </w:t>
            </w:r>
          </w:p>
        </w:tc>
        <w:tc>
          <w:tcPr>
            <w:tcW w:w="62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Page</w:t>
            </w:r>
          </w:p>
        </w:tc>
      </w:tr>
      <w:tr>
        <w:trPr/>
        <w:tc>
          <w:tcPr>
            <w:tcW w:w="9581" w:type="dxa"/>
            <w:gridSpan w:val="2"/>
            <w:tcBorders/>
            <w:shd w:fill="auto" w:val="clear"/>
          </w:tcPr>
          <w:p>
            <w:pPr>
              <w:pStyle w:val="TableContents"/>
              <w:spacing w:before="0" w:after="0"/>
              <w:ind w:left="0" w:right="0" w:hanging="0"/>
              <w:rPr/>
            </w:pPr>
            <w:hyperlink w:anchor="Parti_FinancialInformation_145043">
              <w:r>
                <w:rPr>
                  <w:rStyle w:val="InternetLink"/>
                  <w:rFonts w:ascii="Times New Roman" w:hAnsi="Times New Roman"/>
                  <w:b/>
                  <w:sz w:val="17"/>
                </w:rPr>
                <w:t>PART I. FINANCIAL INFORMATION</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9581" w:type="dxa"/>
            <w:gridSpan w:val="2"/>
            <w:tcBorders/>
            <w:shd w:fill="auto" w:val="clear"/>
          </w:tcPr>
          <w:p>
            <w:pPr>
              <w:pStyle w:val="TableContents"/>
              <w:spacing w:before="0" w:after="0"/>
              <w:ind w:left="0" w:right="0" w:hanging="0"/>
              <w:rPr/>
            </w:pPr>
            <w:hyperlink w:anchor="Item1_UnauditedCondensedConsolida_145045">
              <w:r>
                <w:rPr>
                  <w:rStyle w:val="InternetLink"/>
                  <w:rFonts w:ascii="Times New Roman" w:hAnsi="Times New Roman"/>
                  <w:sz w:val="17"/>
                </w:rPr>
                <w:t>Item 1. UNAUDITED CONDENSED CONSOLIDATED FINANCIAL STATEMENTS:</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9581" w:type="dxa"/>
            <w:gridSpan w:val="2"/>
            <w:tcBorders/>
            <w:shd w:fill="auto" w:val="clear"/>
          </w:tcPr>
          <w:p>
            <w:pPr>
              <w:pStyle w:val="TableContents"/>
              <w:spacing w:before="0" w:after="0"/>
              <w:ind w:left="0" w:right="0" w:hanging="0"/>
              <w:rPr/>
            </w:pPr>
            <w:hyperlink w:anchor="CondensedConsolidatedBalanceSheet_145047">
              <w:r>
                <w:rPr>
                  <w:rStyle w:val="InternetLink"/>
                  <w:rFonts w:ascii="Times New Roman" w:hAnsi="Times New Roman"/>
                  <w:sz w:val="17"/>
                </w:rPr>
                <w:t>Condensed Consolidated Balance Sheets: March 31, 2010 and December 31, 2009</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9581" w:type="dxa"/>
            <w:gridSpan w:val="2"/>
            <w:tcBorders/>
            <w:shd w:fill="auto" w:val="clear"/>
          </w:tcPr>
          <w:p>
            <w:pPr>
              <w:pStyle w:val="TableContents"/>
              <w:spacing w:before="0" w:after="0"/>
              <w:ind w:left="0" w:right="0" w:hanging="0"/>
              <w:rPr/>
            </w:pPr>
            <w:hyperlink w:anchor="CondensedConsolidatedStatementsOf_145050">
              <w:r>
                <w:rPr>
                  <w:rStyle w:val="InternetLink"/>
                  <w:rFonts w:ascii="Times New Roman" w:hAnsi="Times New Roman"/>
                  <w:sz w:val="17"/>
                </w:rPr>
                <w:t>Condensed Consolidated Statements of Operations: For the three months ended March 31, 2010 and 2009</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9581" w:type="dxa"/>
            <w:gridSpan w:val="2"/>
            <w:tcBorders/>
            <w:shd w:fill="auto" w:val="clear"/>
          </w:tcPr>
          <w:p>
            <w:pPr>
              <w:pStyle w:val="TableContents"/>
              <w:spacing w:before="0" w:after="0"/>
              <w:ind w:left="0" w:right="0" w:hanging="0"/>
              <w:rPr/>
            </w:pPr>
            <w:hyperlink w:anchor="CondensedConsolidatedStatementsOf_145052">
              <w:r>
                <w:rPr>
                  <w:rStyle w:val="InternetLink"/>
                  <w:rFonts w:ascii="Times New Roman" w:hAnsi="Times New Roman"/>
                  <w:sz w:val="17"/>
                </w:rPr>
                <w:t>Condensed Consolidated Statements of Cash Flows: For the three months ended March 31, 2010 and 2009</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9581" w:type="dxa"/>
            <w:gridSpan w:val="2"/>
            <w:tcBorders/>
            <w:shd w:fill="auto" w:val="clear"/>
          </w:tcPr>
          <w:p>
            <w:pPr>
              <w:pStyle w:val="TableContents"/>
              <w:spacing w:before="0" w:after="0"/>
              <w:ind w:left="0" w:right="0" w:hanging="0"/>
              <w:rPr/>
            </w:pPr>
            <w:hyperlink w:anchor="CondensedConsolidatedStatementOfP_145054">
              <w:r>
                <w:rPr>
                  <w:rStyle w:val="InternetLink"/>
                  <w:rFonts w:ascii="Times New Roman" w:hAnsi="Times New Roman"/>
                  <w:sz w:val="17"/>
                </w:rPr>
                <w:t>Condensed Consolidated Statement of Partners Capital: For the three months ended March 31, 2010</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9581" w:type="dxa"/>
            <w:gridSpan w:val="2"/>
            <w:tcBorders/>
            <w:shd w:fill="auto" w:val="clear"/>
          </w:tcPr>
          <w:p>
            <w:pPr>
              <w:pStyle w:val="TableContents"/>
              <w:spacing w:before="0" w:after="0"/>
              <w:ind w:left="0" w:right="0" w:hanging="0"/>
              <w:rPr/>
            </w:pPr>
            <w:hyperlink w:anchor="CondensedConsolidatedStatementsOf_145056">
              <w:r>
                <w:rPr>
                  <w:rStyle w:val="InternetLink"/>
                  <w:rFonts w:ascii="Times New Roman" w:hAnsi="Times New Roman"/>
                  <w:sz w:val="17"/>
                </w:rPr>
                <w:t>Condensed Consolidated Statements of Comprehensive Income: For the three months ended March 31, 2010 and 2009</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9581" w:type="dxa"/>
            <w:gridSpan w:val="2"/>
            <w:tcBorders/>
            <w:shd w:fill="auto" w:val="clear"/>
          </w:tcPr>
          <w:p>
            <w:pPr>
              <w:pStyle w:val="TableContents"/>
              <w:spacing w:before="0" w:after="0"/>
              <w:ind w:left="0" w:right="0" w:hanging="0"/>
              <w:rPr/>
            </w:pPr>
            <w:hyperlink w:anchor="ChangesInAccumulatedOtherComprehe_145058">
              <w:r>
                <w:rPr>
                  <w:rStyle w:val="InternetLink"/>
                  <w:rFonts w:ascii="Times New Roman" w:hAnsi="Times New Roman"/>
                  <w:sz w:val="17"/>
                </w:rPr>
                <w:t>Condensed Consolidated Statement of Changes in Accumulated Other Comprehensive Income: For the three months ended March 31, 2010</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9581" w:type="dxa"/>
            <w:gridSpan w:val="2"/>
            <w:tcBorders/>
            <w:shd w:fill="auto" w:val="clear"/>
          </w:tcPr>
          <w:p>
            <w:pPr>
              <w:pStyle w:val="TableContents"/>
              <w:spacing w:before="0" w:after="0"/>
              <w:ind w:left="0" w:right="0" w:hanging="0"/>
              <w:rPr/>
            </w:pPr>
            <w:hyperlink w:anchor="NotesToTheCondensedConsolidatedFi_145336">
              <w:r>
                <w:rPr>
                  <w:rStyle w:val="InternetLink"/>
                  <w:rFonts w:ascii="Times New Roman" w:hAnsi="Times New Roman"/>
                  <w:sz w:val="17"/>
                </w:rPr>
                <w:t>Notes to the Condensed Consolidated Financial Statements:</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623" w:type="dxa"/>
            <w:tcBorders/>
            <w:shd w:fill="auto" w:val="clear"/>
          </w:tcPr>
          <w:p>
            <w:pPr>
              <w:pStyle w:val="TableContents"/>
              <w:spacing w:before="0" w:after="0"/>
              <w:ind w:left="0" w:right="0" w:hanging="0"/>
              <w:rPr/>
            </w:pPr>
            <w:hyperlink w:anchor="Note1organizationAndBasisOfPresen_145340">
              <w:r>
                <w:rPr>
                  <w:rStyle w:val="InternetLink"/>
                  <w:rFonts w:ascii="Times New Roman" w:hAnsi="Times New Roman"/>
                  <w:sz w:val="17"/>
                </w:rPr>
                <w:t>1.</w:t>
              </w:r>
            </w:hyperlink>
          </w:p>
        </w:tc>
        <w:tc>
          <w:tcPr>
            <w:tcW w:w="8958" w:type="dxa"/>
            <w:tcBorders/>
            <w:shd w:fill="auto" w:val="clear"/>
          </w:tcPr>
          <w:p>
            <w:pPr>
              <w:pStyle w:val="TableContents"/>
              <w:spacing w:before="0" w:after="0"/>
              <w:ind w:left="0" w:right="0" w:hanging="0"/>
              <w:rPr/>
            </w:pPr>
            <w:hyperlink w:anchor="Note1organizationAndBasisOfPresen_145340">
              <w:r>
                <w:rPr>
                  <w:rStyle w:val="InternetLink"/>
                  <w:rFonts w:ascii="Times New Roman" w:hAnsi="Times New Roman"/>
                  <w:sz w:val="17"/>
                </w:rPr>
                <w:t>Organization and Basis of Presentation</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623" w:type="dxa"/>
            <w:tcBorders/>
            <w:shd w:fill="auto" w:val="clear"/>
          </w:tcPr>
          <w:p>
            <w:pPr>
              <w:pStyle w:val="TableContents"/>
              <w:spacing w:before="0" w:after="0"/>
              <w:ind w:left="0" w:right="0" w:hanging="0"/>
              <w:rPr/>
            </w:pPr>
            <w:hyperlink w:anchor="Note2recentAccountingPronouncemen_150205">
              <w:r>
                <w:rPr>
                  <w:rStyle w:val="InternetLink"/>
                  <w:rFonts w:ascii="Times New Roman" w:hAnsi="Times New Roman"/>
                  <w:sz w:val="17"/>
                </w:rPr>
                <w:t>2.</w:t>
              </w:r>
            </w:hyperlink>
          </w:p>
        </w:tc>
        <w:tc>
          <w:tcPr>
            <w:tcW w:w="8958" w:type="dxa"/>
            <w:tcBorders/>
            <w:shd w:fill="auto" w:val="clear"/>
          </w:tcPr>
          <w:p>
            <w:pPr>
              <w:pStyle w:val="TableContents"/>
              <w:spacing w:before="0" w:after="0"/>
              <w:ind w:left="0" w:right="0" w:hanging="0"/>
              <w:rPr/>
            </w:pPr>
            <w:hyperlink w:anchor="Note2recentAccountingPronouncemen_150205">
              <w:r>
                <w:rPr>
                  <w:rStyle w:val="InternetLink"/>
                  <w:rFonts w:ascii="Times New Roman" w:hAnsi="Times New Roman"/>
                  <w:sz w:val="17"/>
                </w:rPr>
                <w:t>Recent Accounting Pronouncements</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r>
      <w:tr>
        <w:trPr/>
        <w:tc>
          <w:tcPr>
            <w:tcW w:w="623" w:type="dxa"/>
            <w:tcBorders/>
            <w:shd w:fill="auto" w:val="clear"/>
          </w:tcPr>
          <w:p>
            <w:pPr>
              <w:pStyle w:val="TableContents"/>
              <w:spacing w:before="0" w:after="0"/>
              <w:ind w:left="0" w:right="0" w:hanging="0"/>
              <w:rPr/>
            </w:pPr>
            <w:hyperlink w:anchor="Note3tradeAccountsReceivable_153216">
              <w:r>
                <w:rPr>
                  <w:rStyle w:val="InternetLink"/>
                  <w:rFonts w:ascii="Times New Roman" w:hAnsi="Times New Roman"/>
                  <w:sz w:val="17"/>
                </w:rPr>
                <w:t>3.</w:t>
              </w:r>
            </w:hyperlink>
          </w:p>
        </w:tc>
        <w:tc>
          <w:tcPr>
            <w:tcW w:w="8958" w:type="dxa"/>
            <w:tcBorders/>
            <w:shd w:fill="auto" w:val="clear"/>
          </w:tcPr>
          <w:p>
            <w:pPr>
              <w:pStyle w:val="TableContents"/>
              <w:spacing w:before="0" w:after="0"/>
              <w:ind w:left="0" w:right="0" w:hanging="0"/>
              <w:rPr/>
            </w:pPr>
            <w:hyperlink w:anchor="Note3tradeAccountsReceivable_153216">
              <w:r>
                <w:rPr>
                  <w:rStyle w:val="InternetLink"/>
                  <w:rFonts w:ascii="Times New Roman" w:hAnsi="Times New Roman"/>
                  <w:sz w:val="17"/>
                </w:rPr>
                <w:t>Trade Accounts Receivable</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r>
      <w:tr>
        <w:trPr/>
        <w:tc>
          <w:tcPr>
            <w:tcW w:w="623" w:type="dxa"/>
            <w:tcBorders/>
            <w:shd w:fill="auto" w:val="clear"/>
          </w:tcPr>
          <w:p>
            <w:pPr>
              <w:pStyle w:val="TableContents"/>
              <w:spacing w:before="0" w:after="0"/>
              <w:ind w:left="0" w:right="0" w:hanging="0"/>
              <w:rPr/>
            </w:pPr>
            <w:hyperlink w:anchor="Note5inventoryLinefillBaseGasAndL_150224">
              <w:r>
                <w:rPr>
                  <w:rStyle w:val="InternetLink"/>
                  <w:rFonts w:ascii="Times New Roman" w:hAnsi="Times New Roman"/>
                  <w:sz w:val="17"/>
                </w:rPr>
                <w:t>4.</w:t>
              </w:r>
            </w:hyperlink>
          </w:p>
        </w:tc>
        <w:tc>
          <w:tcPr>
            <w:tcW w:w="8958" w:type="dxa"/>
            <w:tcBorders/>
            <w:shd w:fill="auto" w:val="clear"/>
          </w:tcPr>
          <w:p>
            <w:pPr>
              <w:pStyle w:val="TableContents"/>
              <w:spacing w:before="0" w:after="0"/>
              <w:ind w:left="0" w:right="0" w:hanging="0"/>
              <w:rPr/>
            </w:pPr>
            <w:hyperlink w:anchor="Note5inventoryLinefillBaseGasAndL_150224">
              <w:r>
                <w:rPr>
                  <w:rStyle w:val="InternetLink"/>
                  <w:rFonts w:ascii="Times New Roman" w:hAnsi="Times New Roman"/>
                  <w:sz w:val="17"/>
                </w:rPr>
                <w:t>Inventory, Linefill, Base Gas and Long-term Inventory</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r>
      <w:tr>
        <w:trPr/>
        <w:tc>
          <w:tcPr>
            <w:tcW w:w="623" w:type="dxa"/>
            <w:tcBorders/>
            <w:shd w:fill="auto" w:val="clear"/>
          </w:tcPr>
          <w:p>
            <w:pPr>
              <w:pStyle w:val="TableContents"/>
              <w:spacing w:before="0" w:after="0"/>
              <w:ind w:left="0" w:right="0" w:hanging="0"/>
              <w:rPr/>
            </w:pPr>
            <w:hyperlink w:anchor="Note6debt_150903">
              <w:r>
                <w:rPr>
                  <w:rStyle w:val="InternetLink"/>
                  <w:rFonts w:ascii="Times New Roman" w:hAnsi="Times New Roman"/>
                  <w:sz w:val="17"/>
                </w:rPr>
                <w:t>5.</w:t>
              </w:r>
            </w:hyperlink>
          </w:p>
        </w:tc>
        <w:tc>
          <w:tcPr>
            <w:tcW w:w="8958" w:type="dxa"/>
            <w:tcBorders/>
            <w:shd w:fill="auto" w:val="clear"/>
          </w:tcPr>
          <w:p>
            <w:pPr>
              <w:pStyle w:val="TableContents"/>
              <w:spacing w:before="0" w:after="0"/>
              <w:ind w:left="0" w:right="0" w:hanging="0"/>
              <w:rPr/>
            </w:pPr>
            <w:hyperlink w:anchor="Note6debt_150903">
              <w:r>
                <w:rPr>
                  <w:rStyle w:val="InternetLink"/>
                  <w:rFonts w:ascii="Times New Roman" w:hAnsi="Times New Roman"/>
                  <w:sz w:val="17"/>
                </w:rPr>
                <w:t>Debt</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r>
      <w:tr>
        <w:trPr/>
        <w:tc>
          <w:tcPr>
            <w:tcW w:w="623" w:type="dxa"/>
            <w:tcBorders/>
            <w:shd w:fill="auto" w:val="clear"/>
          </w:tcPr>
          <w:p>
            <w:pPr>
              <w:pStyle w:val="TableContents"/>
              <w:spacing w:before="0" w:after="0"/>
              <w:ind w:left="0" w:right="0" w:hanging="0"/>
              <w:rPr/>
            </w:pPr>
            <w:hyperlink w:anchor="Note7netIncomePerLimitedPartnerUn_151413">
              <w:r>
                <w:rPr>
                  <w:rStyle w:val="InternetLink"/>
                  <w:rFonts w:ascii="Times New Roman" w:hAnsi="Times New Roman"/>
                  <w:sz w:val="17"/>
                </w:rPr>
                <w:t>6.</w:t>
              </w:r>
            </w:hyperlink>
          </w:p>
        </w:tc>
        <w:tc>
          <w:tcPr>
            <w:tcW w:w="8958" w:type="dxa"/>
            <w:tcBorders/>
            <w:shd w:fill="auto" w:val="clear"/>
          </w:tcPr>
          <w:p>
            <w:pPr>
              <w:pStyle w:val="TableContents"/>
              <w:spacing w:before="0" w:after="0"/>
              <w:ind w:left="0" w:right="0" w:hanging="0"/>
              <w:rPr/>
            </w:pPr>
            <w:hyperlink w:anchor="Note7netIncomePerLimitedPartnerUn_151413">
              <w:r>
                <w:rPr>
                  <w:rStyle w:val="InternetLink"/>
                  <w:rFonts w:ascii="Times New Roman" w:hAnsi="Times New Roman"/>
                  <w:sz w:val="17"/>
                </w:rPr>
                <w:t>Net Income Per Limited Partner Unit</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r>
      <w:tr>
        <w:trPr/>
        <w:tc>
          <w:tcPr>
            <w:tcW w:w="623" w:type="dxa"/>
            <w:tcBorders/>
            <w:shd w:fill="auto" w:val="clear"/>
          </w:tcPr>
          <w:p>
            <w:pPr>
              <w:pStyle w:val="TableContents"/>
              <w:spacing w:before="0" w:after="0"/>
              <w:ind w:left="0" w:right="0" w:hanging="0"/>
              <w:rPr/>
            </w:pPr>
            <w:hyperlink w:anchor="Note8partnersCapitalAndDistributi_175122">
              <w:r>
                <w:rPr>
                  <w:rStyle w:val="InternetLink"/>
                  <w:rFonts w:ascii="Times New Roman" w:hAnsi="Times New Roman"/>
                  <w:sz w:val="17"/>
                </w:rPr>
                <w:t>7.</w:t>
              </w:r>
            </w:hyperlink>
          </w:p>
        </w:tc>
        <w:tc>
          <w:tcPr>
            <w:tcW w:w="8958" w:type="dxa"/>
            <w:tcBorders/>
            <w:shd w:fill="auto" w:val="clear"/>
          </w:tcPr>
          <w:p>
            <w:pPr>
              <w:pStyle w:val="TableContents"/>
              <w:spacing w:before="0" w:after="0"/>
              <w:ind w:left="0" w:right="0" w:hanging="0"/>
              <w:rPr/>
            </w:pPr>
            <w:hyperlink w:anchor="Note8partnersCapitalAndDistributi_175122">
              <w:r>
                <w:rPr>
                  <w:rStyle w:val="InternetLink"/>
                  <w:rFonts w:ascii="Times New Roman" w:hAnsi="Times New Roman"/>
                  <w:sz w:val="17"/>
                </w:rPr>
                <w:t>Partners Capital and Distributions</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r>
      <w:tr>
        <w:trPr/>
        <w:tc>
          <w:tcPr>
            <w:tcW w:w="623" w:type="dxa"/>
            <w:tcBorders/>
            <w:shd w:fill="auto" w:val="clear"/>
          </w:tcPr>
          <w:p>
            <w:pPr>
              <w:pStyle w:val="TableContents"/>
              <w:spacing w:before="0" w:after="0"/>
              <w:ind w:left="0" w:right="0" w:hanging="0"/>
              <w:rPr/>
            </w:pPr>
            <w:hyperlink w:anchor="Note9equityCompensationPlans_175126">
              <w:r>
                <w:rPr>
                  <w:rStyle w:val="InternetLink"/>
                  <w:rFonts w:ascii="Times New Roman" w:hAnsi="Times New Roman"/>
                  <w:sz w:val="17"/>
                </w:rPr>
                <w:t>8.</w:t>
              </w:r>
            </w:hyperlink>
          </w:p>
        </w:tc>
        <w:tc>
          <w:tcPr>
            <w:tcW w:w="8958" w:type="dxa"/>
            <w:tcBorders/>
            <w:shd w:fill="auto" w:val="clear"/>
          </w:tcPr>
          <w:p>
            <w:pPr>
              <w:pStyle w:val="TableContents"/>
              <w:spacing w:before="0" w:after="0"/>
              <w:ind w:left="0" w:right="0" w:hanging="0"/>
              <w:rPr/>
            </w:pPr>
            <w:hyperlink w:anchor="Note9equityCompensationPlans_175126">
              <w:r>
                <w:rPr>
                  <w:rStyle w:val="InternetLink"/>
                  <w:rFonts w:ascii="Times New Roman" w:hAnsi="Times New Roman"/>
                  <w:sz w:val="17"/>
                </w:rPr>
                <w:t>Equity Compensation Plans</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r>
      <w:tr>
        <w:trPr/>
        <w:tc>
          <w:tcPr>
            <w:tcW w:w="623" w:type="dxa"/>
            <w:tcBorders/>
            <w:shd w:fill="auto" w:val="clear"/>
          </w:tcPr>
          <w:p>
            <w:pPr>
              <w:pStyle w:val="TableContents"/>
              <w:spacing w:before="0" w:after="0"/>
              <w:ind w:left="0" w:right="0" w:hanging="0"/>
              <w:rPr/>
            </w:pPr>
            <w:hyperlink w:anchor="Note10derivativesAndRiskManagemen_175156">
              <w:r>
                <w:rPr>
                  <w:rStyle w:val="InternetLink"/>
                  <w:rFonts w:ascii="Times New Roman" w:hAnsi="Times New Roman"/>
                  <w:sz w:val="17"/>
                </w:rPr>
                <w:t>9.</w:t>
              </w:r>
            </w:hyperlink>
          </w:p>
        </w:tc>
        <w:tc>
          <w:tcPr>
            <w:tcW w:w="8958" w:type="dxa"/>
            <w:tcBorders/>
            <w:shd w:fill="auto" w:val="clear"/>
          </w:tcPr>
          <w:p>
            <w:pPr>
              <w:pStyle w:val="TableContents"/>
              <w:spacing w:before="0" w:after="0"/>
              <w:ind w:left="0" w:right="0" w:hanging="0"/>
              <w:rPr/>
            </w:pPr>
            <w:hyperlink w:anchor="Note10derivativesAndRiskManagemen_175156">
              <w:r>
                <w:rPr>
                  <w:rStyle w:val="InternetLink"/>
                  <w:rFonts w:ascii="Times New Roman" w:hAnsi="Times New Roman"/>
                  <w:sz w:val="17"/>
                </w:rPr>
                <w:t>Derivatives and Risk Management Activities</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623" w:type="dxa"/>
            <w:tcBorders/>
            <w:shd w:fill="auto" w:val="clear"/>
          </w:tcPr>
          <w:p>
            <w:pPr>
              <w:pStyle w:val="TableContents"/>
              <w:spacing w:before="0" w:after="0"/>
              <w:ind w:left="0" w:right="0" w:hanging="0"/>
              <w:rPr/>
            </w:pPr>
            <w:hyperlink w:anchor="Note11incomeTaxeswvzToReviewAndPr_175411">
              <w:r>
                <w:rPr>
                  <w:rStyle w:val="InternetLink"/>
                  <w:rFonts w:ascii="Times New Roman" w:hAnsi="Times New Roman"/>
                  <w:sz w:val="17"/>
                </w:rPr>
                <w:t>10.</w:t>
              </w:r>
            </w:hyperlink>
          </w:p>
        </w:tc>
        <w:tc>
          <w:tcPr>
            <w:tcW w:w="8958" w:type="dxa"/>
            <w:tcBorders/>
            <w:shd w:fill="auto" w:val="clear"/>
          </w:tcPr>
          <w:p>
            <w:pPr>
              <w:pStyle w:val="TableContents"/>
              <w:spacing w:before="0" w:after="0"/>
              <w:ind w:left="0" w:right="0" w:hanging="0"/>
              <w:rPr/>
            </w:pPr>
            <w:hyperlink w:anchor="Note11incomeTaxeswvzToReviewAndPr_175411">
              <w:r>
                <w:rPr>
                  <w:rStyle w:val="InternetLink"/>
                  <w:rFonts w:ascii="Times New Roman" w:hAnsi="Times New Roman"/>
                  <w:sz w:val="17"/>
                </w:rPr>
                <w:t>Income Taxes</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r>
      <w:tr>
        <w:trPr/>
        <w:tc>
          <w:tcPr>
            <w:tcW w:w="623" w:type="dxa"/>
            <w:tcBorders/>
            <w:shd w:fill="auto" w:val="clear"/>
          </w:tcPr>
          <w:p>
            <w:pPr>
              <w:pStyle w:val="TableContents"/>
              <w:spacing w:before="0" w:after="0"/>
              <w:ind w:left="0" w:right="0" w:hanging="0"/>
              <w:rPr/>
            </w:pPr>
            <w:hyperlink w:anchor="Note12commitmentsAndContingencies_175416">
              <w:r>
                <w:rPr>
                  <w:rStyle w:val="InternetLink"/>
                  <w:rFonts w:ascii="Times New Roman" w:hAnsi="Times New Roman"/>
                  <w:sz w:val="17"/>
                </w:rPr>
                <w:t>11.</w:t>
              </w:r>
            </w:hyperlink>
          </w:p>
        </w:tc>
        <w:tc>
          <w:tcPr>
            <w:tcW w:w="8958" w:type="dxa"/>
            <w:tcBorders/>
            <w:shd w:fill="auto" w:val="clear"/>
          </w:tcPr>
          <w:p>
            <w:pPr>
              <w:pStyle w:val="TableContents"/>
              <w:spacing w:before="0" w:after="0"/>
              <w:ind w:left="0" w:right="0" w:hanging="0"/>
              <w:rPr/>
            </w:pPr>
            <w:hyperlink w:anchor="Note12commitmentsAndContingencies_175416">
              <w:r>
                <w:rPr>
                  <w:rStyle w:val="InternetLink"/>
                  <w:rFonts w:ascii="Times New Roman" w:hAnsi="Times New Roman"/>
                  <w:sz w:val="17"/>
                </w:rPr>
                <w:t>Commitments and Contingencies</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r>
      <w:tr>
        <w:trPr/>
        <w:tc>
          <w:tcPr>
            <w:tcW w:w="623" w:type="dxa"/>
            <w:tcBorders/>
            <w:shd w:fill="auto" w:val="clear"/>
          </w:tcPr>
          <w:p>
            <w:pPr>
              <w:pStyle w:val="TableContents"/>
              <w:spacing w:before="0" w:after="0"/>
              <w:ind w:left="0" w:right="0" w:hanging="0"/>
              <w:rPr/>
            </w:pPr>
            <w:hyperlink w:anchor="Note12operatingSegments_133859">
              <w:r>
                <w:rPr>
                  <w:rStyle w:val="InternetLink"/>
                  <w:rFonts w:ascii="Times New Roman" w:hAnsi="Times New Roman"/>
                  <w:sz w:val="17"/>
                </w:rPr>
                <w:t>12.</w:t>
              </w:r>
            </w:hyperlink>
          </w:p>
        </w:tc>
        <w:tc>
          <w:tcPr>
            <w:tcW w:w="8958" w:type="dxa"/>
            <w:tcBorders/>
            <w:shd w:fill="auto" w:val="clear"/>
          </w:tcPr>
          <w:p>
            <w:pPr>
              <w:pStyle w:val="TableContents"/>
              <w:spacing w:before="0" w:after="0"/>
              <w:ind w:left="0" w:right="0" w:hanging="0"/>
              <w:rPr/>
            </w:pPr>
            <w:hyperlink w:anchor="Note12operatingSegments_133859">
              <w:r>
                <w:rPr>
                  <w:rStyle w:val="InternetLink"/>
                  <w:rFonts w:ascii="Times New Roman" w:hAnsi="Times New Roman"/>
                  <w:sz w:val="17"/>
                </w:rPr>
                <w:t>Operating Segments</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r>
      <w:tr>
        <w:trPr/>
        <w:tc>
          <w:tcPr>
            <w:tcW w:w="623" w:type="dxa"/>
            <w:tcBorders/>
            <w:shd w:fill="auto" w:val="clear"/>
          </w:tcPr>
          <w:p>
            <w:pPr>
              <w:pStyle w:val="TableContents"/>
              <w:spacing w:before="0" w:after="0"/>
              <w:ind w:left="0" w:right="0" w:hanging="0"/>
              <w:rPr/>
            </w:pPr>
            <w:hyperlink w:anchor="Note13SupplementalCondensedConsol_132909">
              <w:r>
                <w:rPr>
                  <w:rStyle w:val="InternetLink"/>
                  <w:rFonts w:ascii="Times New Roman" w:hAnsi="Times New Roman"/>
                  <w:sz w:val="17"/>
                </w:rPr>
                <w:t>13.</w:t>
              </w:r>
            </w:hyperlink>
          </w:p>
        </w:tc>
        <w:tc>
          <w:tcPr>
            <w:tcW w:w="8958" w:type="dxa"/>
            <w:tcBorders/>
            <w:shd w:fill="auto" w:val="clear"/>
          </w:tcPr>
          <w:p>
            <w:pPr>
              <w:pStyle w:val="TableContents"/>
              <w:spacing w:before="0" w:after="0"/>
              <w:ind w:left="0" w:right="0" w:hanging="0"/>
              <w:rPr/>
            </w:pPr>
            <w:hyperlink w:anchor="Note13SupplementalCondensedConsol_132909">
              <w:r>
                <w:rPr>
                  <w:rStyle w:val="InternetLink"/>
                  <w:rFonts w:ascii="Times New Roman" w:hAnsi="Times New Roman"/>
                  <w:sz w:val="17"/>
                </w:rPr>
                <w:t>Supplemental Condensed Consolidating Financial Information</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r>
      <w:tr>
        <w:trPr/>
        <w:tc>
          <w:tcPr>
            <w:tcW w:w="623" w:type="dxa"/>
            <w:tcBorders/>
            <w:shd w:fill="auto" w:val="clear"/>
          </w:tcPr>
          <w:p>
            <w:pPr>
              <w:pStyle w:val="TableContents"/>
              <w:spacing w:before="0" w:after="0"/>
              <w:ind w:left="0" w:right="0" w:hanging="0"/>
              <w:rPr/>
            </w:pPr>
            <w:hyperlink w:anchor="Note14_150608">
              <w:r>
                <w:rPr>
                  <w:rStyle w:val="InternetLink"/>
                  <w:rFonts w:ascii="Times New Roman" w:hAnsi="Times New Roman"/>
                  <w:sz w:val="17"/>
                </w:rPr>
                <w:t>14.</w:t>
              </w:r>
            </w:hyperlink>
          </w:p>
        </w:tc>
        <w:tc>
          <w:tcPr>
            <w:tcW w:w="8958" w:type="dxa"/>
            <w:tcBorders/>
            <w:shd w:fill="auto" w:val="clear"/>
          </w:tcPr>
          <w:p>
            <w:pPr>
              <w:pStyle w:val="TableContents"/>
              <w:spacing w:before="0" w:after="0"/>
              <w:ind w:left="0" w:right="0" w:hanging="0"/>
              <w:rPr/>
            </w:pPr>
            <w:hyperlink w:anchor="Note14_150608">
              <w:r>
                <w:rPr>
                  <w:rStyle w:val="InternetLink"/>
                  <w:rFonts w:ascii="Times New Roman" w:hAnsi="Times New Roman"/>
                  <w:sz w:val="17"/>
                </w:rPr>
                <w:t>Subsequent Events</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r>
      <w:tr>
        <w:trPr/>
        <w:tc>
          <w:tcPr>
            <w:tcW w:w="9581" w:type="dxa"/>
            <w:gridSpan w:val="2"/>
            <w:tcBorders/>
            <w:shd w:fill="auto" w:val="clear"/>
          </w:tcPr>
          <w:p>
            <w:pPr>
              <w:pStyle w:val="TableContents"/>
              <w:spacing w:before="0" w:after="0"/>
              <w:ind w:left="0" w:right="0" w:hanging="0"/>
              <w:rPr/>
            </w:pPr>
            <w:hyperlink w:anchor="Item2_Managements_150700">
              <w:r>
                <w:rPr>
                  <w:rStyle w:val="InternetLink"/>
                  <w:rFonts w:ascii="Times New Roman" w:hAnsi="Times New Roman"/>
                  <w:sz w:val="17"/>
                </w:rPr>
                <w:t>Item 2. MANAGEMENTS DISCUSSION AND ANALYSIS OF FINANCIAL CONDITION AND RESULTS OF OPERATIONS</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r>
      <w:tr>
        <w:trPr/>
        <w:tc>
          <w:tcPr>
            <w:tcW w:w="9581" w:type="dxa"/>
            <w:gridSpan w:val="2"/>
            <w:tcBorders/>
            <w:shd w:fill="auto" w:val="clear"/>
          </w:tcPr>
          <w:p>
            <w:pPr>
              <w:pStyle w:val="TableContents"/>
              <w:spacing w:before="0" w:after="0"/>
              <w:ind w:left="0" w:right="0" w:hanging="0"/>
              <w:rPr/>
            </w:pPr>
            <w:hyperlink w:anchor="Item3_QuantitativeAndQualitativeD_161631">
              <w:r>
                <w:rPr>
                  <w:rStyle w:val="InternetLink"/>
                  <w:rFonts w:ascii="Times New Roman" w:hAnsi="Times New Roman"/>
                  <w:sz w:val="17"/>
                </w:rPr>
                <w:t>Item 3. QUANTITATIVE AND QUALITATIVE DISCLOSURES ABOUT MARKET RISK</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r>
      <w:tr>
        <w:trPr/>
        <w:tc>
          <w:tcPr>
            <w:tcW w:w="9581" w:type="dxa"/>
            <w:gridSpan w:val="2"/>
            <w:tcBorders/>
            <w:shd w:fill="auto" w:val="clear"/>
          </w:tcPr>
          <w:p>
            <w:pPr>
              <w:pStyle w:val="TableContents"/>
              <w:spacing w:before="0" w:after="0"/>
              <w:ind w:left="0" w:right="0" w:hanging="0"/>
              <w:rPr/>
            </w:pPr>
            <w:hyperlink w:anchor="Item4_ControlsAndProcedures_161633">
              <w:r>
                <w:rPr>
                  <w:rStyle w:val="InternetLink"/>
                  <w:rFonts w:ascii="Times New Roman" w:hAnsi="Times New Roman"/>
                  <w:sz w:val="17"/>
                </w:rPr>
                <w:t>Item 4. CONTROLS AND PROCEDURES</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r>
      <w:tr>
        <w:trPr/>
        <w:tc>
          <w:tcPr>
            <w:tcW w:w="9581" w:type="dxa"/>
            <w:gridSpan w:val="2"/>
            <w:tcBorders/>
            <w:shd w:fill="auto" w:val="clear"/>
          </w:tcPr>
          <w:p>
            <w:pPr>
              <w:pStyle w:val="TableContents"/>
              <w:spacing w:before="0" w:after="0"/>
              <w:ind w:left="0" w:right="0" w:hanging="0"/>
              <w:rPr/>
            </w:pPr>
            <w:r>
              <w:rPr/>
              <w:t> </w:t>
            </w:r>
          </w:p>
        </w:tc>
        <w:tc>
          <w:tcPr>
            <w:tcW w:w="624" w:type="dxa"/>
            <w:tcBorders/>
            <w:shd w:fill="auto" w:val="clear"/>
            <w:vAlign w:val="bottom"/>
          </w:tcPr>
          <w:p>
            <w:pPr>
              <w:pStyle w:val="TableContents"/>
              <w:spacing w:before="0" w:after="0"/>
              <w:ind w:left="0" w:right="0" w:hanging="0"/>
              <w:jc w:val="right"/>
              <w:rPr/>
            </w:pPr>
            <w:r>
              <w:rPr/>
              <w:t> </w:t>
            </w:r>
          </w:p>
        </w:tc>
      </w:tr>
      <w:tr>
        <w:trPr/>
        <w:tc>
          <w:tcPr>
            <w:tcW w:w="9581" w:type="dxa"/>
            <w:gridSpan w:val="2"/>
            <w:tcBorders/>
            <w:shd w:fill="auto" w:val="clear"/>
          </w:tcPr>
          <w:p>
            <w:pPr>
              <w:pStyle w:val="TableContents"/>
              <w:spacing w:before="0" w:after="0"/>
              <w:ind w:left="0" w:right="0" w:hanging="0"/>
              <w:rPr/>
            </w:pPr>
            <w:hyperlink w:anchor="Partii_OtherInformation_155221">
              <w:r>
                <w:rPr>
                  <w:rStyle w:val="InternetLink"/>
                  <w:rFonts w:ascii="Times New Roman" w:hAnsi="Times New Roman"/>
                  <w:b/>
                  <w:sz w:val="17"/>
                </w:rPr>
                <w:t>PART II. OTHER INFORMATION</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9581" w:type="dxa"/>
            <w:gridSpan w:val="2"/>
            <w:tcBorders/>
            <w:shd w:fill="auto" w:val="clear"/>
          </w:tcPr>
          <w:p>
            <w:pPr>
              <w:pStyle w:val="TableContents"/>
              <w:spacing w:before="0" w:after="0"/>
              <w:ind w:left="0" w:right="0" w:hanging="0"/>
              <w:rPr/>
            </w:pPr>
            <w:hyperlink w:anchor="Item1_LegalProceedings_155220">
              <w:r>
                <w:rPr>
                  <w:rStyle w:val="InternetLink"/>
                  <w:rFonts w:ascii="Times New Roman" w:hAnsi="Times New Roman"/>
                  <w:sz w:val="17"/>
                </w:rPr>
                <w:t>Item 1. LEGAL PROCEEDINGS</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9581" w:type="dxa"/>
            <w:gridSpan w:val="2"/>
            <w:tcBorders/>
            <w:shd w:fill="auto" w:val="clear"/>
          </w:tcPr>
          <w:p>
            <w:pPr>
              <w:pStyle w:val="TableContents"/>
              <w:spacing w:before="0" w:after="0"/>
              <w:ind w:left="0" w:right="0" w:hanging="0"/>
              <w:rPr/>
            </w:pPr>
            <w:hyperlink w:anchor="Item1a_RiskFactors_155219">
              <w:r>
                <w:rPr>
                  <w:rStyle w:val="InternetLink"/>
                  <w:rFonts w:ascii="Times New Roman" w:hAnsi="Times New Roman"/>
                  <w:sz w:val="17"/>
                </w:rPr>
                <w:t>Item 1A. RISK FACTORS</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9581" w:type="dxa"/>
            <w:gridSpan w:val="2"/>
            <w:tcBorders/>
            <w:shd w:fill="auto" w:val="clear"/>
          </w:tcPr>
          <w:p>
            <w:pPr>
              <w:pStyle w:val="TableContents"/>
              <w:spacing w:before="0" w:after="0"/>
              <w:ind w:left="0" w:right="0" w:hanging="0"/>
              <w:rPr/>
            </w:pPr>
            <w:hyperlink w:anchor="Item2_UnregisteredSalesOfEquitySe_155217">
              <w:r>
                <w:rPr>
                  <w:rStyle w:val="InternetLink"/>
                  <w:rFonts w:ascii="Times New Roman" w:hAnsi="Times New Roman"/>
                  <w:sz w:val="17"/>
                </w:rPr>
                <w:t>Item 2. UNREGISTERED SALES OF EQUITY SECURITIES AND USE OF PROCEEDS</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9581" w:type="dxa"/>
            <w:gridSpan w:val="2"/>
            <w:tcBorders/>
            <w:shd w:fill="auto" w:val="clear"/>
          </w:tcPr>
          <w:p>
            <w:pPr>
              <w:pStyle w:val="TableContents"/>
              <w:spacing w:before="0" w:after="0"/>
              <w:ind w:left="0" w:right="0" w:hanging="0"/>
              <w:rPr/>
            </w:pPr>
            <w:hyperlink w:anchor="Item3_DefaultsUponSeniorSecuritie_155216">
              <w:r>
                <w:rPr>
                  <w:rStyle w:val="InternetLink"/>
                  <w:rFonts w:ascii="Times New Roman" w:hAnsi="Times New Roman"/>
                  <w:sz w:val="17"/>
                </w:rPr>
                <w:t>Item 3. DEFAULTS UPON SENIOR SECURITIES</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9581" w:type="dxa"/>
            <w:gridSpan w:val="2"/>
            <w:tcBorders/>
            <w:shd w:fill="auto" w:val="clear"/>
          </w:tcPr>
          <w:p>
            <w:pPr>
              <w:pStyle w:val="TableContents"/>
              <w:spacing w:before="0" w:after="0"/>
              <w:ind w:left="0" w:right="0" w:hanging="0"/>
              <w:rPr/>
            </w:pPr>
            <w:hyperlink w:anchor="Item4_removedAndReserved_155213">
              <w:r>
                <w:rPr>
                  <w:rStyle w:val="InternetLink"/>
                  <w:rFonts w:ascii="Times New Roman" w:hAnsi="Times New Roman"/>
                  <w:sz w:val="17"/>
                </w:rPr>
                <w:t>Item 4. [REMOVED AND RESERVED]</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9581" w:type="dxa"/>
            <w:gridSpan w:val="2"/>
            <w:tcBorders/>
            <w:shd w:fill="auto" w:val="clear"/>
          </w:tcPr>
          <w:p>
            <w:pPr>
              <w:pStyle w:val="TableContents"/>
              <w:spacing w:before="0" w:after="0"/>
              <w:ind w:left="0" w:right="0" w:hanging="0"/>
              <w:rPr/>
            </w:pPr>
            <w:hyperlink w:anchor="Item5_OtherInformation_155212">
              <w:r>
                <w:rPr>
                  <w:rStyle w:val="InternetLink"/>
                  <w:rFonts w:ascii="Times New Roman" w:hAnsi="Times New Roman"/>
                  <w:sz w:val="17"/>
                </w:rPr>
                <w:t>Item 5. OTHER INFORMATION</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9581" w:type="dxa"/>
            <w:gridSpan w:val="2"/>
            <w:tcBorders/>
            <w:shd w:fill="auto" w:val="clear"/>
          </w:tcPr>
          <w:p>
            <w:pPr>
              <w:pStyle w:val="TableContents"/>
              <w:spacing w:before="0" w:after="0"/>
              <w:ind w:left="0" w:right="0" w:hanging="0"/>
              <w:rPr/>
            </w:pPr>
            <w:hyperlink w:anchor="Item6_Exhibits_155210">
              <w:r>
                <w:rPr>
                  <w:rStyle w:val="InternetLink"/>
                  <w:rFonts w:ascii="Times New Roman" w:hAnsi="Times New Roman"/>
                  <w:sz w:val="17"/>
                </w:rPr>
                <w:t>Item 6. EXHIBITS</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9581" w:type="dxa"/>
            <w:gridSpan w:val="2"/>
            <w:tcBorders/>
            <w:shd w:fill="auto" w:val="clear"/>
          </w:tcPr>
          <w:p>
            <w:pPr>
              <w:pStyle w:val="TableContents"/>
              <w:spacing w:before="0" w:after="0"/>
              <w:ind w:left="0" w:right="0" w:hanging="0"/>
              <w:rPr/>
            </w:pPr>
            <w:hyperlink w:anchor="Signatures_155203">
              <w:r>
                <w:rPr>
                  <w:rStyle w:val="InternetLink"/>
                  <w:rFonts w:ascii="Times New Roman" w:hAnsi="Times New Roman"/>
                  <w:sz w:val="17"/>
                </w:rPr>
                <w:t>SIGNATURES</w:t>
              </w:r>
            </w:hyperlink>
          </w:p>
        </w:tc>
        <w:tc>
          <w:tcPr>
            <w:tcW w:w="6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3" w:name="PB_2_141731_7056"/>
      <w:bookmarkEnd w:id="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 FINANCIAL INFORMATION</w:t>
      </w:r>
      <w:bookmarkStart w:id="4" w:name="Parti_FinancialInformation_145043"/>
      <w:bookmarkEnd w:id="4"/>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1. UNAUDITED CONDENSED CONSOLIDATED FINANCIAL STATEMENTS</w:t>
      </w:r>
      <w:bookmarkStart w:id="5" w:name="Item1_UnauditedCondensedConsolida_145045"/>
      <w:bookmarkEnd w:id="5"/>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BALANCE SHEETS</w:t>
      </w:r>
      <w:bookmarkStart w:id="6" w:name="CondensedConsolidatedBalanceSheet_145047"/>
      <w:bookmarkEnd w:id="6"/>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units)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29"/>
        <w:gridCol w:w="209"/>
        <w:gridCol w:w="128"/>
        <w:gridCol w:w="1114"/>
        <w:gridCol w:w="215"/>
        <w:gridCol w:w="136"/>
        <w:gridCol w:w="1150"/>
        <w:gridCol w:w="124"/>
      </w:tblGrid>
      <w:tr>
        <w:trPr/>
        <w:tc>
          <w:tcPr>
            <w:tcW w:w="7129"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24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215" w:type="dxa"/>
            <w:tcBorders/>
            <w:shd w:fill="auto" w:val="clear"/>
            <w:vAlign w:val="bottom"/>
          </w:tcPr>
          <w:p>
            <w:pPr>
              <w:pStyle w:val="TableContents"/>
              <w:spacing w:before="0" w:after="0"/>
              <w:ind w:left="0" w:right="0" w:hanging="0"/>
              <w:jc w:val="center"/>
              <w:rPr/>
            </w:pPr>
            <w:r>
              <w:rPr/>
              <w:t> </w:t>
            </w:r>
          </w:p>
        </w:tc>
        <w:tc>
          <w:tcPr>
            <w:tcW w:w="128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4" w:type="dxa"/>
            <w:tcBorders/>
            <w:shd w:fill="auto" w:val="clear"/>
            <w:vAlign w:val="bottom"/>
          </w:tcPr>
          <w:p>
            <w:pPr>
              <w:pStyle w:val="TableContents"/>
              <w:spacing w:before="0" w:after="0"/>
              <w:ind w:left="0" w:right="0" w:hanging="0"/>
              <w:jc w:val="center"/>
              <w:rPr/>
            </w:pPr>
            <w:r>
              <w:rPr/>
              <w:t> </w:t>
            </w:r>
          </w:p>
        </w:tc>
      </w:tr>
      <w:tr>
        <w:trPr/>
        <w:tc>
          <w:tcPr>
            <w:tcW w:w="7129"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5" w:type="dxa"/>
            <w:tcBorders/>
            <w:shd w:fill="auto" w:val="clear"/>
            <w:vAlign w:val="bottom"/>
          </w:tcPr>
          <w:p>
            <w:pPr>
              <w:pStyle w:val="TableContents"/>
              <w:spacing w:before="0" w:after="0"/>
              <w:ind w:left="0" w:right="0" w:hanging="0"/>
              <w:jc w:val="center"/>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24" w:type="dxa"/>
            <w:tcBorders/>
            <w:shd w:fill="auto" w:val="clear"/>
            <w:vAlign w:val="bottom"/>
          </w:tcPr>
          <w:p>
            <w:pPr>
              <w:pStyle w:val="TableContents"/>
              <w:spacing w:before="0" w:after="0"/>
              <w:ind w:left="0" w:right="0" w:hanging="0"/>
              <w:jc w:val="center"/>
              <w:rPr/>
            </w:pPr>
            <w:r>
              <w:rPr/>
              <w:t> </w:t>
            </w:r>
          </w:p>
        </w:tc>
      </w:tr>
      <w:tr>
        <w:trPr/>
        <w:tc>
          <w:tcPr>
            <w:tcW w:w="7129"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74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24" w:type="dxa"/>
            <w:tcBorders/>
            <w:shd w:fill="auto" w:val="clear"/>
            <w:vAlign w:val="bottom"/>
          </w:tcPr>
          <w:p>
            <w:pPr>
              <w:pStyle w:val="TableContents"/>
              <w:spacing w:before="0" w:after="0"/>
              <w:ind w:left="0" w:right="0" w:hanging="0"/>
              <w:jc w:val="center"/>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CURRENT ASSETS</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w:t>
            </w:r>
          </w:p>
        </w:tc>
        <w:tc>
          <w:tcPr>
            <w:tcW w:w="209" w:type="dxa"/>
            <w:tcBorders/>
            <w:shd w:fill="auto" w:val="clear"/>
            <w:vAlign w:val="bottom"/>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5" w:type="dxa"/>
            <w:tcBorders/>
            <w:shd w:fill="auto" w:val="clear"/>
            <w:vAlign w:val="bottom"/>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Trade accounts receivable and other receivables, net</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2,049</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2,253</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1,244</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1,157</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assets</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3,341</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3,658</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PROPERTY AND EQUIPMENT</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7,378</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7,240</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Accumulated depreciation</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(966</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(900</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29"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6,412</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6,340</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ASSETS</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521</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501</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1,297</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1,287</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09" w:type="dxa"/>
            <w:tcBorders/>
            <w:shd w:fill="CCEEFF" w:val="clear"/>
            <w:vAlign w:val="bottom"/>
          </w:tcPr>
          <w:p>
            <w:pPr>
              <w:pStyle w:val="TableContents"/>
              <w:spacing w:before="0" w:after="0"/>
              <w:ind w:left="0" w:right="0" w:hanging="0"/>
              <w:rPr/>
            </w:pPr>
            <w:r>
              <w:rPr/>
              <w:t> </w:t>
            </w:r>
          </w:p>
        </w:tc>
        <w:tc>
          <w:tcPr>
            <w:tcW w:w="12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12,102</w:t>
            </w:r>
          </w:p>
        </w:tc>
        <w:tc>
          <w:tcPr>
            <w:tcW w:w="215"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12,358</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CURRENT LIABILITIES</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Accounts payable and accrued liabilities</w:t>
            </w:r>
          </w:p>
        </w:tc>
        <w:tc>
          <w:tcPr>
            <w:tcW w:w="209" w:type="dxa"/>
            <w:tcBorders/>
            <w:shd w:fill="auto" w:val="clear"/>
            <w:vAlign w:val="bottom"/>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2,401</w:t>
            </w:r>
          </w:p>
        </w:tc>
        <w:tc>
          <w:tcPr>
            <w:tcW w:w="215" w:type="dxa"/>
            <w:tcBorders/>
            <w:shd w:fill="auto" w:val="clear"/>
            <w:vAlign w:val="bottom"/>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2,295</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Short-term debt</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951</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1,074</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413</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liabilities</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3,496</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3,782</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LONG-TERM LIABILITIES</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 of $14 for both periods presented</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4,136</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4,136</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long-term liabilities</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4,397</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4,417</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COMMITMENTS AND CONTINGENCIES (NOTE 11)</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PARTNERS CAPITAL</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Common unitholders (136,135,988 units outstanding for both periods presented)</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4,051</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4,002</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partner</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partners capital excluding noncontrolling interest</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4,146</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4,096</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Noncontrolling interest</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4,209</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4,159</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09" w:type="dxa"/>
            <w:tcBorders/>
            <w:shd w:fill="CCEEFF" w:val="clear"/>
            <w:vAlign w:val="bottom"/>
          </w:tcPr>
          <w:p>
            <w:pPr>
              <w:pStyle w:val="TableContents"/>
              <w:spacing w:before="0" w:after="0"/>
              <w:ind w:left="0" w:right="0" w:hanging="0"/>
              <w:rPr/>
            </w:pPr>
            <w:r>
              <w:rPr/>
              <w:t> </w:t>
            </w:r>
          </w:p>
        </w:tc>
        <w:tc>
          <w:tcPr>
            <w:tcW w:w="12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12,102</w:t>
            </w:r>
          </w:p>
        </w:tc>
        <w:tc>
          <w:tcPr>
            <w:tcW w:w="215"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12,358</w:t>
            </w:r>
          </w:p>
        </w:tc>
        <w:tc>
          <w:tcPr>
            <w:tcW w:w="12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unaudited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7" w:name="PB_3_142644_5335"/>
      <w:bookmarkEnd w:id="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OPERATIONS</w:t>
      </w:r>
      <w:bookmarkStart w:id="8" w:name="CondensedConsolidatedStatementsOf_145050"/>
      <w:bookmarkEnd w:id="8"/>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331"/>
        <w:gridCol w:w="210"/>
        <w:gridCol w:w="110"/>
        <w:gridCol w:w="1061"/>
        <w:gridCol w:w="211"/>
        <w:gridCol w:w="110"/>
        <w:gridCol w:w="1061"/>
        <w:gridCol w:w="111"/>
      </w:tblGrid>
      <w:tr>
        <w:trPr/>
        <w:tc>
          <w:tcPr>
            <w:tcW w:w="7331"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255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11" w:type="dxa"/>
            <w:tcBorders/>
            <w:shd w:fill="auto" w:val="clear"/>
            <w:vAlign w:val="bottom"/>
          </w:tcPr>
          <w:p>
            <w:pPr>
              <w:pStyle w:val="TableContents"/>
              <w:spacing w:before="0" w:after="0"/>
              <w:ind w:left="0" w:right="0" w:hanging="0"/>
              <w:jc w:val="center"/>
              <w:rPr/>
            </w:pPr>
            <w:r>
              <w:rPr/>
              <w:t> </w:t>
            </w:r>
          </w:p>
        </w:tc>
      </w:tr>
      <w:tr>
        <w:trPr/>
        <w:tc>
          <w:tcPr>
            <w:tcW w:w="7331"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255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11" w:type="dxa"/>
            <w:tcBorders/>
            <w:shd w:fill="auto" w:val="clear"/>
            <w:vAlign w:val="bottom"/>
          </w:tcPr>
          <w:p>
            <w:pPr>
              <w:pStyle w:val="TableContents"/>
              <w:spacing w:before="0" w:after="0"/>
              <w:ind w:left="0" w:right="0" w:hanging="0"/>
              <w:jc w:val="center"/>
              <w:rPr/>
            </w:pPr>
            <w:r>
              <w:rPr/>
              <w:t> </w:t>
            </w:r>
          </w:p>
        </w:tc>
      </w:tr>
      <w:tr>
        <w:trPr/>
        <w:tc>
          <w:tcPr>
            <w:tcW w:w="7331"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1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1" w:type="dxa"/>
            <w:tcBorders/>
            <w:shd w:fill="auto" w:val="clear"/>
            <w:vAlign w:val="bottom"/>
          </w:tcPr>
          <w:p>
            <w:pPr>
              <w:pStyle w:val="TableContents"/>
              <w:spacing w:before="0" w:after="0"/>
              <w:ind w:left="0" w:right="0" w:hanging="0"/>
              <w:jc w:val="center"/>
              <w:rPr/>
            </w:pPr>
            <w:r>
              <w:rPr/>
              <w:t> </w:t>
            </w:r>
          </w:p>
        </w:tc>
        <w:tc>
          <w:tcPr>
            <w:tcW w:w="11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11" w:type="dxa"/>
            <w:tcBorders/>
            <w:shd w:fill="auto" w:val="clear"/>
            <w:vAlign w:val="bottom"/>
          </w:tcPr>
          <w:p>
            <w:pPr>
              <w:pStyle w:val="TableContents"/>
              <w:spacing w:before="0" w:after="0"/>
              <w:ind w:left="0" w:right="0" w:hanging="0"/>
              <w:jc w:val="center"/>
              <w:rPr/>
            </w:pPr>
            <w:r>
              <w:rPr/>
              <w:t> </w:t>
            </w:r>
          </w:p>
        </w:tc>
      </w:tr>
      <w:tr>
        <w:trPr/>
        <w:tc>
          <w:tcPr>
            <w:tcW w:w="7331"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255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11" w:type="dxa"/>
            <w:tcBorders/>
            <w:shd w:fill="auto" w:val="clear"/>
            <w:vAlign w:val="bottom"/>
          </w:tcPr>
          <w:p>
            <w:pPr>
              <w:pStyle w:val="TableContents"/>
              <w:spacing w:before="0" w:after="0"/>
              <w:ind w:left="0" w:right="0" w:hanging="0"/>
              <w:jc w:val="center"/>
              <w:rPr/>
            </w:pPr>
            <w:r>
              <w:rPr/>
              <w:t> </w:t>
            </w:r>
          </w:p>
        </w:tc>
      </w:tr>
      <w:tr>
        <w:trPr/>
        <w:tc>
          <w:tcPr>
            <w:tcW w:w="7331"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733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10"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r>
      <w:tr>
        <w:trPr/>
        <w:tc>
          <w:tcPr>
            <w:tcW w:w="73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&amp; Logistics segment revenues</w:t>
            </w:r>
          </w:p>
        </w:tc>
        <w:tc>
          <w:tcPr>
            <w:tcW w:w="21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5,912</w:t>
            </w:r>
          </w:p>
        </w:tc>
        <w:tc>
          <w:tcPr>
            <w:tcW w:w="21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3,132</w:t>
            </w:r>
          </w:p>
        </w:tc>
        <w:tc>
          <w:tcPr>
            <w:tcW w:w="111" w:type="dxa"/>
            <w:tcBorders/>
            <w:shd w:fill="auto" w:val="clear"/>
            <w:vAlign w:val="bottom"/>
          </w:tcPr>
          <w:p>
            <w:pPr>
              <w:pStyle w:val="TableContents"/>
              <w:spacing w:before="0" w:after="0"/>
              <w:ind w:left="0" w:right="0" w:hanging="0"/>
              <w:rPr/>
            </w:pPr>
            <w:r>
              <w:rPr/>
              <w:t> </w:t>
            </w:r>
          </w:p>
        </w:tc>
      </w:tr>
      <w:tr>
        <w:trPr/>
        <w:tc>
          <w:tcPr>
            <w:tcW w:w="73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segment revenues</w:t>
            </w:r>
          </w:p>
        </w:tc>
        <w:tc>
          <w:tcPr>
            <w:tcW w:w="210"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11"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111" w:type="dxa"/>
            <w:tcBorders/>
            <w:shd w:fill="CCEEFF" w:val="clear"/>
            <w:vAlign w:val="bottom"/>
          </w:tcPr>
          <w:p>
            <w:pPr>
              <w:pStyle w:val="TableContents"/>
              <w:spacing w:before="0" w:after="0"/>
              <w:ind w:left="0" w:right="0" w:hanging="0"/>
              <w:rPr/>
            </w:pPr>
            <w:r>
              <w:rPr/>
              <w:t> </w:t>
            </w:r>
          </w:p>
        </w:tc>
      </w:tr>
      <w:tr>
        <w:trPr/>
        <w:tc>
          <w:tcPr>
            <w:tcW w:w="73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210" w:type="dxa"/>
            <w:tcBorders/>
            <w:shd w:fill="auto"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11" w:type="dxa"/>
            <w:tcBorders/>
            <w:shd w:fill="auto" w:val="clear"/>
            <w:vAlign w:val="bottom"/>
          </w:tcPr>
          <w:p>
            <w:pPr>
              <w:pStyle w:val="TableContents"/>
              <w:spacing w:before="0" w:after="0"/>
              <w:ind w:left="0" w:right="0" w:hanging="0"/>
              <w:rPr/>
            </w:pPr>
            <w:r>
              <w:rPr/>
              <w:t> </w:t>
            </w:r>
          </w:p>
        </w:tc>
      </w:tr>
      <w:tr>
        <w:trPr/>
        <w:tc>
          <w:tcPr>
            <w:tcW w:w="73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revenues</w:t>
            </w:r>
          </w:p>
        </w:tc>
        <w:tc>
          <w:tcPr>
            <w:tcW w:w="210"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6,125</w:t>
            </w:r>
          </w:p>
        </w:tc>
        <w:tc>
          <w:tcPr>
            <w:tcW w:w="211"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3,302</w:t>
            </w:r>
          </w:p>
        </w:tc>
        <w:tc>
          <w:tcPr>
            <w:tcW w:w="111" w:type="dxa"/>
            <w:tcBorders/>
            <w:shd w:fill="CCEEFF" w:val="clear"/>
            <w:vAlign w:val="bottom"/>
          </w:tcPr>
          <w:p>
            <w:pPr>
              <w:pStyle w:val="TableContents"/>
              <w:spacing w:before="0" w:after="0"/>
              <w:ind w:left="0" w:right="0" w:hanging="0"/>
              <w:rPr/>
            </w:pPr>
            <w:r>
              <w:rPr/>
              <w:t> </w:t>
            </w:r>
          </w:p>
        </w:tc>
      </w:tr>
      <w:tr>
        <w:trPr/>
        <w:tc>
          <w:tcPr>
            <w:tcW w:w="7331"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733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10"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r>
      <w:tr>
        <w:trPr/>
        <w:tc>
          <w:tcPr>
            <w:tcW w:w="73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0"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5,623</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2,790</w:t>
            </w:r>
          </w:p>
        </w:tc>
        <w:tc>
          <w:tcPr>
            <w:tcW w:w="111" w:type="dxa"/>
            <w:tcBorders/>
            <w:shd w:fill="auto" w:val="clear"/>
            <w:vAlign w:val="bottom"/>
          </w:tcPr>
          <w:p>
            <w:pPr>
              <w:pStyle w:val="TableContents"/>
              <w:spacing w:before="0" w:after="0"/>
              <w:ind w:left="0" w:right="0" w:hanging="0"/>
              <w:rPr/>
            </w:pPr>
            <w:r>
              <w:rPr/>
              <w:t> </w:t>
            </w:r>
          </w:p>
        </w:tc>
      </w:tr>
      <w:tr>
        <w:trPr/>
        <w:tc>
          <w:tcPr>
            <w:tcW w:w="73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10"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11"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11" w:type="dxa"/>
            <w:tcBorders/>
            <w:shd w:fill="CCEEFF" w:val="clear"/>
            <w:vAlign w:val="bottom"/>
          </w:tcPr>
          <w:p>
            <w:pPr>
              <w:pStyle w:val="TableContents"/>
              <w:spacing w:before="0" w:after="0"/>
              <w:ind w:left="0" w:right="0" w:hanging="0"/>
              <w:rPr/>
            </w:pPr>
            <w:r>
              <w:rPr/>
              <w:t> </w:t>
            </w:r>
          </w:p>
        </w:tc>
      </w:tr>
      <w:tr>
        <w:trPr/>
        <w:tc>
          <w:tcPr>
            <w:tcW w:w="73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210"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11" w:type="dxa"/>
            <w:tcBorders/>
            <w:shd w:fill="auto" w:val="clear"/>
            <w:vAlign w:val="bottom"/>
          </w:tcPr>
          <w:p>
            <w:pPr>
              <w:pStyle w:val="TableContents"/>
              <w:spacing w:before="0" w:after="0"/>
              <w:ind w:left="0" w:right="0" w:hanging="0"/>
              <w:rPr/>
            </w:pPr>
            <w:r>
              <w:rPr/>
              <w:t> </w:t>
            </w:r>
          </w:p>
        </w:tc>
      </w:tr>
      <w:tr>
        <w:trPr/>
        <w:tc>
          <w:tcPr>
            <w:tcW w:w="73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0" w:type="dxa"/>
            <w:tcBorders/>
            <w:shd w:fill="CCEEFF"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11" w:type="dxa"/>
            <w:tcBorders/>
            <w:shd w:fill="CCEEFF"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11" w:type="dxa"/>
            <w:tcBorders/>
            <w:shd w:fill="CCEEFF" w:val="clear"/>
            <w:vAlign w:val="bottom"/>
          </w:tcPr>
          <w:p>
            <w:pPr>
              <w:pStyle w:val="TableContents"/>
              <w:spacing w:before="0" w:after="0"/>
              <w:ind w:left="0" w:right="0" w:hanging="0"/>
              <w:rPr/>
            </w:pPr>
            <w:r>
              <w:rPr/>
              <w:t> </w:t>
            </w:r>
          </w:p>
        </w:tc>
      </w:tr>
      <w:tr>
        <w:trPr/>
        <w:tc>
          <w:tcPr>
            <w:tcW w:w="73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costs and expenses</w:t>
            </w:r>
          </w:p>
        </w:tc>
        <w:tc>
          <w:tcPr>
            <w:tcW w:w="210" w:type="dxa"/>
            <w:tcBorders/>
            <w:shd w:fill="auto"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5,914</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3,046</w:t>
            </w:r>
          </w:p>
        </w:tc>
        <w:tc>
          <w:tcPr>
            <w:tcW w:w="111" w:type="dxa"/>
            <w:tcBorders/>
            <w:shd w:fill="auto" w:val="clear"/>
            <w:vAlign w:val="bottom"/>
          </w:tcPr>
          <w:p>
            <w:pPr>
              <w:pStyle w:val="TableContents"/>
              <w:spacing w:before="0" w:after="0"/>
              <w:ind w:left="0" w:right="0" w:hanging="0"/>
              <w:rPr/>
            </w:pPr>
            <w:r>
              <w:rPr/>
              <w:t> </w:t>
            </w:r>
          </w:p>
        </w:tc>
      </w:tr>
      <w:tr>
        <w:trPr/>
        <w:tc>
          <w:tcPr>
            <w:tcW w:w="7331"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r>
      <w:tr>
        <w:trPr/>
        <w:tc>
          <w:tcPr>
            <w:tcW w:w="7331"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10"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111" w:type="dxa"/>
            <w:tcBorders/>
            <w:shd w:fill="auto" w:val="clear"/>
            <w:vAlign w:val="bottom"/>
          </w:tcPr>
          <w:p>
            <w:pPr>
              <w:pStyle w:val="TableContents"/>
              <w:spacing w:before="0" w:after="0"/>
              <w:ind w:left="0" w:right="0" w:hanging="0"/>
              <w:rPr/>
            </w:pPr>
            <w:r>
              <w:rPr/>
              <w:t> </w:t>
            </w:r>
          </w:p>
        </w:tc>
      </w:tr>
      <w:tr>
        <w:trPr/>
        <w:tc>
          <w:tcPr>
            <w:tcW w:w="7331"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r>
      <w:tr>
        <w:trPr/>
        <w:tc>
          <w:tcPr>
            <w:tcW w:w="7331"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10"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73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0"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1"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1" w:type="dxa"/>
            <w:tcBorders/>
            <w:shd w:fill="CCEEFF" w:val="clear"/>
            <w:vAlign w:val="bottom"/>
          </w:tcPr>
          <w:p>
            <w:pPr>
              <w:pStyle w:val="TableContents"/>
              <w:spacing w:before="0" w:after="0"/>
              <w:ind w:left="0" w:right="0" w:hanging="0"/>
              <w:rPr/>
            </w:pPr>
            <w:r>
              <w:rPr/>
              <w:t> </w:t>
            </w:r>
          </w:p>
        </w:tc>
      </w:tr>
      <w:tr>
        <w:trPr/>
        <w:tc>
          <w:tcPr>
            <w:tcW w:w="73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 of capitalized interest of $6 and $3, respectively)</w:t>
            </w:r>
          </w:p>
        </w:tc>
        <w:tc>
          <w:tcPr>
            <w:tcW w:w="210"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210" w:type="dxa"/>
            <w:tcBorders/>
            <w:shd w:fill="CCEEFF"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1" w:type="dxa"/>
            <w:tcBorders/>
            <w:shd w:fill="CCEEFF" w:val="clear"/>
            <w:vAlign w:val="bottom"/>
          </w:tcPr>
          <w:p>
            <w:pPr>
              <w:pStyle w:val="TableContents"/>
              <w:spacing w:before="0" w:after="0"/>
              <w:ind w:left="0" w:right="0" w:hanging="0"/>
              <w:rPr/>
            </w:pPr>
            <w:r>
              <w:rPr/>
              <w:t> </w:t>
            </w:r>
          </w:p>
        </w:tc>
      </w:tr>
      <w:tr>
        <w:trPr/>
        <w:tc>
          <w:tcPr>
            <w:tcW w:w="7331"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733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10"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11"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212</w:t>
            </w:r>
          </w:p>
        </w:tc>
        <w:tc>
          <w:tcPr>
            <w:tcW w:w="111" w:type="dxa"/>
            <w:tcBorders/>
            <w:shd w:fill="CCEEFF" w:val="clear"/>
            <w:vAlign w:val="bottom"/>
          </w:tcPr>
          <w:p>
            <w:pPr>
              <w:pStyle w:val="TableContents"/>
              <w:spacing w:before="0" w:after="0"/>
              <w:ind w:left="0" w:right="0" w:hanging="0"/>
              <w:rPr/>
            </w:pPr>
            <w:r>
              <w:rPr/>
              <w:t> </w:t>
            </w:r>
          </w:p>
        </w:tc>
      </w:tr>
      <w:tr>
        <w:trPr/>
        <w:tc>
          <w:tcPr>
            <w:tcW w:w="73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0"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w:t>
            </w:r>
          </w:p>
        </w:tc>
        <w:tc>
          <w:tcPr>
            <w:tcW w:w="210" w:type="dxa"/>
            <w:tcBorders/>
            <w:shd w:fill="CCEEFF"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1" w:type="dxa"/>
            <w:tcBorders/>
            <w:shd w:fill="CCEEFF"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1" w:type="dxa"/>
            <w:tcBorders/>
            <w:shd w:fill="CCEEFF" w:val="clear"/>
            <w:vAlign w:val="bottom"/>
          </w:tcPr>
          <w:p>
            <w:pPr>
              <w:pStyle w:val="TableContents"/>
              <w:spacing w:before="0" w:after="0"/>
              <w:ind w:left="0" w:right="0" w:hanging="0"/>
              <w:rPr/>
            </w:pPr>
            <w:r>
              <w:rPr/>
              <w:t> </w:t>
            </w:r>
          </w:p>
        </w:tc>
      </w:tr>
      <w:tr>
        <w:trPr/>
        <w:tc>
          <w:tcPr>
            <w:tcW w:w="7331"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733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11" w:type="dxa"/>
            <w:tcBorders/>
            <w:shd w:fill="CCEEFF" w:val="clear"/>
            <w:vAlign w:val="bottom"/>
          </w:tcPr>
          <w:p>
            <w:pPr>
              <w:pStyle w:val="TableContents"/>
              <w:spacing w:before="0" w:after="0"/>
              <w:ind w:left="0" w:right="0" w:hanging="0"/>
              <w:rPr/>
            </w:pPr>
            <w:r>
              <w:rPr/>
              <w:t> </w:t>
            </w:r>
          </w:p>
        </w:tc>
      </w:tr>
      <w:tr>
        <w:trPr/>
        <w:tc>
          <w:tcPr>
            <w:tcW w:w="7331"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733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0"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r>
      <w:tr>
        <w:trPr/>
        <w:tc>
          <w:tcPr>
            <w:tcW w:w="7331"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733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11" w:type="dxa"/>
            <w:tcBorders/>
            <w:shd w:fill="CCEEFF" w:val="clear"/>
            <w:vAlign w:val="bottom"/>
          </w:tcPr>
          <w:p>
            <w:pPr>
              <w:pStyle w:val="TableContents"/>
              <w:spacing w:before="0" w:after="0"/>
              <w:ind w:left="0" w:right="0" w:hanging="0"/>
              <w:rPr/>
            </w:pPr>
            <w:r>
              <w:rPr/>
              <w:t> </w:t>
            </w:r>
          </w:p>
        </w:tc>
      </w:tr>
      <w:tr>
        <w:trPr/>
        <w:tc>
          <w:tcPr>
            <w:tcW w:w="7331"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733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11" w:type="dxa"/>
            <w:tcBorders/>
            <w:shd w:fill="CCEEFF" w:val="clear"/>
            <w:vAlign w:val="bottom"/>
          </w:tcPr>
          <w:p>
            <w:pPr>
              <w:pStyle w:val="TableContents"/>
              <w:spacing w:before="0" w:after="0"/>
              <w:ind w:left="0" w:right="0" w:hanging="0"/>
              <w:rPr/>
            </w:pPr>
            <w:r>
              <w:rPr/>
              <w:t> </w:t>
            </w:r>
          </w:p>
        </w:tc>
      </w:tr>
      <w:tr>
        <w:trPr/>
        <w:tc>
          <w:tcPr>
            <w:tcW w:w="7331"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733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0.80</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11" w:type="dxa"/>
            <w:tcBorders/>
            <w:shd w:fill="CCEEFF" w:val="clear"/>
            <w:vAlign w:val="bottom"/>
          </w:tcPr>
          <w:p>
            <w:pPr>
              <w:pStyle w:val="TableContents"/>
              <w:spacing w:before="0" w:after="0"/>
              <w:ind w:left="0" w:right="0" w:hanging="0"/>
              <w:rPr/>
            </w:pPr>
            <w:r>
              <w:rPr/>
              <w:t> </w:t>
            </w:r>
          </w:p>
        </w:tc>
      </w:tr>
      <w:tr>
        <w:trPr/>
        <w:tc>
          <w:tcPr>
            <w:tcW w:w="7331"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733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0.80</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111" w:type="dxa"/>
            <w:tcBorders/>
            <w:shd w:fill="CCEEFF" w:val="clear"/>
            <w:vAlign w:val="bottom"/>
          </w:tcPr>
          <w:p>
            <w:pPr>
              <w:pStyle w:val="TableContents"/>
              <w:spacing w:before="0" w:after="0"/>
              <w:ind w:left="0" w:right="0" w:hanging="0"/>
              <w:rPr/>
            </w:pPr>
            <w:r>
              <w:rPr/>
              <w:t> </w:t>
            </w:r>
          </w:p>
        </w:tc>
      </w:tr>
      <w:tr>
        <w:trPr/>
        <w:tc>
          <w:tcPr>
            <w:tcW w:w="7331"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733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210" w:type="dxa"/>
            <w:tcBorders/>
            <w:shd w:fill="CCEEFF" w:val="clear"/>
            <w:vAlign w:val="bottom"/>
          </w:tcPr>
          <w:p>
            <w:pPr>
              <w:pStyle w:val="TableContents"/>
              <w:spacing w:before="0" w:after="0"/>
              <w:ind w:left="0" w:right="0" w:hanging="0"/>
              <w:rPr/>
            </w:pPr>
            <w:r>
              <w:rPr/>
              <w:t> </w:t>
            </w:r>
          </w:p>
        </w:tc>
        <w:tc>
          <w:tcPr>
            <w:tcW w:w="117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1" w:type="dxa"/>
            <w:tcBorders/>
            <w:shd w:fill="CCEEFF" w:val="clear"/>
            <w:vAlign w:val="bottom"/>
          </w:tcPr>
          <w:p>
            <w:pPr>
              <w:pStyle w:val="TableContents"/>
              <w:spacing w:before="0" w:after="0"/>
              <w:ind w:left="0" w:right="0" w:hanging="0"/>
              <w:rPr/>
            </w:pPr>
            <w:r>
              <w:rPr/>
              <w:t> </w:t>
            </w:r>
          </w:p>
        </w:tc>
        <w:tc>
          <w:tcPr>
            <w:tcW w:w="117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11" w:type="dxa"/>
            <w:tcBorders/>
            <w:shd w:fill="CCEEFF" w:val="clear"/>
            <w:vAlign w:val="bottom"/>
          </w:tcPr>
          <w:p>
            <w:pPr>
              <w:pStyle w:val="TableContents"/>
              <w:spacing w:before="0" w:after="0"/>
              <w:ind w:left="0" w:right="0" w:hanging="0"/>
              <w:rPr/>
            </w:pPr>
            <w:r>
              <w:rPr/>
              <w:t> </w:t>
            </w:r>
          </w:p>
        </w:tc>
      </w:tr>
      <w:tr>
        <w:trPr/>
        <w:tc>
          <w:tcPr>
            <w:tcW w:w="7331"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733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210" w:type="dxa"/>
            <w:tcBorders/>
            <w:shd w:fill="CCEEFF" w:val="clear"/>
            <w:vAlign w:val="bottom"/>
          </w:tcPr>
          <w:p>
            <w:pPr>
              <w:pStyle w:val="TableContents"/>
              <w:spacing w:before="0" w:after="0"/>
              <w:ind w:left="0" w:right="0" w:hanging="0"/>
              <w:rPr/>
            </w:pPr>
            <w:r>
              <w:rPr/>
              <w:t> </w:t>
            </w:r>
          </w:p>
        </w:tc>
        <w:tc>
          <w:tcPr>
            <w:tcW w:w="117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1" w:type="dxa"/>
            <w:tcBorders/>
            <w:shd w:fill="CCEEFF" w:val="clear"/>
            <w:vAlign w:val="bottom"/>
          </w:tcPr>
          <w:p>
            <w:pPr>
              <w:pStyle w:val="TableContents"/>
              <w:spacing w:before="0" w:after="0"/>
              <w:ind w:left="0" w:right="0" w:hanging="0"/>
              <w:rPr/>
            </w:pPr>
            <w:r>
              <w:rPr/>
              <w:t> </w:t>
            </w:r>
          </w:p>
        </w:tc>
        <w:tc>
          <w:tcPr>
            <w:tcW w:w="117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1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unaudited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9" w:name="PB_4_143349_5796"/>
      <w:bookmarkEnd w:id="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CASH FLOWS</w:t>
      </w:r>
      <w:bookmarkStart w:id="10" w:name="CondensedConsolidatedStatementsOf_145052"/>
      <w:bookmarkEnd w:id="10"/>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318"/>
        <w:gridCol w:w="211"/>
        <w:gridCol w:w="114"/>
        <w:gridCol w:w="1059"/>
        <w:gridCol w:w="213"/>
        <w:gridCol w:w="114"/>
        <w:gridCol w:w="1059"/>
        <w:gridCol w:w="117"/>
      </w:tblGrid>
      <w:tr>
        <w:trPr/>
        <w:tc>
          <w:tcPr>
            <w:tcW w:w="731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5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17" w:type="dxa"/>
            <w:tcBorders/>
            <w:shd w:fill="auto" w:val="clear"/>
            <w:vAlign w:val="bottom"/>
          </w:tcPr>
          <w:p>
            <w:pPr>
              <w:pStyle w:val="TableContents"/>
              <w:spacing w:before="0" w:after="0"/>
              <w:ind w:left="0" w:right="0" w:hanging="0"/>
              <w:jc w:val="center"/>
              <w:rPr/>
            </w:pPr>
            <w:r>
              <w:rPr/>
              <w:t> </w:t>
            </w:r>
          </w:p>
        </w:tc>
      </w:tr>
      <w:tr>
        <w:trPr/>
        <w:tc>
          <w:tcPr>
            <w:tcW w:w="731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5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17" w:type="dxa"/>
            <w:tcBorders/>
            <w:shd w:fill="auto" w:val="clear"/>
            <w:vAlign w:val="bottom"/>
          </w:tcPr>
          <w:p>
            <w:pPr>
              <w:pStyle w:val="TableContents"/>
              <w:spacing w:before="0" w:after="0"/>
              <w:ind w:left="0" w:right="0" w:hanging="0"/>
              <w:jc w:val="center"/>
              <w:rPr/>
            </w:pPr>
            <w:r>
              <w:rPr/>
              <w:t> </w:t>
            </w:r>
          </w:p>
        </w:tc>
      </w:tr>
      <w:tr>
        <w:trPr/>
        <w:tc>
          <w:tcPr>
            <w:tcW w:w="731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3" w:type="dxa"/>
            <w:tcBorders/>
            <w:shd w:fill="auto" w:val="clear"/>
            <w:vAlign w:val="bottom"/>
          </w:tcPr>
          <w:p>
            <w:pPr>
              <w:pStyle w:val="TableContents"/>
              <w:spacing w:before="0" w:after="0"/>
              <w:ind w:left="0" w:right="0" w:hanging="0"/>
              <w:jc w:val="center"/>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17" w:type="dxa"/>
            <w:tcBorders/>
            <w:shd w:fill="auto" w:val="clear"/>
            <w:vAlign w:val="bottom"/>
          </w:tcPr>
          <w:p>
            <w:pPr>
              <w:pStyle w:val="TableContents"/>
              <w:spacing w:before="0" w:after="0"/>
              <w:ind w:left="0" w:right="0" w:hanging="0"/>
              <w:jc w:val="center"/>
              <w:rPr/>
            </w:pPr>
            <w:r>
              <w:rPr/>
              <w:t> </w:t>
            </w:r>
          </w:p>
        </w:tc>
      </w:tr>
      <w:tr>
        <w:trPr/>
        <w:tc>
          <w:tcPr>
            <w:tcW w:w="731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5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17" w:type="dxa"/>
            <w:tcBorders/>
            <w:shd w:fill="auto" w:val="clear"/>
            <w:vAlign w:val="bottom"/>
          </w:tcPr>
          <w:p>
            <w:pPr>
              <w:pStyle w:val="TableContents"/>
              <w:spacing w:before="0" w:after="0"/>
              <w:ind w:left="0" w:right="0" w:hanging="0"/>
              <w:jc w:val="center"/>
              <w:rPr/>
            </w:pPr>
            <w:r>
              <w:rPr/>
              <w:t> </w:t>
            </w:r>
          </w:p>
        </w:tc>
      </w:tr>
      <w:tr>
        <w:trPr/>
        <w:tc>
          <w:tcPr>
            <w:tcW w:w="7318"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OPERATING ACTIVITIES</w:t>
            </w:r>
          </w:p>
        </w:tc>
        <w:tc>
          <w:tcPr>
            <w:tcW w:w="211"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7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1"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13"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17" w:type="dxa"/>
            <w:tcBorders/>
            <w:shd w:fill="auto" w:val="clear"/>
            <w:vAlign w:val="bottom"/>
          </w:tcPr>
          <w:p>
            <w:pPr>
              <w:pStyle w:val="TableContents"/>
              <w:spacing w:before="0" w:after="0"/>
              <w:ind w:left="0" w:right="0" w:hanging="0"/>
              <w:rPr/>
            </w:pPr>
            <w:r>
              <w:rPr/>
              <w:t> </w:t>
            </w:r>
          </w:p>
        </w:tc>
      </w:tr>
      <w:tr>
        <w:trPr/>
        <w:tc>
          <w:tcPr>
            <w:tcW w:w="73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Reconciliation of net income to net cash provided by operating activities:</w:t>
            </w:r>
          </w:p>
        </w:tc>
        <w:tc>
          <w:tcPr>
            <w:tcW w:w="211"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7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13"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17" w:type="dxa"/>
            <w:tcBorders/>
            <w:shd w:fill="auto" w:val="clear"/>
            <w:vAlign w:val="bottom"/>
          </w:tcPr>
          <w:p>
            <w:pPr>
              <w:pStyle w:val="TableContents"/>
              <w:spacing w:before="0" w:after="0"/>
              <w:ind w:left="0" w:right="0" w:hanging="0"/>
              <w:rPr/>
            </w:pPr>
            <w:r>
              <w:rPr/>
              <w:t> </w:t>
            </w:r>
          </w:p>
        </w:tc>
      </w:tr>
      <w:tr>
        <w:trPr/>
        <w:tc>
          <w:tcPr>
            <w:tcW w:w="73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charge</w:t>
            </w:r>
          </w:p>
        </w:tc>
        <w:tc>
          <w:tcPr>
            <w:tcW w:w="211"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3"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7" w:type="dxa"/>
            <w:tcBorders/>
            <w:shd w:fill="CCEEFF" w:val="clear"/>
            <w:vAlign w:val="bottom"/>
          </w:tcPr>
          <w:p>
            <w:pPr>
              <w:pStyle w:val="TableContents"/>
              <w:spacing w:before="0" w:after="0"/>
              <w:ind w:left="0" w:right="0" w:hanging="0"/>
              <w:rPr/>
            </w:pPr>
            <w:r>
              <w:rPr/>
              <w:t> </w:t>
            </w:r>
          </w:p>
        </w:tc>
      </w:tr>
      <w:tr>
        <w:trPr/>
        <w:tc>
          <w:tcPr>
            <w:tcW w:w="7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gains on settled hedges, net</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3"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7" w:type="dxa"/>
            <w:tcBorders/>
            <w:shd w:fill="auto" w:val="clear"/>
            <w:vAlign w:val="bottom"/>
          </w:tcPr>
          <w:p>
            <w:pPr>
              <w:pStyle w:val="TableContents"/>
              <w:spacing w:before="0" w:after="0"/>
              <w:ind w:left="0" w:right="0" w:hanging="0"/>
              <w:rPr/>
            </w:pPr>
            <w:r>
              <w:rPr/>
              <w:t> </w:t>
            </w:r>
          </w:p>
        </w:tc>
      </w:tr>
      <w:tr>
        <w:trPr/>
        <w:tc>
          <w:tcPr>
            <w:tcW w:w="73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1"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Changes in assets and liabilities, net of acquisitions:</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73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Trade accounts receivable and other</w:t>
            </w:r>
          </w:p>
        </w:tc>
        <w:tc>
          <w:tcPr>
            <w:tcW w:w="211"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w:t>
            </w:r>
          </w:p>
        </w:tc>
        <w:tc>
          <w:tcPr>
            <w:tcW w:w="213"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420</w:t>
            </w:r>
          </w:p>
        </w:tc>
        <w:tc>
          <w:tcPr>
            <w:tcW w:w="117" w:type="dxa"/>
            <w:tcBorders/>
            <w:shd w:fill="CCEEFF" w:val="clear"/>
            <w:vAlign w:val="bottom"/>
          </w:tcPr>
          <w:p>
            <w:pPr>
              <w:pStyle w:val="TableContents"/>
              <w:spacing w:before="0" w:after="0"/>
              <w:ind w:left="0" w:right="0" w:hanging="0"/>
              <w:rPr/>
            </w:pPr>
            <w:r>
              <w:rPr/>
              <w:t> </w:t>
            </w:r>
          </w:p>
        </w:tc>
      </w:tr>
      <w:tr>
        <w:trPr/>
        <w:tc>
          <w:tcPr>
            <w:tcW w:w="7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17" w:type="dxa"/>
            <w:tcBorders/>
            <w:shd w:fill="auto" w:val="clear"/>
            <w:vAlign w:val="bottom"/>
          </w:tcPr>
          <w:p>
            <w:pPr>
              <w:pStyle w:val="TableContents"/>
              <w:spacing w:before="0" w:after="0"/>
              <w:ind w:left="0" w:right="0" w:hanging="0"/>
              <w:rPr/>
            </w:pPr>
            <w:r>
              <w:rPr/>
              <w:t> </w:t>
            </w:r>
          </w:p>
        </w:tc>
      </w:tr>
      <w:tr>
        <w:trPr/>
        <w:tc>
          <w:tcPr>
            <w:tcW w:w="73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Accounts payable and other current liabilities</w:t>
            </w:r>
          </w:p>
        </w:tc>
        <w:tc>
          <w:tcPr>
            <w:tcW w:w="211"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391</w:t>
            </w:r>
          </w:p>
        </w:tc>
        <w:tc>
          <w:tcPr>
            <w:tcW w:w="213" w:type="dxa"/>
            <w:tcBorders/>
            <w:shd w:fill="auto" w:val="clear"/>
            <w:vAlign w:val="bottom"/>
          </w:tcPr>
          <w:p>
            <w:pPr>
              <w:pStyle w:val="TableContents"/>
              <w:spacing w:before="0" w:after="0"/>
              <w:ind w:left="0" w:right="0" w:hanging="0"/>
              <w:rPr/>
            </w:pPr>
            <w:r>
              <w:rPr/>
              <w:t> </w:t>
            </w:r>
          </w:p>
        </w:tc>
        <w:tc>
          <w:tcPr>
            <w:tcW w:w="117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478</w:t>
            </w:r>
          </w:p>
        </w:tc>
        <w:tc>
          <w:tcPr>
            <w:tcW w:w="117" w:type="dxa"/>
            <w:tcBorders/>
            <w:shd w:fill="auto" w:val="clear"/>
            <w:vAlign w:val="bottom"/>
          </w:tcPr>
          <w:p>
            <w:pPr>
              <w:pStyle w:val="TableContents"/>
              <w:spacing w:before="0" w:after="0"/>
              <w:ind w:left="0" w:right="0" w:hanging="0"/>
              <w:rPr/>
            </w:pPr>
            <w:r>
              <w:rPr/>
              <w:t> </w:t>
            </w:r>
          </w:p>
        </w:tc>
      </w:tr>
      <w:tr>
        <w:trPr/>
        <w:tc>
          <w:tcPr>
            <w:tcW w:w="7318" w:type="dxa"/>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7318"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INVESTING ACTIVITIES</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73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Additions to property, equipment and other</w:t>
            </w:r>
          </w:p>
        </w:tc>
        <w:tc>
          <w:tcPr>
            <w:tcW w:w="211"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received for sale of noncontrolling interest in a subsidiary</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3"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17" w:type="dxa"/>
            <w:tcBorders/>
            <w:shd w:fill="auto" w:val="clear"/>
            <w:vAlign w:val="bottom"/>
          </w:tcPr>
          <w:p>
            <w:pPr>
              <w:pStyle w:val="TableContents"/>
              <w:spacing w:before="0" w:after="0"/>
              <w:ind w:left="0" w:right="0" w:hanging="0"/>
              <w:rPr/>
            </w:pPr>
            <w:r>
              <w:rPr/>
              <w:t> </w:t>
            </w:r>
          </w:p>
        </w:tc>
      </w:tr>
      <w:tr>
        <w:trPr/>
        <w:tc>
          <w:tcPr>
            <w:tcW w:w="73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investing activities</w:t>
            </w:r>
          </w:p>
        </w:tc>
        <w:tc>
          <w:tcPr>
            <w:tcW w:w="211"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7" w:type="dxa"/>
            <w:tcBorders/>
            <w:shd w:fill="CCEEFF" w:val="clear"/>
            <w:vAlign w:val="bottom"/>
          </w:tcPr>
          <w:p>
            <w:pPr>
              <w:pStyle w:val="TableContents"/>
              <w:spacing w:before="0" w:after="0"/>
              <w:ind w:left="0" w:right="0" w:hanging="0"/>
              <w:rPr/>
            </w:pPr>
            <w:r>
              <w:rPr/>
              <w:t> </w:t>
            </w:r>
          </w:p>
        </w:tc>
      </w:tr>
      <w:tr>
        <w:trPr/>
        <w:tc>
          <w:tcPr>
            <w:tcW w:w="7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used in investing activities</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8" w:type="dxa"/>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7318"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FINANCING ACTIVITIES</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73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repayments on revolving credit facilities</w:t>
            </w:r>
          </w:p>
        </w:tc>
        <w:tc>
          <w:tcPr>
            <w:tcW w:w="211"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(227</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(544</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 on short-term letter of credit and hedged inventory facility</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13"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17" w:type="dxa"/>
            <w:tcBorders/>
            <w:shd w:fill="auto" w:val="clear"/>
            <w:vAlign w:val="bottom"/>
          </w:tcPr>
          <w:p>
            <w:pPr>
              <w:pStyle w:val="TableContents"/>
              <w:spacing w:before="0" w:after="0"/>
              <w:ind w:left="0" w:right="0" w:hanging="0"/>
              <w:rPr/>
            </w:pPr>
            <w:r>
              <w:rPr/>
              <w:t> </w:t>
            </w:r>
          </w:p>
        </w:tc>
      </w:tr>
      <w:tr>
        <w:trPr/>
        <w:tc>
          <w:tcPr>
            <w:tcW w:w="73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proceeds from the issuance of common units</w:t>
            </w:r>
          </w:p>
        </w:tc>
        <w:tc>
          <w:tcPr>
            <w:tcW w:w="211"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3"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117" w:type="dxa"/>
            <w:tcBorders/>
            <w:shd w:fill="CCEEFF" w:val="clear"/>
            <w:vAlign w:val="bottom"/>
          </w:tcPr>
          <w:p>
            <w:pPr>
              <w:pStyle w:val="TableContents"/>
              <w:spacing w:before="0" w:after="0"/>
              <w:ind w:left="0" w:right="0" w:hanging="0"/>
              <w:rPr/>
            </w:pPr>
            <w:r>
              <w:rPr/>
              <w:t> </w:t>
            </w:r>
          </w:p>
        </w:tc>
      </w:tr>
      <w:tr>
        <w:trPr/>
        <w:tc>
          <w:tcPr>
            <w:tcW w:w="7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common unitholders (Note 7)</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general partner (Note 7)</w:t>
            </w:r>
          </w:p>
        </w:tc>
        <w:tc>
          <w:tcPr>
            <w:tcW w:w="211"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financing activities</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auto" w:val="clear"/>
            <w:vAlign w:val="bottom"/>
          </w:tcPr>
          <w:p>
            <w:pPr>
              <w:pStyle w:val="TableContents"/>
              <w:spacing w:before="0" w:after="0"/>
              <w:ind w:left="0" w:right="0" w:hanging="0"/>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7" w:type="dxa"/>
            <w:tcBorders/>
            <w:shd w:fill="auto" w:val="clear"/>
            <w:vAlign w:val="bottom"/>
          </w:tcPr>
          <w:p>
            <w:pPr>
              <w:pStyle w:val="TableContents"/>
              <w:spacing w:before="0" w:after="0"/>
              <w:ind w:left="0" w:right="0" w:hanging="0"/>
              <w:rPr/>
            </w:pPr>
            <w:r>
              <w:rPr/>
              <w:t> </w:t>
            </w:r>
          </w:p>
        </w:tc>
      </w:tr>
      <w:tr>
        <w:trPr/>
        <w:tc>
          <w:tcPr>
            <w:tcW w:w="73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used in financing activities</w:t>
            </w:r>
          </w:p>
        </w:tc>
        <w:tc>
          <w:tcPr>
            <w:tcW w:w="211" w:type="dxa"/>
            <w:tcBorders/>
            <w:shd w:fill="CCEEFF" w:val="clear"/>
            <w:vAlign w:val="bottom"/>
          </w:tcPr>
          <w:p>
            <w:pPr>
              <w:pStyle w:val="TableContents"/>
              <w:spacing w:before="0" w:after="0"/>
              <w:ind w:left="0" w:right="0" w:hanging="0"/>
              <w:rPr/>
            </w:pPr>
            <w:r>
              <w:rPr/>
              <w:t> </w:t>
            </w:r>
          </w:p>
        </w:tc>
        <w:tc>
          <w:tcPr>
            <w:tcW w:w="11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(396</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8" w:type="dxa"/>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73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translation adjustment on cash</w:t>
            </w:r>
          </w:p>
        </w:tc>
        <w:tc>
          <w:tcPr>
            <w:tcW w:w="211"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3"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7" w:type="dxa"/>
            <w:tcBorders/>
            <w:shd w:fill="CCEEFF" w:val="clear"/>
            <w:vAlign w:val="bottom"/>
          </w:tcPr>
          <w:p>
            <w:pPr>
              <w:pStyle w:val="TableContents"/>
              <w:spacing w:before="0" w:after="0"/>
              <w:ind w:left="0" w:right="0" w:hanging="0"/>
              <w:rPr/>
            </w:pPr>
            <w:r>
              <w:rPr/>
              <w:t> </w:t>
            </w:r>
          </w:p>
        </w:tc>
      </w:tr>
      <w:tr>
        <w:trPr/>
        <w:tc>
          <w:tcPr>
            <w:tcW w:w="7318" w:type="dxa"/>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73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decrease in cash and cash equivalents</w:t>
            </w:r>
          </w:p>
        </w:tc>
        <w:tc>
          <w:tcPr>
            <w:tcW w:w="211"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beginning of period</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3" w:type="dxa"/>
            <w:tcBorders/>
            <w:shd w:fill="auto" w:val="clear"/>
            <w:vAlign w:val="bottom"/>
          </w:tcPr>
          <w:p>
            <w:pPr>
              <w:pStyle w:val="TableContents"/>
              <w:spacing w:before="0" w:after="0"/>
              <w:ind w:left="0" w:right="0" w:hanging="0"/>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7" w:type="dxa"/>
            <w:tcBorders/>
            <w:shd w:fill="auto" w:val="clear"/>
            <w:vAlign w:val="bottom"/>
          </w:tcPr>
          <w:p>
            <w:pPr>
              <w:pStyle w:val="TableContents"/>
              <w:spacing w:before="0" w:after="0"/>
              <w:ind w:left="0" w:right="0" w:hanging="0"/>
              <w:rPr/>
            </w:pPr>
            <w:r>
              <w:rPr/>
              <w:t> </w:t>
            </w:r>
          </w:p>
        </w:tc>
      </w:tr>
      <w:tr>
        <w:trPr/>
        <w:tc>
          <w:tcPr>
            <w:tcW w:w="73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end of period</w:t>
            </w:r>
          </w:p>
        </w:tc>
        <w:tc>
          <w:tcPr>
            <w:tcW w:w="211"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3"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7" w:type="dxa"/>
            <w:tcBorders/>
            <w:shd w:fill="CCEEFF" w:val="clear"/>
            <w:vAlign w:val="bottom"/>
          </w:tcPr>
          <w:p>
            <w:pPr>
              <w:pStyle w:val="TableContents"/>
              <w:spacing w:before="0" w:after="0"/>
              <w:ind w:left="0" w:right="0" w:hanging="0"/>
              <w:rPr/>
            </w:pPr>
            <w:r>
              <w:rPr/>
              <w:t> </w:t>
            </w:r>
          </w:p>
        </w:tc>
      </w:tr>
      <w:tr>
        <w:trPr/>
        <w:tc>
          <w:tcPr>
            <w:tcW w:w="7318" w:type="dxa"/>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73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for interest, net of amounts capitalized</w:t>
            </w:r>
          </w:p>
        </w:tc>
        <w:tc>
          <w:tcPr>
            <w:tcW w:w="211"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3"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17" w:type="dxa"/>
            <w:tcBorders/>
            <w:shd w:fill="CCEEFF" w:val="clear"/>
            <w:vAlign w:val="bottom"/>
          </w:tcPr>
          <w:p>
            <w:pPr>
              <w:pStyle w:val="TableContents"/>
              <w:spacing w:before="0" w:after="0"/>
              <w:ind w:left="0" w:right="0" w:hanging="0"/>
              <w:rPr/>
            </w:pPr>
            <w:r>
              <w:rPr/>
              <w:t> </w:t>
            </w:r>
          </w:p>
        </w:tc>
      </w:tr>
      <w:tr>
        <w:trPr/>
        <w:tc>
          <w:tcPr>
            <w:tcW w:w="7318" w:type="dxa"/>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73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paid/(refunded) for income taxes, net</w:t>
            </w:r>
          </w:p>
        </w:tc>
        <w:tc>
          <w:tcPr>
            <w:tcW w:w="211"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3"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unaudited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11" w:name="PB_5_143638_2897"/>
      <w:bookmarkEnd w:id="1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 OF PARTNERS CAPITAL</w:t>
      </w:r>
      <w:bookmarkStart w:id="12" w:name="CondensedConsolidatedStatementOfP_145054"/>
      <w:bookmarkEnd w:id="12"/>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02"/>
        <w:gridCol w:w="113"/>
        <w:gridCol w:w="511"/>
        <w:gridCol w:w="113"/>
        <w:gridCol w:w="129"/>
        <w:gridCol w:w="563"/>
        <w:gridCol w:w="131"/>
        <w:gridCol w:w="190"/>
        <w:gridCol w:w="441"/>
        <w:gridCol w:w="131"/>
        <w:gridCol w:w="238"/>
        <w:gridCol w:w="1101"/>
        <w:gridCol w:w="131"/>
        <w:gridCol w:w="331"/>
        <w:gridCol w:w="844"/>
        <w:gridCol w:w="113"/>
        <w:gridCol w:w="128"/>
        <w:gridCol w:w="563"/>
        <w:gridCol w:w="232"/>
      </w:tblGrid>
      <w:tr>
        <w:trPr/>
        <w:tc>
          <w:tcPr>
            <w:tcW w:w="4202"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rPr/>
            </w:pPr>
            <w:r>
              <w:rPr/>
              <w:t> </w:t>
            </w:r>
          </w:p>
        </w:tc>
        <w:tc>
          <w:tcPr>
            <w:tcW w:w="511" w:type="dxa"/>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692"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c>
          <w:tcPr>
            <w:tcW w:w="631"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c>
          <w:tcPr>
            <w:tcW w:w="133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Partners Capital</w:t>
            </w:r>
          </w:p>
        </w:tc>
        <w:tc>
          <w:tcPr>
            <w:tcW w:w="131" w:type="dxa"/>
            <w:tcBorders/>
            <w:shd w:fill="auto" w:val="clear"/>
            <w:vAlign w:val="bottom"/>
          </w:tcPr>
          <w:p>
            <w:pPr>
              <w:pStyle w:val="TableContents"/>
              <w:spacing w:before="0" w:after="0"/>
              <w:ind w:left="0" w:right="0" w:hanging="0"/>
              <w:rPr/>
            </w:pPr>
            <w:r>
              <w:rPr/>
              <w:t> </w:t>
            </w:r>
          </w:p>
        </w:tc>
        <w:tc>
          <w:tcPr>
            <w:tcW w:w="1175"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691" w:type="dxa"/>
            <w:gridSpan w:val="2"/>
            <w:tcBorders/>
            <w:shd w:fill="auto" w:val="clear"/>
            <w:vAlign w:val="bottom"/>
          </w:tcPr>
          <w:p>
            <w:pPr>
              <w:pStyle w:val="TableContents"/>
              <w:spacing w:before="0" w:after="0"/>
              <w:ind w:left="0" w:right="0" w:hanging="0"/>
              <w:jc w:val="right"/>
              <w:rPr/>
            </w:pPr>
            <w:r>
              <w:rPr/>
              <w:t> </w:t>
            </w:r>
          </w:p>
        </w:tc>
        <w:tc>
          <w:tcPr>
            <w:tcW w:w="232" w:type="dxa"/>
            <w:tcBorders/>
            <w:shd w:fill="auto" w:val="clear"/>
            <w:vAlign w:val="bottom"/>
          </w:tcPr>
          <w:p>
            <w:pPr>
              <w:pStyle w:val="TableContents"/>
              <w:spacing w:before="0" w:after="0"/>
              <w:ind w:left="0" w:right="0" w:hanging="0"/>
              <w:rPr/>
            </w:pPr>
            <w:r>
              <w:rPr/>
              <w:t> </w:t>
            </w:r>
          </w:p>
        </w:tc>
      </w:tr>
      <w:tr>
        <w:trPr/>
        <w:tc>
          <w:tcPr>
            <w:tcW w:w="4202"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rPr/>
            </w:pPr>
            <w:r>
              <w:rPr/>
              <w:t> </w:t>
            </w:r>
          </w:p>
        </w:tc>
        <w:tc>
          <w:tcPr>
            <w:tcW w:w="511" w:type="dxa"/>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692"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c>
          <w:tcPr>
            <w:tcW w:w="631"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c>
          <w:tcPr>
            <w:tcW w:w="133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Excluding</w:t>
            </w:r>
          </w:p>
        </w:tc>
        <w:tc>
          <w:tcPr>
            <w:tcW w:w="131" w:type="dxa"/>
            <w:tcBorders/>
            <w:shd w:fill="auto" w:val="clear"/>
            <w:vAlign w:val="bottom"/>
          </w:tcPr>
          <w:p>
            <w:pPr>
              <w:pStyle w:val="TableContents"/>
              <w:spacing w:before="0" w:after="0"/>
              <w:ind w:left="0" w:right="0" w:hanging="0"/>
              <w:rPr/>
            </w:pPr>
            <w:r>
              <w:rPr/>
              <w:t> </w:t>
            </w:r>
          </w:p>
        </w:tc>
        <w:tc>
          <w:tcPr>
            <w:tcW w:w="1175"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691" w:type="dxa"/>
            <w:gridSpan w:val="2"/>
            <w:tcBorders/>
            <w:shd w:fill="auto" w:val="clear"/>
            <w:vAlign w:val="bottom"/>
          </w:tcPr>
          <w:p>
            <w:pPr>
              <w:pStyle w:val="TableContents"/>
              <w:spacing w:before="0" w:after="0"/>
              <w:ind w:left="0" w:right="0" w:hanging="0"/>
              <w:jc w:val="right"/>
              <w:rPr/>
            </w:pPr>
            <w:r>
              <w:rPr/>
              <w:t> </w:t>
            </w:r>
          </w:p>
        </w:tc>
        <w:tc>
          <w:tcPr>
            <w:tcW w:w="232" w:type="dxa"/>
            <w:tcBorders/>
            <w:shd w:fill="auto" w:val="clear"/>
            <w:vAlign w:val="bottom"/>
          </w:tcPr>
          <w:p>
            <w:pPr>
              <w:pStyle w:val="TableContents"/>
              <w:spacing w:before="0" w:after="0"/>
              <w:ind w:left="0" w:right="0" w:hanging="0"/>
              <w:rPr/>
            </w:pPr>
            <w:r>
              <w:rPr/>
              <w:t> </w:t>
            </w:r>
          </w:p>
        </w:tc>
      </w:tr>
      <w:tr>
        <w:trPr/>
        <w:tc>
          <w:tcPr>
            <w:tcW w:w="4202"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rPr/>
            </w:pPr>
            <w:r>
              <w:rPr/>
              <w:t> </w:t>
            </w:r>
          </w:p>
        </w:tc>
        <w:tc>
          <w:tcPr>
            <w:tcW w:w="1316"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 Units</w:t>
            </w:r>
          </w:p>
        </w:tc>
        <w:tc>
          <w:tcPr>
            <w:tcW w:w="131" w:type="dxa"/>
            <w:tcBorders/>
            <w:shd w:fill="auto" w:val="clear"/>
            <w:vAlign w:val="bottom"/>
          </w:tcPr>
          <w:p>
            <w:pPr>
              <w:pStyle w:val="TableContents"/>
              <w:spacing w:before="0" w:after="0"/>
              <w:ind w:left="0" w:right="0" w:hanging="0"/>
              <w:rPr/>
            </w:pPr>
            <w:r>
              <w:rPr/>
              <w:t> </w:t>
            </w:r>
          </w:p>
        </w:tc>
        <w:tc>
          <w:tcPr>
            <w:tcW w:w="63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w:t>
            </w:r>
          </w:p>
        </w:tc>
        <w:tc>
          <w:tcPr>
            <w:tcW w:w="131" w:type="dxa"/>
            <w:tcBorders/>
            <w:shd w:fill="auto" w:val="clear"/>
            <w:vAlign w:val="bottom"/>
          </w:tcPr>
          <w:p>
            <w:pPr>
              <w:pStyle w:val="TableContents"/>
              <w:spacing w:before="0" w:after="0"/>
              <w:ind w:left="0" w:right="0" w:hanging="0"/>
              <w:jc w:val="center"/>
              <w:rPr/>
            </w:pPr>
            <w:r>
              <w:rPr/>
              <w:t> </w:t>
            </w:r>
          </w:p>
        </w:tc>
        <w:tc>
          <w:tcPr>
            <w:tcW w:w="133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Noncontrolling</w:t>
            </w:r>
          </w:p>
        </w:tc>
        <w:tc>
          <w:tcPr>
            <w:tcW w:w="131" w:type="dxa"/>
            <w:tcBorders/>
            <w:shd w:fill="auto" w:val="clear"/>
            <w:vAlign w:val="bottom"/>
          </w:tcPr>
          <w:p>
            <w:pPr>
              <w:pStyle w:val="TableContents"/>
              <w:spacing w:before="0" w:after="0"/>
              <w:ind w:left="0" w:right="0" w:hanging="0"/>
              <w:jc w:val="center"/>
              <w:rPr/>
            </w:pPr>
            <w:r>
              <w:rPr/>
              <w:t> </w:t>
            </w:r>
          </w:p>
        </w:tc>
        <w:tc>
          <w:tcPr>
            <w:tcW w:w="117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Noncontrolling</w:t>
            </w:r>
          </w:p>
        </w:tc>
        <w:tc>
          <w:tcPr>
            <w:tcW w:w="113" w:type="dxa"/>
            <w:tcBorders/>
            <w:shd w:fill="auto" w:val="clear"/>
            <w:vAlign w:val="bottom"/>
          </w:tcPr>
          <w:p>
            <w:pPr>
              <w:pStyle w:val="TableContents"/>
              <w:spacing w:before="0" w:after="0"/>
              <w:ind w:left="0" w:right="0" w:hanging="0"/>
              <w:jc w:val="center"/>
              <w:rPr/>
            </w:pPr>
            <w:r>
              <w:rPr/>
              <w:t> </w:t>
            </w:r>
          </w:p>
        </w:tc>
        <w:tc>
          <w:tcPr>
            <w:tcW w:w="69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Partners</w:t>
            </w:r>
          </w:p>
        </w:tc>
        <w:tc>
          <w:tcPr>
            <w:tcW w:w="232" w:type="dxa"/>
            <w:tcBorders/>
            <w:shd w:fill="auto" w:val="clear"/>
            <w:vAlign w:val="bottom"/>
          </w:tcPr>
          <w:p>
            <w:pPr>
              <w:pStyle w:val="TableContents"/>
              <w:spacing w:before="0" w:after="0"/>
              <w:ind w:left="0" w:right="0" w:hanging="0"/>
              <w:rPr/>
            </w:pPr>
            <w:r>
              <w:rPr/>
              <w:t> </w:t>
            </w:r>
          </w:p>
        </w:tc>
      </w:tr>
      <w:tr>
        <w:trPr/>
        <w:tc>
          <w:tcPr>
            <w:tcW w:w="4202"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rPr/>
            </w:pPr>
            <w:r>
              <w:rPr/>
              <w:t> </w:t>
            </w:r>
          </w:p>
        </w:tc>
        <w:tc>
          <w:tcPr>
            <w:tcW w:w="51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13" w:type="dxa"/>
            <w:tcBorders/>
            <w:shd w:fill="auto" w:val="clear"/>
            <w:vAlign w:val="bottom"/>
          </w:tcPr>
          <w:p>
            <w:pPr>
              <w:pStyle w:val="TableContents"/>
              <w:spacing w:before="0" w:after="0"/>
              <w:ind w:left="0" w:right="0" w:hanging="0"/>
              <w:jc w:val="center"/>
              <w:rPr/>
            </w:pPr>
            <w:r>
              <w:rPr/>
              <w:t> </w:t>
            </w:r>
          </w:p>
        </w:tc>
        <w:tc>
          <w:tcPr>
            <w:tcW w:w="69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w:t>
            </w:r>
          </w:p>
        </w:tc>
        <w:tc>
          <w:tcPr>
            <w:tcW w:w="131" w:type="dxa"/>
            <w:tcBorders/>
            <w:shd w:fill="auto" w:val="clear"/>
            <w:vAlign w:val="bottom"/>
          </w:tcPr>
          <w:p>
            <w:pPr>
              <w:pStyle w:val="TableContents"/>
              <w:spacing w:before="0" w:after="0"/>
              <w:ind w:left="0" w:right="0" w:hanging="0"/>
              <w:jc w:val="center"/>
              <w:rPr/>
            </w:pPr>
            <w:r>
              <w:rPr/>
              <w:t> </w:t>
            </w:r>
          </w:p>
        </w:tc>
        <w:tc>
          <w:tcPr>
            <w:tcW w:w="63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w:t>
            </w:r>
          </w:p>
        </w:tc>
        <w:tc>
          <w:tcPr>
            <w:tcW w:w="131" w:type="dxa"/>
            <w:tcBorders/>
            <w:shd w:fill="auto" w:val="clear"/>
            <w:vAlign w:val="bottom"/>
          </w:tcPr>
          <w:p>
            <w:pPr>
              <w:pStyle w:val="TableContents"/>
              <w:spacing w:before="0" w:after="0"/>
              <w:ind w:left="0" w:right="0" w:hanging="0"/>
              <w:jc w:val="center"/>
              <w:rPr/>
            </w:pPr>
            <w:r>
              <w:rPr/>
              <w:t> </w:t>
            </w:r>
          </w:p>
        </w:tc>
        <w:tc>
          <w:tcPr>
            <w:tcW w:w="133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w:t>
            </w:r>
          </w:p>
        </w:tc>
        <w:tc>
          <w:tcPr>
            <w:tcW w:w="131" w:type="dxa"/>
            <w:tcBorders/>
            <w:shd w:fill="auto" w:val="clear"/>
            <w:vAlign w:val="bottom"/>
          </w:tcPr>
          <w:p>
            <w:pPr>
              <w:pStyle w:val="TableContents"/>
              <w:spacing w:before="0" w:after="0"/>
              <w:ind w:left="0" w:right="0" w:hanging="0"/>
              <w:jc w:val="center"/>
              <w:rPr/>
            </w:pPr>
            <w:r>
              <w:rPr/>
              <w:t> </w:t>
            </w:r>
          </w:p>
        </w:tc>
        <w:tc>
          <w:tcPr>
            <w:tcW w:w="117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w:t>
            </w:r>
          </w:p>
        </w:tc>
        <w:tc>
          <w:tcPr>
            <w:tcW w:w="113" w:type="dxa"/>
            <w:tcBorders/>
            <w:shd w:fill="auto" w:val="clear"/>
            <w:vAlign w:val="bottom"/>
          </w:tcPr>
          <w:p>
            <w:pPr>
              <w:pStyle w:val="TableContents"/>
              <w:spacing w:before="0" w:after="0"/>
              <w:ind w:left="0" w:right="0" w:hanging="0"/>
              <w:jc w:val="center"/>
              <w:rPr/>
            </w:pPr>
            <w:r>
              <w:rPr/>
              <w:t> </w:t>
            </w:r>
          </w:p>
        </w:tc>
        <w:tc>
          <w:tcPr>
            <w:tcW w:w="6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Capital</w:t>
            </w:r>
          </w:p>
        </w:tc>
        <w:tc>
          <w:tcPr>
            <w:tcW w:w="232" w:type="dxa"/>
            <w:tcBorders/>
            <w:shd w:fill="auto" w:val="clear"/>
            <w:vAlign w:val="bottom"/>
          </w:tcPr>
          <w:p>
            <w:pPr>
              <w:pStyle w:val="TableContents"/>
              <w:spacing w:before="0" w:after="0"/>
              <w:ind w:left="0" w:right="0" w:hanging="0"/>
              <w:rPr/>
            </w:pPr>
            <w:r>
              <w:rPr/>
              <w:t> </w:t>
            </w:r>
          </w:p>
        </w:tc>
      </w:tr>
      <w:tr>
        <w:trPr/>
        <w:tc>
          <w:tcPr>
            <w:tcW w:w="4202"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rPr/>
            </w:pPr>
            <w:r>
              <w:rPr/>
              <w:t> </w:t>
            </w:r>
          </w:p>
        </w:tc>
        <w:tc>
          <w:tcPr>
            <w:tcW w:w="5658" w:type="dxa"/>
            <w:gridSpan w:val="16"/>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232" w:type="dxa"/>
            <w:tcBorders/>
            <w:shd w:fill="auto" w:val="clear"/>
            <w:vAlign w:val="bottom"/>
          </w:tcPr>
          <w:p>
            <w:pPr>
              <w:pStyle w:val="TableContents"/>
              <w:spacing w:before="0" w:after="0"/>
              <w:ind w:left="0" w:right="0" w:hanging="0"/>
              <w:rPr/>
            </w:pPr>
            <w:r>
              <w:rPr/>
              <w:t> </w:t>
            </w:r>
          </w:p>
        </w:tc>
      </w:tr>
      <w:tr>
        <w:trPr/>
        <w:tc>
          <w:tcPr>
            <w:tcW w:w="4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December 31, 2009</w:t>
            </w:r>
          </w:p>
        </w:tc>
        <w:tc>
          <w:tcPr>
            <w:tcW w:w="113" w:type="dxa"/>
            <w:tcBorders/>
            <w:shd w:fill="CCEEFF" w:val="clear"/>
            <w:vAlign w:val="bottom"/>
          </w:tcPr>
          <w:p>
            <w:pPr>
              <w:pStyle w:val="TableContents"/>
              <w:spacing w:before="0" w:after="0"/>
              <w:ind w:left="0" w:right="0" w:hanging="0"/>
              <w:rPr/>
            </w:pPr>
            <w:r>
              <w:rPr/>
              <w:t> </w:t>
            </w:r>
          </w:p>
        </w:tc>
        <w:tc>
          <w:tcPr>
            <w:tcW w:w="51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13"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4,002</w:t>
            </w:r>
          </w:p>
        </w:tc>
        <w:tc>
          <w:tcPr>
            <w:tcW w:w="131" w:type="dxa"/>
            <w:tcBorders/>
            <w:shd w:fill="CCEEFF" w:val="clear"/>
            <w:vAlign w:val="bottom"/>
          </w:tcPr>
          <w:p>
            <w:pPr>
              <w:pStyle w:val="TableContents"/>
              <w:spacing w:before="0" w:after="0"/>
              <w:ind w:left="0" w:right="0" w:hanging="0"/>
              <w:rPr/>
            </w:pPr>
            <w:r>
              <w:rPr/>
              <w:t> </w:t>
            </w:r>
          </w:p>
        </w:tc>
        <w:tc>
          <w:tcPr>
            <w:tcW w:w="19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31" w:type="dxa"/>
            <w:tcBorders/>
            <w:shd w:fill="CCEEFF" w:val="clear"/>
            <w:vAlign w:val="bottom"/>
          </w:tcPr>
          <w:p>
            <w:pPr>
              <w:pStyle w:val="TableContents"/>
              <w:spacing w:before="0" w:after="0"/>
              <w:ind w:left="0" w:right="0" w:hanging="0"/>
              <w:rPr/>
            </w:pPr>
            <w:r>
              <w:rPr/>
              <w:t> </w:t>
            </w:r>
          </w:p>
        </w:tc>
        <w:tc>
          <w:tcPr>
            <w:tcW w:w="2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4,096</w:t>
            </w:r>
          </w:p>
        </w:tc>
        <w:tc>
          <w:tcPr>
            <w:tcW w:w="131" w:type="dxa"/>
            <w:tcBorders/>
            <w:shd w:fill="CCEEFF" w:val="clear"/>
            <w:vAlign w:val="bottom"/>
          </w:tcPr>
          <w:p>
            <w:pPr>
              <w:pStyle w:val="TableContents"/>
              <w:spacing w:before="0" w:after="0"/>
              <w:ind w:left="0" w:right="0" w:hanging="0"/>
              <w:rPr/>
            </w:pPr>
            <w:r>
              <w:rPr/>
              <w:t> </w:t>
            </w:r>
          </w:p>
        </w:tc>
        <w:tc>
          <w:tcPr>
            <w:tcW w:w="33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13" w:type="dxa"/>
            <w:tcBorders/>
            <w:shd w:fill="CCEEFF" w:val="clear"/>
            <w:vAlign w:val="bottom"/>
          </w:tcPr>
          <w:p>
            <w:pPr>
              <w:pStyle w:val="TableContents"/>
              <w:spacing w:before="0" w:after="0"/>
              <w:ind w:left="0" w:right="0" w:hanging="0"/>
              <w:rPr/>
            </w:pPr>
            <w:r>
              <w:rPr/>
              <w:t> </w:t>
            </w:r>
          </w:p>
        </w:tc>
        <w:tc>
          <w:tcPr>
            <w:tcW w:w="12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4,159</w:t>
            </w:r>
          </w:p>
        </w:tc>
        <w:tc>
          <w:tcPr>
            <w:tcW w:w="232" w:type="dxa"/>
            <w:tcBorders/>
            <w:shd w:fill="CCEEFF" w:val="clear"/>
            <w:vAlign w:val="bottom"/>
          </w:tcPr>
          <w:p>
            <w:pPr>
              <w:pStyle w:val="TableContents"/>
              <w:spacing w:before="0" w:after="0"/>
              <w:ind w:left="0" w:right="0" w:hanging="0"/>
              <w:rPr/>
            </w:pPr>
            <w:r>
              <w:rPr/>
              <w:t> </w:t>
            </w:r>
          </w:p>
        </w:tc>
      </w:tr>
      <w:tr>
        <w:trPr/>
        <w:tc>
          <w:tcPr>
            <w:tcW w:w="4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13" w:type="dxa"/>
            <w:tcBorders/>
            <w:shd w:fill="auto" w:val="clear"/>
            <w:vAlign w:val="bottom"/>
          </w:tcPr>
          <w:p>
            <w:pPr>
              <w:pStyle w:val="TableContents"/>
              <w:spacing w:before="0" w:after="0"/>
              <w:ind w:left="0" w:right="0" w:hanging="0"/>
              <w:rPr/>
            </w:pPr>
            <w:r>
              <w:rPr/>
              <w:t> </w:t>
            </w:r>
          </w:p>
        </w:tc>
        <w:tc>
          <w:tcPr>
            <w:tcW w:w="51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6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131" w:type="dxa"/>
            <w:tcBorders/>
            <w:shd w:fill="auto" w:val="clear"/>
            <w:vAlign w:val="bottom"/>
          </w:tcPr>
          <w:p>
            <w:pPr>
              <w:pStyle w:val="TableContents"/>
              <w:spacing w:before="0" w:after="0"/>
              <w:ind w:left="0" w:right="0" w:hanging="0"/>
              <w:rPr/>
            </w:pPr>
            <w:r>
              <w:rPr/>
              <w:t> </w:t>
            </w:r>
          </w:p>
        </w:tc>
        <w:tc>
          <w:tcPr>
            <w:tcW w:w="6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31" w:type="dxa"/>
            <w:tcBorders/>
            <w:shd w:fill="auto" w:val="clear"/>
            <w:vAlign w:val="bottom"/>
          </w:tcPr>
          <w:p>
            <w:pPr>
              <w:pStyle w:val="TableContents"/>
              <w:spacing w:before="0" w:after="0"/>
              <w:ind w:left="0" w:right="0" w:hanging="0"/>
              <w:rPr/>
            </w:pPr>
            <w:r>
              <w:rPr/>
              <w:t> </w:t>
            </w:r>
          </w:p>
        </w:tc>
        <w:tc>
          <w:tcPr>
            <w:tcW w:w="13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31" w:type="dxa"/>
            <w:tcBorders/>
            <w:shd w:fill="auto" w:val="clear"/>
            <w:vAlign w:val="bottom"/>
          </w:tcPr>
          <w:p>
            <w:pPr>
              <w:pStyle w:val="TableContents"/>
              <w:spacing w:before="0" w:after="0"/>
              <w:ind w:left="0" w:right="0" w:hanging="0"/>
              <w:rPr/>
            </w:pPr>
            <w:r>
              <w:rPr/>
              <w:t> </w:t>
            </w:r>
          </w:p>
        </w:tc>
        <w:tc>
          <w:tcPr>
            <w:tcW w:w="11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6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32" w:type="dxa"/>
            <w:tcBorders/>
            <w:shd w:fill="auto" w:val="clear"/>
            <w:vAlign w:val="bottom"/>
          </w:tcPr>
          <w:p>
            <w:pPr>
              <w:pStyle w:val="TableContents"/>
              <w:spacing w:before="0" w:after="0"/>
              <w:ind w:left="0" w:right="0" w:hanging="0"/>
              <w:rPr/>
            </w:pPr>
            <w:r>
              <w:rPr/>
              <w:t> </w:t>
            </w:r>
          </w:p>
        </w:tc>
      </w:tr>
      <w:tr>
        <w:trPr/>
        <w:tc>
          <w:tcPr>
            <w:tcW w:w="4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(Note 7)</w:t>
            </w:r>
          </w:p>
        </w:tc>
        <w:tc>
          <w:tcPr>
            <w:tcW w:w="113" w:type="dxa"/>
            <w:tcBorders/>
            <w:shd w:fill="CCEEFF" w:val="clear"/>
            <w:vAlign w:val="bottom"/>
          </w:tcPr>
          <w:p>
            <w:pPr>
              <w:pStyle w:val="TableContents"/>
              <w:spacing w:before="0" w:after="0"/>
              <w:ind w:left="0" w:right="0" w:hanging="0"/>
              <w:rPr/>
            </w:pPr>
            <w:r>
              <w:rPr/>
              <w:t> </w:t>
            </w:r>
          </w:p>
        </w:tc>
        <w:tc>
          <w:tcPr>
            <w:tcW w:w="5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6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6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Class B Units of Plains AAP, L.P. (Note 8)</w:t>
            </w:r>
          </w:p>
        </w:tc>
        <w:tc>
          <w:tcPr>
            <w:tcW w:w="113" w:type="dxa"/>
            <w:tcBorders/>
            <w:shd w:fill="auto" w:val="clear"/>
            <w:vAlign w:val="bottom"/>
          </w:tcPr>
          <w:p>
            <w:pPr>
              <w:pStyle w:val="TableContents"/>
              <w:spacing w:before="0" w:after="0"/>
              <w:ind w:left="0" w:right="0" w:hanging="0"/>
              <w:rPr/>
            </w:pPr>
            <w:r>
              <w:rPr/>
              <w:t> </w:t>
            </w:r>
          </w:p>
        </w:tc>
        <w:tc>
          <w:tcPr>
            <w:tcW w:w="51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6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1" w:type="dxa"/>
            <w:tcBorders/>
            <w:shd w:fill="auto" w:val="clear"/>
            <w:vAlign w:val="bottom"/>
          </w:tcPr>
          <w:p>
            <w:pPr>
              <w:pStyle w:val="TableContents"/>
              <w:spacing w:before="0" w:after="0"/>
              <w:ind w:left="0" w:right="0" w:hanging="0"/>
              <w:rPr/>
            </w:pPr>
            <w:r>
              <w:rPr/>
              <w:t> </w:t>
            </w:r>
          </w:p>
        </w:tc>
        <w:tc>
          <w:tcPr>
            <w:tcW w:w="6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1" w:type="dxa"/>
            <w:tcBorders/>
            <w:shd w:fill="auto" w:val="clear"/>
            <w:vAlign w:val="bottom"/>
          </w:tcPr>
          <w:p>
            <w:pPr>
              <w:pStyle w:val="TableContents"/>
              <w:spacing w:before="0" w:after="0"/>
              <w:ind w:left="0" w:right="0" w:hanging="0"/>
              <w:rPr/>
            </w:pPr>
            <w:r>
              <w:rPr/>
              <w:t> </w:t>
            </w:r>
          </w:p>
        </w:tc>
        <w:tc>
          <w:tcPr>
            <w:tcW w:w="13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1" w:type="dxa"/>
            <w:tcBorders/>
            <w:shd w:fill="auto" w:val="clear"/>
            <w:vAlign w:val="bottom"/>
          </w:tcPr>
          <w:p>
            <w:pPr>
              <w:pStyle w:val="TableContents"/>
              <w:spacing w:before="0" w:after="0"/>
              <w:ind w:left="0" w:right="0" w:hanging="0"/>
              <w:rPr/>
            </w:pPr>
            <w:r>
              <w:rPr/>
              <w:t> </w:t>
            </w:r>
          </w:p>
        </w:tc>
        <w:tc>
          <w:tcPr>
            <w:tcW w:w="11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6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2" w:type="dxa"/>
            <w:tcBorders/>
            <w:shd w:fill="auto" w:val="clear"/>
            <w:vAlign w:val="bottom"/>
          </w:tcPr>
          <w:p>
            <w:pPr>
              <w:pStyle w:val="TableContents"/>
              <w:spacing w:before="0" w:after="0"/>
              <w:ind w:left="0" w:right="0" w:hanging="0"/>
              <w:rPr/>
            </w:pPr>
            <w:r>
              <w:rPr/>
              <w:t> </w:t>
            </w:r>
          </w:p>
        </w:tc>
      </w:tr>
      <w:tr>
        <w:trPr/>
        <w:tc>
          <w:tcPr>
            <w:tcW w:w="4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under LTIP (Note 8)</w:t>
            </w:r>
          </w:p>
        </w:tc>
        <w:tc>
          <w:tcPr>
            <w:tcW w:w="113" w:type="dxa"/>
            <w:tcBorders/>
            <w:shd w:fill="CCEEFF" w:val="clear"/>
            <w:vAlign w:val="bottom"/>
          </w:tcPr>
          <w:p>
            <w:pPr>
              <w:pStyle w:val="TableContents"/>
              <w:spacing w:before="0" w:after="0"/>
              <w:ind w:left="0" w:right="0" w:hanging="0"/>
              <w:rPr/>
            </w:pPr>
            <w:r>
              <w:rPr/>
              <w:t> </w:t>
            </w:r>
          </w:p>
        </w:tc>
        <w:tc>
          <w:tcPr>
            <w:tcW w:w="5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6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1" w:type="dxa"/>
            <w:tcBorders/>
            <w:shd w:fill="CCEEFF" w:val="clear"/>
            <w:vAlign w:val="bottom"/>
          </w:tcPr>
          <w:p>
            <w:pPr>
              <w:pStyle w:val="TableContents"/>
              <w:spacing w:before="0" w:after="0"/>
              <w:ind w:left="0" w:right="0" w:hanging="0"/>
              <w:rPr/>
            </w:pPr>
            <w:r>
              <w:rPr/>
              <w:t> </w:t>
            </w:r>
          </w:p>
        </w:tc>
        <w:tc>
          <w:tcPr>
            <w:tcW w:w="6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1"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1" w:type="dxa"/>
            <w:tcBorders/>
            <w:shd w:fill="CCEEFF" w:val="clear"/>
            <w:vAlign w:val="bottom"/>
          </w:tcPr>
          <w:p>
            <w:pPr>
              <w:pStyle w:val="TableContents"/>
              <w:spacing w:before="0" w:after="0"/>
              <w:ind w:left="0" w:right="0" w:hanging="0"/>
              <w:rPr/>
            </w:pPr>
            <w:r>
              <w:rPr/>
              <w:t> </w:t>
            </w:r>
          </w:p>
        </w:tc>
        <w:tc>
          <w:tcPr>
            <w:tcW w:w="11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6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2" w:type="dxa"/>
            <w:tcBorders/>
            <w:shd w:fill="CCEEFF" w:val="clear"/>
            <w:vAlign w:val="bottom"/>
          </w:tcPr>
          <w:p>
            <w:pPr>
              <w:pStyle w:val="TableContents"/>
              <w:spacing w:before="0" w:after="0"/>
              <w:ind w:left="0" w:right="0" w:hanging="0"/>
              <w:rPr/>
            </w:pPr>
            <w:r>
              <w:rPr/>
              <w:t> </w:t>
            </w:r>
          </w:p>
        </w:tc>
      </w:tr>
      <w:tr>
        <w:trPr/>
        <w:tc>
          <w:tcPr>
            <w:tcW w:w="4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comprehensive income</w:t>
            </w:r>
          </w:p>
        </w:tc>
        <w:tc>
          <w:tcPr>
            <w:tcW w:w="113" w:type="dxa"/>
            <w:tcBorders/>
            <w:shd w:fill="auto" w:val="clear"/>
            <w:vAlign w:val="bottom"/>
          </w:tcPr>
          <w:p>
            <w:pPr>
              <w:pStyle w:val="TableContents"/>
              <w:spacing w:before="0" w:after="0"/>
              <w:ind w:left="0" w:right="0" w:hanging="0"/>
              <w:rPr/>
            </w:pPr>
            <w:r>
              <w:rPr/>
              <w:t> </w:t>
            </w:r>
          </w:p>
        </w:tc>
        <w:tc>
          <w:tcPr>
            <w:tcW w:w="51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6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31" w:type="dxa"/>
            <w:tcBorders/>
            <w:shd w:fill="auto" w:val="clear"/>
            <w:vAlign w:val="bottom"/>
          </w:tcPr>
          <w:p>
            <w:pPr>
              <w:pStyle w:val="TableContents"/>
              <w:spacing w:before="0" w:after="0"/>
              <w:ind w:left="0" w:right="0" w:hanging="0"/>
              <w:rPr/>
            </w:pPr>
            <w:r>
              <w:rPr/>
              <w:t> </w:t>
            </w:r>
          </w:p>
        </w:tc>
        <w:tc>
          <w:tcPr>
            <w:tcW w:w="63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1" w:type="dxa"/>
            <w:tcBorders/>
            <w:shd w:fill="auto" w:val="clear"/>
            <w:vAlign w:val="bottom"/>
          </w:tcPr>
          <w:p>
            <w:pPr>
              <w:pStyle w:val="TableContents"/>
              <w:spacing w:before="0" w:after="0"/>
              <w:ind w:left="0" w:right="0" w:hanging="0"/>
              <w:rPr/>
            </w:pPr>
            <w:r>
              <w:rPr/>
              <w:t> </w:t>
            </w:r>
          </w:p>
        </w:tc>
        <w:tc>
          <w:tcPr>
            <w:tcW w:w="13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31" w:type="dxa"/>
            <w:tcBorders/>
            <w:shd w:fill="auto" w:val="clear"/>
            <w:vAlign w:val="bottom"/>
          </w:tcPr>
          <w:p>
            <w:pPr>
              <w:pStyle w:val="TableContents"/>
              <w:spacing w:before="0" w:after="0"/>
              <w:ind w:left="0" w:right="0" w:hanging="0"/>
              <w:rPr/>
            </w:pPr>
            <w:r>
              <w:rPr/>
              <w:t> </w:t>
            </w:r>
          </w:p>
        </w:tc>
        <w:tc>
          <w:tcPr>
            <w:tcW w:w="11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6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32" w:type="dxa"/>
            <w:tcBorders/>
            <w:shd w:fill="auto" w:val="clear"/>
            <w:vAlign w:val="bottom"/>
          </w:tcPr>
          <w:p>
            <w:pPr>
              <w:pStyle w:val="TableContents"/>
              <w:spacing w:before="0" w:after="0"/>
              <w:ind w:left="0" w:right="0" w:hanging="0"/>
              <w:rPr/>
            </w:pPr>
            <w:r>
              <w:rPr/>
              <w:t> </w:t>
            </w:r>
          </w:p>
        </w:tc>
      </w:tr>
      <w:tr>
        <w:trPr/>
        <w:tc>
          <w:tcPr>
            <w:tcW w:w="4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March 31, 2010</w:t>
            </w:r>
          </w:p>
        </w:tc>
        <w:tc>
          <w:tcPr>
            <w:tcW w:w="113" w:type="dxa"/>
            <w:tcBorders/>
            <w:shd w:fill="CCEEFF" w:val="clear"/>
            <w:vAlign w:val="bottom"/>
          </w:tcPr>
          <w:p>
            <w:pPr>
              <w:pStyle w:val="TableContents"/>
              <w:spacing w:before="0" w:after="0"/>
              <w:ind w:left="0" w:right="0" w:hanging="0"/>
              <w:rPr/>
            </w:pPr>
            <w:r>
              <w:rPr/>
              <w:t> </w:t>
            </w:r>
          </w:p>
        </w:tc>
        <w:tc>
          <w:tcPr>
            <w:tcW w:w="51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136</w:t>
            </w:r>
          </w:p>
        </w:tc>
        <w:tc>
          <w:tcPr>
            <w:tcW w:w="113"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4,051</w:t>
            </w:r>
          </w:p>
        </w:tc>
        <w:tc>
          <w:tcPr>
            <w:tcW w:w="131" w:type="dxa"/>
            <w:tcBorders/>
            <w:shd w:fill="CCEEFF" w:val="clear"/>
            <w:vAlign w:val="bottom"/>
          </w:tcPr>
          <w:p>
            <w:pPr>
              <w:pStyle w:val="TableContents"/>
              <w:spacing w:before="0" w:after="0"/>
              <w:ind w:left="0" w:right="0" w:hanging="0"/>
              <w:rPr/>
            </w:pPr>
            <w:r>
              <w:rPr/>
              <w:t> </w:t>
            </w:r>
          </w:p>
        </w:tc>
        <w:tc>
          <w:tcPr>
            <w:tcW w:w="19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44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95</w:t>
            </w:r>
          </w:p>
        </w:tc>
        <w:tc>
          <w:tcPr>
            <w:tcW w:w="131" w:type="dxa"/>
            <w:tcBorders/>
            <w:shd w:fill="CCEEFF" w:val="clear"/>
            <w:vAlign w:val="bottom"/>
          </w:tcPr>
          <w:p>
            <w:pPr>
              <w:pStyle w:val="TableContents"/>
              <w:spacing w:before="0" w:after="0"/>
              <w:ind w:left="0" w:right="0" w:hanging="0"/>
              <w:rPr/>
            </w:pPr>
            <w:r>
              <w:rPr/>
              <w:t> </w:t>
            </w:r>
          </w:p>
        </w:tc>
        <w:tc>
          <w:tcPr>
            <w:tcW w:w="2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0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4,146</w:t>
            </w:r>
          </w:p>
        </w:tc>
        <w:tc>
          <w:tcPr>
            <w:tcW w:w="131" w:type="dxa"/>
            <w:tcBorders/>
            <w:shd w:fill="CCEEFF" w:val="clear"/>
            <w:vAlign w:val="bottom"/>
          </w:tcPr>
          <w:p>
            <w:pPr>
              <w:pStyle w:val="TableContents"/>
              <w:spacing w:before="0" w:after="0"/>
              <w:ind w:left="0" w:right="0" w:hanging="0"/>
              <w:rPr/>
            </w:pPr>
            <w:r>
              <w:rPr/>
              <w:t> </w:t>
            </w:r>
          </w:p>
        </w:tc>
        <w:tc>
          <w:tcPr>
            <w:tcW w:w="33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4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63</w:t>
            </w:r>
          </w:p>
        </w:tc>
        <w:tc>
          <w:tcPr>
            <w:tcW w:w="113" w:type="dxa"/>
            <w:tcBorders/>
            <w:shd w:fill="CCEEFF" w:val="clear"/>
            <w:vAlign w:val="bottom"/>
          </w:tcPr>
          <w:p>
            <w:pPr>
              <w:pStyle w:val="TableContents"/>
              <w:spacing w:before="0" w:after="0"/>
              <w:ind w:left="0" w:right="0" w:hanging="0"/>
              <w:rPr/>
            </w:pPr>
            <w:r>
              <w:rPr/>
              <w:t> </w:t>
            </w:r>
          </w:p>
        </w:tc>
        <w:tc>
          <w:tcPr>
            <w:tcW w:w="12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4,209</w:t>
            </w:r>
          </w:p>
        </w:tc>
        <w:tc>
          <w:tcPr>
            <w:tcW w:w="23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COMPREHENSIVE INCOME</w:t>
      </w:r>
      <w:bookmarkStart w:id="13" w:name="CondensedConsolidatedStatementsOf_145056"/>
      <w:bookmarkEnd w:id="13"/>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339"/>
        <w:gridCol w:w="211"/>
        <w:gridCol w:w="110"/>
        <w:gridCol w:w="1056"/>
        <w:gridCol w:w="211"/>
        <w:gridCol w:w="110"/>
        <w:gridCol w:w="1056"/>
        <w:gridCol w:w="112"/>
      </w:tblGrid>
      <w:tr>
        <w:trPr/>
        <w:tc>
          <w:tcPr>
            <w:tcW w:w="733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4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12" w:type="dxa"/>
            <w:tcBorders/>
            <w:shd w:fill="auto" w:val="clear"/>
            <w:vAlign w:val="bottom"/>
          </w:tcPr>
          <w:p>
            <w:pPr>
              <w:pStyle w:val="TableContents"/>
              <w:spacing w:before="0" w:after="0"/>
              <w:ind w:left="0" w:right="0" w:hanging="0"/>
              <w:jc w:val="center"/>
              <w:rPr/>
            </w:pPr>
            <w:r>
              <w:rPr/>
              <w:t> </w:t>
            </w:r>
          </w:p>
        </w:tc>
      </w:tr>
      <w:tr>
        <w:trPr/>
        <w:tc>
          <w:tcPr>
            <w:tcW w:w="733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4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12" w:type="dxa"/>
            <w:tcBorders/>
            <w:shd w:fill="auto" w:val="clear"/>
            <w:vAlign w:val="bottom"/>
          </w:tcPr>
          <w:p>
            <w:pPr>
              <w:pStyle w:val="TableContents"/>
              <w:spacing w:before="0" w:after="0"/>
              <w:ind w:left="0" w:right="0" w:hanging="0"/>
              <w:jc w:val="center"/>
              <w:rPr/>
            </w:pPr>
            <w:r>
              <w:rPr/>
              <w:t> </w:t>
            </w:r>
          </w:p>
        </w:tc>
      </w:tr>
      <w:tr>
        <w:trPr/>
        <w:tc>
          <w:tcPr>
            <w:tcW w:w="733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1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1" w:type="dxa"/>
            <w:tcBorders/>
            <w:shd w:fill="auto" w:val="clear"/>
            <w:vAlign w:val="bottom"/>
          </w:tcPr>
          <w:p>
            <w:pPr>
              <w:pStyle w:val="TableContents"/>
              <w:spacing w:before="0" w:after="0"/>
              <w:ind w:left="0" w:right="0" w:hanging="0"/>
              <w:jc w:val="center"/>
              <w:rPr/>
            </w:pPr>
            <w:r>
              <w:rPr/>
              <w:t> </w:t>
            </w:r>
          </w:p>
        </w:tc>
        <w:tc>
          <w:tcPr>
            <w:tcW w:w="11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12" w:type="dxa"/>
            <w:tcBorders/>
            <w:shd w:fill="auto" w:val="clear"/>
            <w:vAlign w:val="bottom"/>
          </w:tcPr>
          <w:p>
            <w:pPr>
              <w:pStyle w:val="TableContents"/>
              <w:spacing w:before="0" w:after="0"/>
              <w:ind w:left="0" w:right="0" w:hanging="0"/>
              <w:jc w:val="center"/>
              <w:rPr/>
            </w:pPr>
            <w:r>
              <w:rPr/>
              <w:t> </w:t>
            </w:r>
          </w:p>
        </w:tc>
      </w:tr>
      <w:tr>
        <w:trPr/>
        <w:tc>
          <w:tcPr>
            <w:tcW w:w="733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4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12" w:type="dxa"/>
            <w:tcBorders/>
            <w:shd w:fill="auto" w:val="clear"/>
            <w:vAlign w:val="bottom"/>
          </w:tcPr>
          <w:p>
            <w:pPr>
              <w:pStyle w:val="TableContents"/>
              <w:spacing w:before="0" w:after="0"/>
              <w:ind w:left="0" w:right="0" w:hanging="0"/>
              <w:jc w:val="center"/>
              <w:rPr/>
            </w:pPr>
            <w:r>
              <w:rPr/>
              <w:t> </w:t>
            </w:r>
          </w:p>
        </w:tc>
      </w:tr>
      <w:tr>
        <w:trPr/>
        <w:tc>
          <w:tcPr>
            <w:tcW w:w="73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1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12" w:type="dxa"/>
            <w:tcBorders/>
            <w:shd w:fill="CCEEFF" w:val="clear"/>
            <w:vAlign w:val="bottom"/>
          </w:tcPr>
          <w:p>
            <w:pPr>
              <w:pStyle w:val="TableContents"/>
              <w:spacing w:before="0" w:after="0"/>
              <w:ind w:left="0" w:right="0" w:hanging="0"/>
              <w:rPr/>
            </w:pPr>
            <w:r>
              <w:rPr/>
              <w:t> </w:t>
            </w:r>
          </w:p>
        </w:tc>
      </w:tr>
      <w:tr>
        <w:trPr/>
        <w:tc>
          <w:tcPr>
            <w:tcW w:w="7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comprehensive income/(loss)</w:t>
            </w:r>
          </w:p>
        </w:tc>
        <w:tc>
          <w:tcPr>
            <w:tcW w:w="211" w:type="dxa"/>
            <w:tcBorders/>
            <w:shd w:fill="auto" w:val="clear"/>
            <w:vAlign w:val="bottom"/>
          </w:tcPr>
          <w:p>
            <w:pPr>
              <w:pStyle w:val="TableContents"/>
              <w:spacing w:before="0" w:after="0"/>
              <w:ind w:left="0" w:right="0" w:hanging="0"/>
              <w:rPr/>
            </w:pPr>
            <w:r>
              <w:rPr/>
              <w:t> </w:t>
            </w:r>
          </w:p>
        </w:tc>
        <w:tc>
          <w:tcPr>
            <w:tcW w:w="11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1" w:type="dxa"/>
            <w:tcBorders/>
            <w:shd w:fill="auto" w:val="clear"/>
            <w:vAlign w:val="bottom"/>
          </w:tcPr>
          <w:p>
            <w:pPr>
              <w:pStyle w:val="TableContents"/>
              <w:spacing w:before="0" w:after="0"/>
              <w:ind w:left="0" w:right="0" w:hanging="0"/>
              <w:rPr/>
            </w:pPr>
            <w:r>
              <w:rPr/>
              <w:t> </w:t>
            </w:r>
          </w:p>
        </w:tc>
        <w:tc>
          <w:tcPr>
            <w:tcW w:w="11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Comprehensive income</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1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 OF</w:t>
      </w:r>
    </w:p>
    <w:p>
      <w:pPr>
        <w:pStyle w:val="TextBody"/>
        <w:spacing w:before="0" w:after="0"/>
        <w:ind w:left="0" w:right="0" w:hanging="0"/>
        <w:jc w:val="center"/>
        <w:rPr>
          <w:rFonts w:ascii="Times New Roman" w:hAnsi="Times New Roman"/>
          <w:b/>
          <w:sz w:val="17"/>
        </w:rPr>
      </w:pPr>
      <w:r>
        <w:rPr>
          <w:rFonts w:ascii="Times New Roman" w:hAnsi="Times New Roman"/>
          <w:b/>
          <w:sz w:val="17"/>
        </w:rPr>
        <w:t>CHANGES IN ACCUMULATED OTHER COMPREHENSIVE INCOME</w:t>
      </w:r>
      <w:bookmarkStart w:id="14" w:name="ChangesInAccumulatedOtherComprehe_145058"/>
      <w:bookmarkEnd w:id="14"/>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82"/>
        <w:gridCol w:w="204"/>
        <w:gridCol w:w="261"/>
        <w:gridCol w:w="1144"/>
        <w:gridCol w:w="217"/>
        <w:gridCol w:w="224"/>
        <w:gridCol w:w="1192"/>
        <w:gridCol w:w="204"/>
        <w:gridCol w:w="180"/>
        <w:gridCol w:w="966"/>
        <w:gridCol w:w="217"/>
        <w:gridCol w:w="157"/>
        <w:gridCol w:w="1013"/>
        <w:gridCol w:w="144"/>
      </w:tblGrid>
      <w:tr>
        <w:trPr/>
        <w:tc>
          <w:tcPr>
            <w:tcW w:w="4082"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140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217" w:type="dxa"/>
            <w:tcBorders/>
            <w:shd w:fill="auto" w:val="clear"/>
            <w:vAlign w:val="bottom"/>
          </w:tcPr>
          <w:p>
            <w:pPr>
              <w:pStyle w:val="TableContents"/>
              <w:spacing w:before="0" w:after="0"/>
              <w:ind w:left="0" w:right="0" w:hanging="0"/>
              <w:jc w:val="center"/>
              <w:rPr/>
            </w:pPr>
            <w:r>
              <w:rPr/>
              <w:t> </w:t>
            </w:r>
          </w:p>
        </w:tc>
        <w:tc>
          <w:tcPr>
            <w:tcW w:w="141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Translation</w:t>
            </w:r>
          </w:p>
        </w:tc>
        <w:tc>
          <w:tcPr>
            <w:tcW w:w="204" w:type="dxa"/>
            <w:tcBorders/>
            <w:shd w:fill="auto" w:val="clear"/>
            <w:vAlign w:val="bottom"/>
          </w:tcPr>
          <w:p>
            <w:pPr>
              <w:pStyle w:val="TableContents"/>
              <w:spacing w:before="0" w:after="0"/>
              <w:ind w:left="0" w:right="0" w:hanging="0"/>
              <w:jc w:val="center"/>
              <w:rPr/>
            </w:pPr>
            <w:r>
              <w:rPr/>
              <w:t> </w:t>
            </w:r>
          </w:p>
        </w:tc>
        <w:tc>
          <w:tcPr>
            <w:tcW w:w="1146" w:type="dxa"/>
            <w:gridSpan w:val="2"/>
            <w:tcBorders/>
            <w:shd w:fill="auto" w:val="clear"/>
            <w:vAlign w:val="bottom"/>
          </w:tcPr>
          <w:p>
            <w:pPr>
              <w:pStyle w:val="TableContents"/>
              <w:spacing w:before="0" w:after="0"/>
              <w:ind w:left="0" w:right="0" w:hanging="0"/>
              <w:jc w:val="center"/>
              <w:rPr/>
            </w:pPr>
            <w:r>
              <w:rPr/>
              <w:t> </w:t>
            </w:r>
          </w:p>
        </w:tc>
        <w:tc>
          <w:tcPr>
            <w:tcW w:w="217" w:type="dxa"/>
            <w:tcBorders/>
            <w:shd w:fill="auto" w:val="clear"/>
            <w:vAlign w:val="bottom"/>
          </w:tcPr>
          <w:p>
            <w:pPr>
              <w:pStyle w:val="TableContents"/>
              <w:spacing w:before="0" w:after="0"/>
              <w:ind w:left="0" w:right="0" w:hanging="0"/>
              <w:jc w:val="center"/>
              <w:rPr/>
            </w:pPr>
            <w:r>
              <w:rPr/>
              <w:t> </w:t>
            </w:r>
          </w:p>
        </w:tc>
        <w:tc>
          <w:tcPr>
            <w:tcW w:w="1170" w:type="dxa"/>
            <w:gridSpan w:val="2"/>
            <w:tcBorders/>
            <w:shd w:fill="auto" w:val="clear"/>
            <w:vAlign w:val="bottom"/>
          </w:tcPr>
          <w:p>
            <w:pPr>
              <w:pStyle w:val="TableContents"/>
              <w:spacing w:before="0" w:after="0"/>
              <w:ind w:left="0" w:right="0" w:hanging="0"/>
              <w:jc w:val="center"/>
              <w:rPr/>
            </w:pPr>
            <w:r>
              <w:rPr/>
              <w:t> </w:t>
            </w:r>
          </w:p>
        </w:tc>
        <w:tc>
          <w:tcPr>
            <w:tcW w:w="144" w:type="dxa"/>
            <w:tcBorders/>
            <w:shd w:fill="auto" w:val="clear"/>
            <w:vAlign w:val="bottom"/>
          </w:tcPr>
          <w:p>
            <w:pPr>
              <w:pStyle w:val="TableContents"/>
              <w:spacing w:before="0" w:after="0"/>
              <w:ind w:left="0" w:right="0" w:hanging="0"/>
              <w:jc w:val="center"/>
              <w:rPr/>
            </w:pPr>
            <w:r>
              <w:rPr/>
              <w:t> </w:t>
            </w:r>
          </w:p>
        </w:tc>
      </w:tr>
      <w:tr>
        <w:trPr/>
        <w:tc>
          <w:tcPr>
            <w:tcW w:w="4082"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14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Instruments</w:t>
            </w:r>
          </w:p>
        </w:tc>
        <w:tc>
          <w:tcPr>
            <w:tcW w:w="217" w:type="dxa"/>
            <w:tcBorders/>
            <w:shd w:fill="auto" w:val="clear"/>
            <w:vAlign w:val="bottom"/>
          </w:tcPr>
          <w:p>
            <w:pPr>
              <w:pStyle w:val="TableContents"/>
              <w:spacing w:before="0" w:after="0"/>
              <w:ind w:left="0" w:right="0" w:hanging="0"/>
              <w:jc w:val="center"/>
              <w:rPr/>
            </w:pPr>
            <w:r>
              <w:rPr/>
              <w:t> </w:t>
            </w:r>
          </w:p>
        </w:tc>
        <w:tc>
          <w:tcPr>
            <w:tcW w:w="141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Adjustments</w:t>
            </w:r>
          </w:p>
        </w:tc>
        <w:tc>
          <w:tcPr>
            <w:tcW w:w="204" w:type="dxa"/>
            <w:tcBorders/>
            <w:shd w:fill="auto" w:val="clear"/>
            <w:vAlign w:val="bottom"/>
          </w:tcPr>
          <w:p>
            <w:pPr>
              <w:pStyle w:val="TableContents"/>
              <w:spacing w:before="0" w:after="0"/>
              <w:ind w:left="0" w:right="0" w:hanging="0"/>
              <w:jc w:val="center"/>
              <w:rPr/>
            </w:pPr>
            <w:r>
              <w:rPr/>
              <w:t> </w:t>
            </w:r>
          </w:p>
        </w:tc>
        <w:tc>
          <w:tcPr>
            <w:tcW w:w="114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Other</w:t>
            </w:r>
          </w:p>
        </w:tc>
        <w:tc>
          <w:tcPr>
            <w:tcW w:w="217" w:type="dxa"/>
            <w:tcBorders/>
            <w:shd w:fill="auto" w:val="clear"/>
            <w:vAlign w:val="bottom"/>
          </w:tcPr>
          <w:p>
            <w:pPr>
              <w:pStyle w:val="TableContents"/>
              <w:spacing w:before="0" w:after="0"/>
              <w:ind w:left="0" w:right="0" w:hanging="0"/>
              <w:jc w:val="center"/>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44" w:type="dxa"/>
            <w:tcBorders/>
            <w:shd w:fill="auto" w:val="clear"/>
            <w:vAlign w:val="bottom"/>
          </w:tcPr>
          <w:p>
            <w:pPr>
              <w:pStyle w:val="TableContents"/>
              <w:spacing w:before="0" w:after="0"/>
              <w:ind w:left="0" w:right="0" w:hanging="0"/>
              <w:jc w:val="center"/>
              <w:rPr/>
            </w:pPr>
            <w:r>
              <w:rPr/>
              <w:t> </w:t>
            </w:r>
          </w:p>
        </w:tc>
      </w:tr>
      <w:tr>
        <w:trPr/>
        <w:tc>
          <w:tcPr>
            <w:tcW w:w="4082"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5775" w:type="dxa"/>
            <w:gridSpan w:val="11"/>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44" w:type="dxa"/>
            <w:tcBorders/>
            <w:shd w:fill="auto" w:val="clear"/>
            <w:vAlign w:val="bottom"/>
          </w:tcPr>
          <w:p>
            <w:pPr>
              <w:pStyle w:val="TableContents"/>
              <w:spacing w:before="0" w:after="0"/>
              <w:ind w:left="0" w:right="0" w:hanging="0"/>
              <w:jc w:val="center"/>
              <w:rPr/>
            </w:pPr>
            <w:r>
              <w:rPr/>
              <w:t> </w:t>
            </w:r>
          </w:p>
        </w:tc>
      </w:tr>
      <w:tr>
        <w:trPr/>
        <w:tc>
          <w:tcPr>
            <w:tcW w:w="40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December 31, 2009</w:t>
            </w:r>
          </w:p>
        </w:tc>
        <w:tc>
          <w:tcPr>
            <w:tcW w:w="204" w:type="dxa"/>
            <w:tcBorders/>
            <w:shd w:fill="CCEEFF" w:val="clear"/>
            <w:vAlign w:val="bottom"/>
          </w:tcPr>
          <w:p>
            <w:pPr>
              <w:pStyle w:val="TableContents"/>
              <w:spacing w:before="0" w:after="0"/>
              <w:ind w:left="0" w:right="0" w:hanging="0"/>
              <w:rPr/>
            </w:pPr>
            <w:r>
              <w:rPr/>
              <w:t> </w:t>
            </w:r>
          </w:p>
        </w:tc>
        <w:tc>
          <w:tcPr>
            <w:tcW w:w="2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7" w:type="dxa"/>
            <w:tcBorders/>
            <w:shd w:fill="CCEEFF" w:val="clear"/>
            <w:vAlign w:val="bottom"/>
          </w:tcPr>
          <w:p>
            <w:pPr>
              <w:pStyle w:val="TableContents"/>
              <w:spacing w:before="0" w:after="0"/>
              <w:ind w:left="0" w:right="0" w:hanging="0"/>
              <w:rPr/>
            </w:pPr>
            <w:r>
              <w:rPr/>
              <w:t> </w:t>
            </w:r>
          </w:p>
        </w:tc>
        <w:tc>
          <w:tcPr>
            <w:tcW w:w="2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04"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144" w:type="dxa"/>
            <w:tcBorders/>
            <w:shd w:fill="CCEEFF" w:val="clear"/>
            <w:vAlign w:val="bottom"/>
          </w:tcPr>
          <w:p>
            <w:pPr>
              <w:pStyle w:val="TableContents"/>
              <w:spacing w:before="0" w:after="0"/>
              <w:ind w:left="0" w:right="0" w:hanging="0"/>
              <w:rPr/>
            </w:pPr>
            <w:r>
              <w:rPr/>
              <w:t> </w:t>
            </w:r>
          </w:p>
        </w:tc>
      </w:tr>
      <w:tr>
        <w:trPr/>
        <w:tc>
          <w:tcPr>
            <w:tcW w:w="40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Reclassification adjustments</w:t>
            </w:r>
          </w:p>
        </w:tc>
        <w:tc>
          <w:tcPr>
            <w:tcW w:w="204" w:type="dxa"/>
            <w:tcBorders/>
            <w:shd w:fill="auto" w:val="clear"/>
            <w:vAlign w:val="bottom"/>
          </w:tcPr>
          <w:p>
            <w:pPr>
              <w:pStyle w:val="TableContents"/>
              <w:spacing w:before="0" w:after="0"/>
              <w:ind w:left="0" w:right="0" w:hanging="0"/>
              <w:rPr/>
            </w:pPr>
            <w:r>
              <w:rPr/>
              <w:t> </w:t>
            </w:r>
          </w:p>
        </w:tc>
        <w:tc>
          <w:tcPr>
            <w:tcW w:w="14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7" w:type="dxa"/>
            <w:tcBorders/>
            <w:shd w:fill="auto" w:val="clear"/>
            <w:vAlign w:val="bottom"/>
          </w:tcPr>
          <w:p>
            <w:pPr>
              <w:pStyle w:val="TableContents"/>
              <w:spacing w:before="0" w:after="0"/>
              <w:ind w:left="0" w:right="0" w:hanging="0"/>
              <w:rPr/>
            </w:pPr>
            <w:r>
              <w:rPr/>
              <w:t> </w:t>
            </w:r>
          </w:p>
        </w:tc>
        <w:tc>
          <w:tcPr>
            <w:tcW w:w="14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auto" w:val="clear"/>
            <w:vAlign w:val="bottom"/>
          </w:tcPr>
          <w:p>
            <w:pPr>
              <w:pStyle w:val="TableContents"/>
              <w:spacing w:before="0" w:after="0"/>
              <w:ind w:left="0" w:right="0" w:hanging="0"/>
              <w:rPr/>
            </w:pPr>
            <w:r>
              <w:rPr/>
              <w:t> </w:t>
            </w:r>
          </w:p>
        </w:tc>
        <w:tc>
          <w:tcPr>
            <w:tcW w:w="11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44" w:type="dxa"/>
            <w:tcBorders/>
            <w:shd w:fill="auto" w:val="clear"/>
            <w:vAlign w:val="bottom"/>
          </w:tcPr>
          <w:p>
            <w:pPr>
              <w:pStyle w:val="TableContents"/>
              <w:spacing w:before="0" w:after="0"/>
              <w:ind w:left="0" w:right="0" w:hanging="0"/>
              <w:rPr/>
            </w:pPr>
            <w:r>
              <w:rPr/>
              <w:t> </w:t>
            </w:r>
          </w:p>
        </w:tc>
      </w:tr>
      <w:tr>
        <w:trPr/>
        <w:tc>
          <w:tcPr>
            <w:tcW w:w="40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deferred loss on cash flow hedges</w:t>
            </w:r>
          </w:p>
        </w:tc>
        <w:tc>
          <w:tcPr>
            <w:tcW w:w="204" w:type="dxa"/>
            <w:tcBorders/>
            <w:shd w:fill="CCEEFF" w:val="clear"/>
            <w:vAlign w:val="bottom"/>
          </w:tcPr>
          <w:p>
            <w:pPr>
              <w:pStyle w:val="TableContents"/>
              <w:spacing w:before="0" w:after="0"/>
              <w:ind w:left="0" w:right="0" w:hanging="0"/>
              <w:rPr/>
            </w:pPr>
            <w:r>
              <w:rPr/>
              <w:t> </w:t>
            </w:r>
          </w:p>
        </w:tc>
        <w:tc>
          <w:tcPr>
            <w:tcW w:w="14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vAlign w:val="bottom"/>
          </w:tcPr>
          <w:p>
            <w:pPr>
              <w:pStyle w:val="TableContents"/>
              <w:spacing w:before="0" w:after="0"/>
              <w:ind w:left="0" w:right="0" w:hanging="0"/>
              <w:rPr/>
            </w:pPr>
            <w:r>
              <w:rPr/>
              <w:t> </w:t>
            </w:r>
          </w:p>
        </w:tc>
        <w:tc>
          <w:tcPr>
            <w:tcW w:w="11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0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Currency translation adjustment</w:t>
            </w:r>
          </w:p>
        </w:tc>
        <w:tc>
          <w:tcPr>
            <w:tcW w:w="204" w:type="dxa"/>
            <w:tcBorders/>
            <w:shd w:fill="auto" w:val="clear"/>
            <w:vAlign w:val="bottom"/>
          </w:tcPr>
          <w:p>
            <w:pPr>
              <w:pStyle w:val="TableContents"/>
              <w:spacing w:before="0" w:after="0"/>
              <w:ind w:left="0" w:right="0" w:hanging="0"/>
              <w:rPr/>
            </w:pPr>
            <w:r>
              <w:rPr/>
              <w:t> </w:t>
            </w:r>
          </w:p>
        </w:tc>
        <w:tc>
          <w:tcPr>
            <w:tcW w:w="14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4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04" w:type="dxa"/>
            <w:tcBorders/>
            <w:shd w:fill="auto" w:val="clear"/>
            <w:vAlign w:val="bottom"/>
          </w:tcPr>
          <w:p>
            <w:pPr>
              <w:pStyle w:val="TableContents"/>
              <w:spacing w:before="0" w:after="0"/>
              <w:ind w:left="0" w:right="0" w:hanging="0"/>
              <w:rPr/>
            </w:pPr>
            <w:r>
              <w:rPr/>
              <w:t> </w:t>
            </w:r>
          </w:p>
        </w:tc>
        <w:tc>
          <w:tcPr>
            <w:tcW w:w="11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44" w:type="dxa"/>
            <w:tcBorders/>
            <w:shd w:fill="auto" w:val="clear"/>
            <w:vAlign w:val="bottom"/>
          </w:tcPr>
          <w:p>
            <w:pPr>
              <w:pStyle w:val="TableContents"/>
              <w:spacing w:before="0" w:after="0"/>
              <w:ind w:left="0" w:right="0" w:hanging="0"/>
              <w:rPr/>
            </w:pPr>
            <w:r>
              <w:rPr/>
              <w:t> </w:t>
            </w:r>
          </w:p>
        </w:tc>
      </w:tr>
      <w:tr>
        <w:trPr/>
        <w:tc>
          <w:tcPr>
            <w:tcW w:w="40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period activity</w:t>
            </w:r>
          </w:p>
        </w:tc>
        <w:tc>
          <w:tcPr>
            <w:tcW w:w="204" w:type="dxa"/>
            <w:tcBorders/>
            <w:shd w:fill="CCEEFF" w:val="clear"/>
            <w:vAlign w:val="bottom"/>
          </w:tcPr>
          <w:p>
            <w:pPr>
              <w:pStyle w:val="TableContents"/>
              <w:spacing w:before="0" w:after="0"/>
              <w:ind w:left="0" w:right="0" w:hanging="0"/>
              <w:rPr/>
            </w:pPr>
            <w:r>
              <w:rPr/>
              <w:t> </w:t>
            </w:r>
          </w:p>
        </w:tc>
        <w:tc>
          <w:tcPr>
            <w:tcW w:w="14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7" w:type="dxa"/>
            <w:tcBorders/>
            <w:shd w:fill="CCEEFF" w:val="clear"/>
            <w:vAlign w:val="bottom"/>
          </w:tcPr>
          <w:p>
            <w:pPr>
              <w:pStyle w:val="TableContents"/>
              <w:spacing w:before="0" w:after="0"/>
              <w:ind w:left="0" w:right="0" w:hanging="0"/>
              <w:rPr/>
            </w:pPr>
            <w:r>
              <w:rPr/>
              <w:t> </w:t>
            </w:r>
          </w:p>
        </w:tc>
        <w:tc>
          <w:tcPr>
            <w:tcW w:w="141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04" w:type="dxa"/>
            <w:tcBorders/>
            <w:shd w:fill="CCEEFF" w:val="clear"/>
            <w:vAlign w:val="bottom"/>
          </w:tcPr>
          <w:p>
            <w:pPr>
              <w:pStyle w:val="TableContents"/>
              <w:spacing w:before="0" w:after="0"/>
              <w:ind w:left="0" w:right="0" w:hanging="0"/>
              <w:rPr/>
            </w:pPr>
            <w:r>
              <w:rPr/>
              <w:t> </w:t>
            </w:r>
          </w:p>
        </w:tc>
        <w:tc>
          <w:tcPr>
            <w:tcW w:w="114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44" w:type="dxa"/>
            <w:tcBorders/>
            <w:shd w:fill="CCEEFF" w:val="clear"/>
            <w:vAlign w:val="bottom"/>
          </w:tcPr>
          <w:p>
            <w:pPr>
              <w:pStyle w:val="TableContents"/>
              <w:spacing w:before="0" w:after="0"/>
              <w:ind w:left="0" w:right="0" w:hanging="0"/>
              <w:rPr/>
            </w:pPr>
            <w:r>
              <w:rPr/>
              <w:t> </w:t>
            </w:r>
          </w:p>
        </w:tc>
      </w:tr>
      <w:tr>
        <w:trPr/>
        <w:tc>
          <w:tcPr>
            <w:tcW w:w="40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March 31, 2010</w:t>
            </w:r>
          </w:p>
        </w:tc>
        <w:tc>
          <w:tcPr>
            <w:tcW w:w="204"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17" w:type="dxa"/>
            <w:tcBorders/>
            <w:shd w:fill="auto" w:val="clear"/>
            <w:vAlign w:val="bottom"/>
          </w:tcPr>
          <w:p>
            <w:pPr>
              <w:pStyle w:val="TableContents"/>
              <w:spacing w:before="0" w:after="0"/>
              <w:ind w:left="0" w:right="0" w:hanging="0"/>
              <w:rPr/>
            </w:pPr>
            <w:r>
              <w:rPr/>
              <w:t> </w:t>
            </w:r>
          </w:p>
        </w:tc>
        <w:tc>
          <w:tcPr>
            <w:tcW w:w="2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204"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w:t>
            </w:r>
          </w:p>
        </w:tc>
        <w:tc>
          <w:tcPr>
            <w:tcW w:w="14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unaudited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15" w:name="PB_6_144733_3020"/>
      <w:bookmarkEnd w:id="1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THE CONDENSED CONSOLIDATED FINANCIAL STATEMENTS</w:t>
      </w:r>
      <w:bookmarkStart w:id="16" w:name="NotesToTheCondensedConsolidatedFi_145336"/>
      <w:bookmarkEnd w:id="16"/>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(unaudited)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1Organization and Basis of Presentation</w:t>
      </w:r>
      <w:bookmarkStart w:id="17" w:name="Note1organizationAndBasisOfPresen_145340"/>
      <w:bookmarkEnd w:id="17"/>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Organization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engage in the transportation, storage, terminalling and marketing of crude oil, refined products and LPG.  We also engage in the development and operation of natural gas storage facilities.  We manage our operations through three operating segments: (i) Transportation, (ii) Facilities and (iii) Supply and Logistics.  See Note 12 for further detail of our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used in this Form 10-Q, the terms Partnership, Plains, we, us, our, ours and similar terms refer to Plains All American Pipeline, L.P. and its subsidiaries, unless the context indicates otherwise. References to our general partner, as the context requires, include any or all of PAA GP LLC, Plains AAP, L.P. and Plains All American GP LLC. The following additional defined terms are used in this Form 10-Q and shall have the meanings indicated below:</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647"/>
        <w:gridCol w:w="8558"/>
      </w:tblGrid>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AOCI</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Accumulated other comprehensive income</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API 653</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American Petroleum Institute Standard 653</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Billion cubic feet</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CAA</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Clean Air Act</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CAD</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Canadian Dollar</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Class B units</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Class B units of Plains AAP, L.P.</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DCP</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Disclosure controls and procedures</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DERs</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Distribution Equivalent Rights</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DOJ</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United States Department of Justice</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EPA</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United States Environmental Protection Agency</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FERC</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Federal Energy Regulation Commission</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FASB</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Financial Accounting Standards Board</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ICE</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IntercontinentalExchange</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IPO</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Initial Public Offering</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Liquefied petroleum gas and other natural gas-related petroleum products</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Long term incentive plan</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Thousand cubic feet</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MLP</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Master limited partnership</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NJDEP</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New Jersey Department of Environmental Protection</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NYMEX</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New York Mercantile Exchange</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NPNS</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Normal purchase and normal sale</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PNG</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PAA Natural Gas Storage, L.P.</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PNGS</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PAA Natural Gas Storage, LLC</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PAT</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Pacific Atlantic Terminals, LLC</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PPS</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Pacific Pipeline System</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Rainbow Pipe Line Company Ltd.</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RMPS</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Rocky Mountain Pipeline System</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Securities and Exchange Commission</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U.S. GAAP</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United States generally accepted accounting principles</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USD</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United States Dollar</w:t>
            </w:r>
          </w:p>
        </w:tc>
      </w:tr>
      <w:tr>
        <w:trPr/>
        <w:tc>
          <w:tcPr>
            <w:tcW w:w="16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WTI</w:t>
            </w:r>
          </w:p>
        </w:tc>
        <w:tc>
          <w:tcPr>
            <w:tcW w:w="85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West Texas Intermediate</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Basis of Consolidation and Presentation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accompanying condensed consolidated interim financial statements should be read in conjunction with our consolidated financial statements and notes thereto presented in our 2009 Annual Report on Form 10-K. The financial statements have been prepared in accordance with the instructions for interim reporting as prescribed by the SEC. All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18" w:name="PB_7_150157_141"/>
      <w:bookmarkEnd w:id="1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These reclassifications do not affect net income. The condensed balance sheet data as of December 31, 2009 was derived from audited financial statements, but does not include all disclosures required by U.S. GAAP.  The results of operations for the three months ended March 31, 2010 should not be taken as indicative of the results to be expected for the full year.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Subsequent events have been evaluated through the financial statements issuance date and have been included within the following footnotes where applicable.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2Recent Accounting Pronouncements</w:t>
      </w:r>
      <w:bookmarkStart w:id="19" w:name="Note2recentAccountingPronouncemen_150205"/>
      <w:bookmarkEnd w:id="19"/>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Fair Value Measurement Disclosure Requirements.</w:t>
      </w:r>
      <w:r>
        <w:rPr>
          <w:rFonts w:ascii="Times New Roman" w:hAnsi="Times New Roman"/>
        </w:rPr>
        <w:t xml:space="preserve">  </w:t>
      </w:r>
      <w:r>
        <w:rPr>
          <w:rFonts w:ascii="Times New Roman" w:hAnsi="Times New Roman"/>
          <w:sz w:val="17"/>
        </w:rPr>
        <w:t>In January 2010, the FASB issued guidance to improve disclosures relating to fair value measurements. This new guidance requires additional disclosures regarding transfers in and out of Level 1 and Level 2 measurements and requires a gross presentation of activities within the Level 3 roll forward.  This guidance is effective for the first interim or annual reporting period beginning after December 15, 2009, except for the gross presentation of the Level 3 roll forward, which is required for annual reporting periods beginning after December 15, 2010 and for interim reporting periods within those years.  We adopted the guidance, which is effective for the first interim or annual reporting period beginning after December 15, 2009, on January 1, 2010. Our adoption did not have any material impact on our financial position, results of operations, or cash flows. See Note 9 for applicable disclosure.  We will adopt the guidance that will be effective for annual reporting periods beginning after December 15, 2010 on January 1, 2011.  We do not expect that adoption of this guidance will have any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3Trade Accounts Receivable</w:t>
      </w:r>
      <w:bookmarkStart w:id="20" w:name="Note3tradeAccountsReceivable_153216"/>
      <w:bookmarkEnd w:id="20"/>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review all outstanding accounts receivable balances on a monthly basis and record a reserve for amounts that we expect will not be fully recovered. We do not apply actual balances against the reserve until we have exhausted substantially all collection efforts.  At March 31, 2010 and December 31, 2009, substantially all of our accounts receivable (net of allowance for doubtful accounts) were less than 60 days past their scheduled invoice date.  Our allowance for doubtful accounts receivable totaled $9 million at both March 31, 2010 and December 31, 2009.  Although we consider our allowance for doubtful accounts receivable to be adequate, actual amounts could vary significantly from estimated amounts.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March 31, 2010 and December 31, 2009, we had received approximately $133 million and $212 million, respectively, of advance cash payments from third parties to mitigate credit risk. In addition, we enter into netting arrangements with our counterparties, which cover a significant part of our transactions and also serve to mitigate credit risk.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21" w:name="PB_8_150217_7608"/>
      <w:bookmarkEnd w:id="2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4Inventory, Linefill, Base Gas and Long-term Inventory</w:t>
      </w:r>
      <w:bookmarkStart w:id="22" w:name="Note5inventoryLinefillBaseGasAndL_150224"/>
      <w:bookmarkEnd w:id="22"/>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Inventory, linefill, base gas and long-term inventory consisted of the following (barrels in thousands, natural gas volumes in millions and total value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563"/>
        <w:gridCol w:w="108"/>
        <w:gridCol w:w="767"/>
        <w:gridCol w:w="213"/>
        <w:gridCol w:w="872"/>
        <w:gridCol w:w="213"/>
        <w:gridCol w:w="111"/>
        <w:gridCol w:w="551"/>
        <w:gridCol w:w="212"/>
        <w:gridCol w:w="111"/>
        <w:gridCol w:w="551"/>
        <w:gridCol w:w="213"/>
        <w:gridCol w:w="767"/>
        <w:gridCol w:w="213"/>
        <w:gridCol w:w="872"/>
        <w:gridCol w:w="213"/>
        <w:gridCol w:w="111"/>
        <w:gridCol w:w="550"/>
        <w:gridCol w:w="213"/>
        <w:gridCol w:w="111"/>
        <w:gridCol w:w="551"/>
        <w:gridCol w:w="119"/>
      </w:tblGrid>
      <w:tr>
        <w:trPr/>
        <w:tc>
          <w:tcPr>
            <w:tcW w:w="2563" w:type="dxa"/>
            <w:tcBorders/>
            <w:shd w:fill="auto" w:val="clear"/>
            <w:vAlign w:val="bottom"/>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jc w:val="center"/>
              <w:rPr/>
            </w:pPr>
            <w:r>
              <w:rPr/>
              <w:t> </w:t>
            </w:r>
          </w:p>
        </w:tc>
        <w:tc>
          <w:tcPr>
            <w:tcW w:w="3601"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2010</w:t>
            </w:r>
          </w:p>
        </w:tc>
        <w:tc>
          <w:tcPr>
            <w:tcW w:w="213" w:type="dxa"/>
            <w:tcBorders/>
            <w:shd w:fill="auto" w:val="clear"/>
            <w:vAlign w:val="bottom"/>
          </w:tcPr>
          <w:p>
            <w:pPr>
              <w:pStyle w:val="TableContents"/>
              <w:spacing w:before="0" w:after="0"/>
              <w:ind w:left="0" w:right="0" w:hanging="0"/>
              <w:jc w:val="center"/>
              <w:rPr/>
            </w:pPr>
            <w:r>
              <w:rPr/>
              <w:t> </w:t>
            </w:r>
          </w:p>
        </w:tc>
        <w:tc>
          <w:tcPr>
            <w:tcW w:w="3601"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2009</w:t>
            </w:r>
          </w:p>
        </w:tc>
        <w:tc>
          <w:tcPr>
            <w:tcW w:w="119" w:type="dxa"/>
            <w:tcBorders/>
            <w:shd w:fill="auto" w:val="clear"/>
            <w:vAlign w:val="bottom"/>
          </w:tcPr>
          <w:p>
            <w:pPr>
              <w:pStyle w:val="TableContents"/>
              <w:spacing w:before="0" w:after="0"/>
              <w:ind w:left="0" w:right="0" w:hanging="0"/>
              <w:jc w:val="center"/>
              <w:rPr/>
            </w:pPr>
            <w:r>
              <w:rPr/>
              <w:t> </w:t>
            </w:r>
          </w:p>
        </w:tc>
      </w:tr>
      <w:tr>
        <w:trPr/>
        <w:tc>
          <w:tcPr>
            <w:tcW w:w="2563" w:type="dxa"/>
            <w:tcBorders/>
            <w:shd w:fill="auto" w:val="clear"/>
            <w:vAlign w:val="bottom"/>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jc w:val="center"/>
              <w:rPr/>
            </w:pPr>
            <w:r>
              <w:rPr/>
              <w:t> </w:t>
            </w:r>
          </w:p>
        </w:tc>
        <w:tc>
          <w:tcPr>
            <w:tcW w:w="767" w:type="dxa"/>
            <w:tcBorders/>
            <w:shd w:fill="auto" w:val="clear"/>
            <w:vAlign w:val="bottom"/>
          </w:tcPr>
          <w:p>
            <w:pPr>
              <w:pStyle w:val="TableContents"/>
              <w:spacing w:before="0" w:after="0"/>
              <w:ind w:left="0" w:right="0" w:hanging="0"/>
              <w:jc w:val="center"/>
              <w:rPr/>
            </w:pPr>
            <w:r>
              <w:rPr/>
              <w:t> </w:t>
            </w:r>
          </w:p>
        </w:tc>
        <w:tc>
          <w:tcPr>
            <w:tcW w:w="2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72"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of</w:t>
            </w:r>
          </w:p>
        </w:tc>
        <w:tc>
          <w:tcPr>
            <w:tcW w:w="2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6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21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6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w:t>
            </w:r>
          </w:p>
        </w:tc>
        <w:tc>
          <w:tcPr>
            <w:tcW w:w="213" w:type="dxa"/>
            <w:tcBorders/>
            <w:shd w:fill="auto" w:val="clear"/>
            <w:vAlign w:val="bottom"/>
          </w:tcPr>
          <w:p>
            <w:pPr>
              <w:pStyle w:val="TableContents"/>
              <w:spacing w:before="0" w:after="0"/>
              <w:ind w:left="0" w:right="0" w:hanging="0"/>
              <w:jc w:val="center"/>
              <w:rPr/>
            </w:pPr>
            <w:r>
              <w:rPr/>
              <w:t> </w:t>
            </w:r>
          </w:p>
        </w:tc>
        <w:tc>
          <w:tcPr>
            <w:tcW w:w="767" w:type="dxa"/>
            <w:tcBorders/>
            <w:shd w:fill="auto" w:val="clear"/>
            <w:vAlign w:val="bottom"/>
          </w:tcPr>
          <w:p>
            <w:pPr>
              <w:pStyle w:val="TableContents"/>
              <w:spacing w:before="0" w:after="0"/>
              <w:ind w:left="0" w:right="0" w:hanging="0"/>
              <w:jc w:val="center"/>
              <w:rPr/>
            </w:pPr>
            <w:r>
              <w:rPr/>
              <w:t> </w:t>
            </w:r>
          </w:p>
        </w:tc>
        <w:tc>
          <w:tcPr>
            <w:tcW w:w="2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72"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of</w:t>
            </w:r>
          </w:p>
        </w:tc>
        <w:tc>
          <w:tcPr>
            <w:tcW w:w="2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61"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2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6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w:t>
            </w:r>
          </w:p>
        </w:tc>
        <w:tc>
          <w:tcPr>
            <w:tcW w:w="119" w:type="dxa"/>
            <w:tcBorders/>
            <w:shd w:fill="auto" w:val="clear"/>
            <w:vAlign w:val="bottom"/>
          </w:tcPr>
          <w:p>
            <w:pPr>
              <w:pStyle w:val="TableContents"/>
              <w:spacing w:before="0" w:after="0"/>
              <w:ind w:left="0" w:right="0" w:hanging="0"/>
              <w:jc w:val="center"/>
              <w:rPr/>
            </w:pPr>
            <w:r>
              <w:rPr/>
              <w:t> </w:t>
            </w:r>
          </w:p>
        </w:tc>
      </w:tr>
      <w:tr>
        <w:trPr/>
        <w:tc>
          <w:tcPr>
            <w:tcW w:w="2563" w:type="dxa"/>
            <w:tcBorders/>
            <w:shd w:fill="auto" w:val="clear"/>
            <w:vAlign w:val="bottom"/>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jc w:val="center"/>
              <w:rPr/>
            </w:pPr>
            <w:r>
              <w:rPr/>
              <w:t> </w:t>
            </w:r>
          </w:p>
        </w:tc>
        <w:tc>
          <w:tcPr>
            <w:tcW w:w="76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13" w:type="dxa"/>
            <w:tcBorders/>
            <w:shd w:fill="auto" w:val="clear"/>
            <w:vAlign w:val="bottom"/>
          </w:tcPr>
          <w:p>
            <w:pPr>
              <w:pStyle w:val="TableContents"/>
              <w:spacing w:before="0" w:after="0"/>
              <w:ind w:left="0" w:right="0" w:hanging="0"/>
              <w:jc w:val="center"/>
              <w:rPr/>
            </w:pPr>
            <w:r>
              <w:rPr/>
              <w:t> </w:t>
            </w:r>
          </w:p>
        </w:tc>
        <w:tc>
          <w:tcPr>
            <w:tcW w:w="87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Measure</w:t>
            </w:r>
          </w:p>
        </w:tc>
        <w:tc>
          <w:tcPr>
            <w:tcW w:w="213" w:type="dxa"/>
            <w:tcBorders/>
            <w:shd w:fill="auto" w:val="clear"/>
            <w:vAlign w:val="bottom"/>
          </w:tcPr>
          <w:p>
            <w:pPr>
              <w:pStyle w:val="TableContents"/>
              <w:spacing w:before="0" w:after="0"/>
              <w:ind w:left="0" w:right="0" w:hanging="0"/>
              <w:jc w:val="center"/>
              <w:rPr/>
            </w:pPr>
            <w:r>
              <w:rPr/>
              <w:t> </w:t>
            </w:r>
          </w:p>
        </w:tc>
        <w:tc>
          <w:tcPr>
            <w:tcW w:w="6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Value</w:t>
            </w:r>
          </w:p>
        </w:tc>
        <w:tc>
          <w:tcPr>
            <w:tcW w:w="212" w:type="dxa"/>
            <w:tcBorders/>
            <w:shd w:fill="auto" w:val="clear"/>
            <w:vAlign w:val="bottom"/>
          </w:tcPr>
          <w:p>
            <w:pPr>
              <w:pStyle w:val="TableContents"/>
              <w:spacing w:before="0" w:after="0"/>
              <w:ind w:left="0" w:right="0" w:hanging="0"/>
              <w:jc w:val="center"/>
              <w:rPr/>
            </w:pPr>
            <w:r>
              <w:rPr/>
              <w:t> </w:t>
            </w:r>
          </w:p>
        </w:tc>
        <w:tc>
          <w:tcPr>
            <w:tcW w:w="6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Unit </w:t>
            </w:r>
            <w:r>
              <w:rPr>
                <w:b/>
                <w:sz w:val="8"/>
              </w:rPr>
              <w:t>(1)</w:t>
            </w:r>
          </w:p>
        </w:tc>
        <w:tc>
          <w:tcPr>
            <w:tcW w:w="213" w:type="dxa"/>
            <w:tcBorders/>
            <w:shd w:fill="auto" w:val="clear"/>
            <w:vAlign w:val="bottom"/>
          </w:tcPr>
          <w:p>
            <w:pPr>
              <w:pStyle w:val="TableContents"/>
              <w:spacing w:before="0" w:after="0"/>
              <w:ind w:left="0" w:right="0" w:hanging="0"/>
              <w:jc w:val="center"/>
              <w:rPr/>
            </w:pPr>
            <w:r>
              <w:rPr/>
              <w:t> </w:t>
            </w:r>
          </w:p>
        </w:tc>
        <w:tc>
          <w:tcPr>
            <w:tcW w:w="76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13" w:type="dxa"/>
            <w:tcBorders/>
            <w:shd w:fill="auto" w:val="clear"/>
            <w:vAlign w:val="bottom"/>
          </w:tcPr>
          <w:p>
            <w:pPr>
              <w:pStyle w:val="TableContents"/>
              <w:spacing w:before="0" w:after="0"/>
              <w:ind w:left="0" w:right="0" w:hanging="0"/>
              <w:jc w:val="center"/>
              <w:rPr/>
            </w:pPr>
            <w:r>
              <w:rPr/>
              <w:t> </w:t>
            </w:r>
          </w:p>
        </w:tc>
        <w:tc>
          <w:tcPr>
            <w:tcW w:w="87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Measure</w:t>
            </w:r>
          </w:p>
        </w:tc>
        <w:tc>
          <w:tcPr>
            <w:tcW w:w="213" w:type="dxa"/>
            <w:tcBorders/>
            <w:shd w:fill="auto" w:val="clear"/>
            <w:vAlign w:val="bottom"/>
          </w:tcPr>
          <w:p>
            <w:pPr>
              <w:pStyle w:val="TableContents"/>
              <w:spacing w:before="0" w:after="0"/>
              <w:ind w:left="0" w:right="0" w:hanging="0"/>
              <w:jc w:val="center"/>
              <w:rPr/>
            </w:pPr>
            <w:r>
              <w:rPr/>
              <w:t> </w:t>
            </w:r>
          </w:p>
        </w:tc>
        <w:tc>
          <w:tcPr>
            <w:tcW w:w="6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Value</w:t>
            </w:r>
          </w:p>
        </w:tc>
        <w:tc>
          <w:tcPr>
            <w:tcW w:w="213" w:type="dxa"/>
            <w:tcBorders/>
            <w:shd w:fill="auto" w:val="clear"/>
            <w:vAlign w:val="bottom"/>
          </w:tcPr>
          <w:p>
            <w:pPr>
              <w:pStyle w:val="TableContents"/>
              <w:spacing w:before="0" w:after="0"/>
              <w:ind w:left="0" w:right="0" w:hanging="0"/>
              <w:jc w:val="center"/>
              <w:rPr/>
            </w:pPr>
            <w:r>
              <w:rPr/>
              <w:t> </w:t>
            </w:r>
          </w:p>
        </w:tc>
        <w:tc>
          <w:tcPr>
            <w:tcW w:w="6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Unit </w:t>
            </w:r>
            <w:r>
              <w:rPr>
                <w:b/>
                <w:sz w:val="8"/>
              </w:rPr>
              <w:t>(1)</w:t>
            </w:r>
          </w:p>
        </w:tc>
        <w:tc>
          <w:tcPr>
            <w:tcW w:w="119" w:type="dxa"/>
            <w:tcBorders/>
            <w:shd w:fill="auto" w:val="clear"/>
            <w:vAlign w:val="bottom"/>
          </w:tcPr>
          <w:p>
            <w:pPr>
              <w:pStyle w:val="TableContents"/>
              <w:spacing w:before="0" w:after="0"/>
              <w:ind w:left="0" w:right="0" w:hanging="0"/>
              <w:jc w:val="center"/>
              <w:rPr/>
            </w:pPr>
            <w:r>
              <w:rPr/>
              <w:t> </w:t>
            </w:r>
          </w:p>
        </w:tc>
      </w:tr>
      <w:tr>
        <w:trPr/>
        <w:tc>
          <w:tcPr>
            <w:tcW w:w="256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Inventory</w:t>
            </w:r>
          </w:p>
        </w:tc>
        <w:tc>
          <w:tcPr>
            <w:tcW w:w="108"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72"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662"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662"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72"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662"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25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108"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14,833</w:t>
            </w:r>
          </w:p>
        </w:tc>
        <w:tc>
          <w:tcPr>
            <w:tcW w:w="213" w:type="dxa"/>
            <w:tcBorders/>
            <w:shd w:fill="auto" w:val="clear"/>
            <w:vAlign w:val="bottom"/>
          </w:tcPr>
          <w:p>
            <w:pPr>
              <w:pStyle w:val="TableContents"/>
              <w:spacing w:before="0" w:after="0"/>
              <w:ind w:left="0" w:right="0" w:hanging="0"/>
              <w:rPr/>
            </w:pPr>
            <w:r>
              <w:rPr/>
              <w:t> </w:t>
            </w:r>
          </w:p>
        </w:tc>
        <w:tc>
          <w:tcPr>
            <w:tcW w:w="87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1,156</w:t>
            </w:r>
          </w:p>
        </w:tc>
        <w:tc>
          <w:tcPr>
            <w:tcW w:w="212"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77.93</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12,232</w:t>
            </w:r>
          </w:p>
        </w:tc>
        <w:tc>
          <w:tcPr>
            <w:tcW w:w="213" w:type="dxa"/>
            <w:tcBorders/>
            <w:shd w:fill="auto" w:val="clear"/>
            <w:vAlign w:val="bottom"/>
          </w:tcPr>
          <w:p>
            <w:pPr>
              <w:pStyle w:val="TableContents"/>
              <w:spacing w:before="0" w:after="0"/>
              <w:ind w:left="0" w:right="0" w:hanging="0"/>
              <w:rPr/>
            </w:pPr>
            <w:r>
              <w:rPr/>
              <w:t> </w:t>
            </w:r>
          </w:p>
        </w:tc>
        <w:tc>
          <w:tcPr>
            <w:tcW w:w="87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886</w:t>
            </w:r>
          </w:p>
        </w:tc>
        <w:tc>
          <w:tcPr>
            <w:tcW w:w="213"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72.43</w:t>
            </w:r>
          </w:p>
        </w:tc>
        <w:tc>
          <w:tcPr>
            <w:tcW w:w="119" w:type="dxa"/>
            <w:tcBorders/>
            <w:shd w:fill="auto" w:val="clear"/>
            <w:vAlign w:val="bottom"/>
          </w:tcPr>
          <w:p>
            <w:pPr>
              <w:pStyle w:val="TableContents"/>
              <w:spacing w:before="0" w:after="0"/>
              <w:ind w:left="0" w:right="0" w:hanging="0"/>
              <w:rPr/>
            </w:pPr>
            <w:r>
              <w:rPr/>
              <w:t> </w:t>
            </w:r>
          </w:p>
        </w:tc>
      </w:tr>
      <w:tr>
        <w:trPr/>
        <w:tc>
          <w:tcPr>
            <w:tcW w:w="25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108"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1,683</w:t>
            </w:r>
          </w:p>
        </w:tc>
        <w:tc>
          <w:tcPr>
            <w:tcW w:w="213" w:type="dxa"/>
            <w:tcBorders/>
            <w:shd w:fill="CCEEFF" w:val="clear"/>
            <w:vAlign w:val="bottom"/>
          </w:tcPr>
          <w:p>
            <w:pPr>
              <w:pStyle w:val="TableContents"/>
              <w:spacing w:before="0" w:after="0"/>
              <w:ind w:left="0" w:right="0" w:hanging="0"/>
              <w:rPr/>
            </w:pPr>
            <w:r>
              <w:rPr/>
              <w:t> </w:t>
            </w:r>
          </w:p>
        </w:tc>
        <w:tc>
          <w:tcPr>
            <w:tcW w:w="87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CCEEFF" w:val="clear"/>
            <w:vAlign w:val="bottom"/>
          </w:tcPr>
          <w:p>
            <w:pPr>
              <w:pStyle w:val="TableContents"/>
              <w:spacing w:before="0" w:after="0"/>
              <w:ind w:left="0" w:right="0" w:hanging="0"/>
              <w:rPr/>
            </w:pPr>
            <w:r>
              <w:rPr/>
              <w:t> </w:t>
            </w:r>
          </w:p>
        </w:tc>
        <w:tc>
          <w:tcPr>
            <w:tcW w:w="6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212"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46.35</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6,051</w:t>
            </w:r>
          </w:p>
        </w:tc>
        <w:tc>
          <w:tcPr>
            <w:tcW w:w="213" w:type="dxa"/>
            <w:tcBorders/>
            <w:shd w:fill="CCEEFF" w:val="clear"/>
            <w:vAlign w:val="bottom"/>
          </w:tcPr>
          <w:p>
            <w:pPr>
              <w:pStyle w:val="TableContents"/>
              <w:spacing w:before="0" w:after="0"/>
              <w:ind w:left="0" w:right="0" w:hanging="0"/>
              <w:rPr/>
            </w:pPr>
            <w:r>
              <w:rPr/>
              <w:t> </w:t>
            </w:r>
          </w:p>
        </w:tc>
        <w:tc>
          <w:tcPr>
            <w:tcW w:w="87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13"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40.82</w:t>
            </w:r>
          </w:p>
        </w:tc>
        <w:tc>
          <w:tcPr>
            <w:tcW w:w="119" w:type="dxa"/>
            <w:tcBorders/>
            <w:shd w:fill="CCEEFF" w:val="clear"/>
            <w:vAlign w:val="bottom"/>
          </w:tcPr>
          <w:p>
            <w:pPr>
              <w:pStyle w:val="TableContents"/>
              <w:spacing w:before="0" w:after="0"/>
              <w:ind w:left="0" w:right="0" w:hanging="0"/>
              <w:rPr/>
            </w:pPr>
            <w:r>
              <w:rPr/>
              <w:t> </w:t>
            </w:r>
          </w:p>
        </w:tc>
      </w:tr>
      <w:tr>
        <w:trPr/>
        <w:tc>
          <w:tcPr>
            <w:tcW w:w="25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108"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13" w:type="dxa"/>
            <w:tcBorders/>
            <w:shd w:fill="auto" w:val="clear"/>
            <w:vAlign w:val="bottom"/>
          </w:tcPr>
          <w:p>
            <w:pPr>
              <w:pStyle w:val="TableContents"/>
              <w:spacing w:before="0" w:after="0"/>
              <w:ind w:left="0" w:right="0" w:hanging="0"/>
              <w:rPr/>
            </w:pPr>
            <w:r>
              <w:rPr/>
              <w:t> </w:t>
            </w:r>
          </w:p>
        </w:tc>
        <w:tc>
          <w:tcPr>
            <w:tcW w:w="87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auto" w:val="clear"/>
            <w:vAlign w:val="bottom"/>
          </w:tcPr>
          <w:p>
            <w:pPr>
              <w:pStyle w:val="TableContents"/>
              <w:spacing w:before="0" w:after="0"/>
              <w:ind w:left="0" w:right="0" w:hanging="0"/>
              <w:rPr/>
            </w:pPr>
            <w:r>
              <w:rPr/>
              <w:t> </w:t>
            </w:r>
          </w:p>
        </w:tc>
        <w:tc>
          <w:tcPr>
            <w:tcW w:w="6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2"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70.87</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13" w:type="dxa"/>
            <w:tcBorders/>
            <w:shd w:fill="auto" w:val="clear"/>
            <w:vAlign w:val="bottom"/>
          </w:tcPr>
          <w:p>
            <w:pPr>
              <w:pStyle w:val="TableContents"/>
              <w:spacing w:before="0" w:after="0"/>
              <w:ind w:left="0" w:right="0" w:hanging="0"/>
              <w:rPr/>
            </w:pPr>
            <w:r>
              <w:rPr/>
              <w:t> </w:t>
            </w:r>
          </w:p>
        </w:tc>
        <w:tc>
          <w:tcPr>
            <w:tcW w:w="87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auto" w:val="clear"/>
            <w:vAlign w:val="bottom"/>
          </w:tcPr>
          <w:p>
            <w:pPr>
              <w:pStyle w:val="TableContents"/>
              <w:spacing w:before="0" w:after="0"/>
              <w:ind w:left="0" w:right="0" w:hanging="0"/>
              <w:rPr/>
            </w:pPr>
            <w:r>
              <w:rPr/>
              <w:t> </w:t>
            </w:r>
          </w:p>
        </w:tc>
        <w:tc>
          <w:tcPr>
            <w:tcW w:w="6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13"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74.20</w:t>
            </w:r>
          </w:p>
        </w:tc>
        <w:tc>
          <w:tcPr>
            <w:tcW w:w="119" w:type="dxa"/>
            <w:tcBorders/>
            <w:shd w:fill="auto" w:val="clear"/>
            <w:vAlign w:val="bottom"/>
          </w:tcPr>
          <w:p>
            <w:pPr>
              <w:pStyle w:val="TableContents"/>
              <w:spacing w:before="0" w:after="0"/>
              <w:ind w:left="0" w:right="0" w:hanging="0"/>
              <w:rPr/>
            </w:pPr>
            <w:r>
              <w:rPr/>
              <w:t> </w:t>
            </w:r>
          </w:p>
        </w:tc>
      </w:tr>
      <w:tr>
        <w:trPr/>
        <w:tc>
          <w:tcPr>
            <w:tcW w:w="2563" w:type="dxa"/>
            <w:tcBorders/>
            <w:shd w:fill="CCEEFF" w:val="clear"/>
            <w:vAlign w:val="bottom"/>
          </w:tcPr>
          <w:p>
            <w:pPr>
              <w:pStyle w:val="TableContents"/>
              <w:spacing w:before="0" w:after="0"/>
              <w:ind w:left="0" w:right="0" w:hanging="0"/>
              <w:rPr/>
            </w:pPr>
            <w:r>
              <w:rPr>
                <w:rFonts w:ascii="Times New Roman" w:hAnsi="Times New Roman"/>
                <w:sz w:val="17"/>
              </w:rPr>
              <w:t xml:space="preserve">Natural gas </w:t>
            </w:r>
            <w:r>
              <w:rPr>
                <w:sz w:val="11"/>
              </w:rPr>
              <w:t>(2)</w:t>
            </w:r>
          </w:p>
        </w:tc>
        <w:tc>
          <w:tcPr>
            <w:tcW w:w="108"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213" w:type="dxa"/>
            <w:tcBorders/>
            <w:shd w:fill="CCEEFF" w:val="clear"/>
            <w:vAlign w:val="bottom"/>
          </w:tcPr>
          <w:p>
            <w:pPr>
              <w:pStyle w:val="TableContents"/>
              <w:spacing w:before="0" w:after="0"/>
              <w:ind w:left="0" w:right="0" w:hanging="0"/>
              <w:rPr/>
            </w:pPr>
            <w:r>
              <w:rPr/>
              <w:t> </w:t>
            </w:r>
          </w:p>
        </w:tc>
        <w:tc>
          <w:tcPr>
            <w:tcW w:w="87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13" w:type="dxa"/>
            <w:tcBorders/>
            <w:shd w:fill="CCEEFF" w:val="clear"/>
            <w:vAlign w:val="bottom"/>
          </w:tcPr>
          <w:p>
            <w:pPr>
              <w:pStyle w:val="TableContents"/>
              <w:spacing w:before="0" w:after="0"/>
              <w:ind w:left="0" w:right="0" w:hanging="0"/>
              <w:rPr/>
            </w:pPr>
            <w:r>
              <w:rPr/>
              <w:t> </w:t>
            </w:r>
          </w:p>
        </w:tc>
        <w:tc>
          <w:tcPr>
            <w:tcW w:w="6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213" w:type="dxa"/>
            <w:tcBorders/>
            <w:shd w:fill="CCEEFF" w:val="clear"/>
            <w:vAlign w:val="bottom"/>
          </w:tcPr>
          <w:p>
            <w:pPr>
              <w:pStyle w:val="TableContents"/>
              <w:spacing w:before="0" w:after="0"/>
              <w:ind w:left="0" w:right="0" w:hanging="0"/>
              <w:rPr/>
            </w:pPr>
            <w:r>
              <w:rPr/>
              <w:t> </w:t>
            </w:r>
          </w:p>
        </w:tc>
        <w:tc>
          <w:tcPr>
            <w:tcW w:w="87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13"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w:t>
            </w:r>
          </w:p>
        </w:tc>
        <w:tc>
          <w:tcPr>
            <w:tcW w:w="119" w:type="dxa"/>
            <w:tcBorders/>
            <w:shd w:fill="CCEEFF" w:val="clear"/>
            <w:vAlign w:val="bottom"/>
          </w:tcPr>
          <w:p>
            <w:pPr>
              <w:pStyle w:val="TableContents"/>
              <w:spacing w:before="0" w:after="0"/>
              <w:ind w:left="0" w:right="0" w:hanging="0"/>
              <w:rPr/>
            </w:pPr>
            <w:r>
              <w:rPr/>
              <w:t> </w:t>
            </w:r>
          </w:p>
        </w:tc>
      </w:tr>
      <w:tr>
        <w:trPr/>
        <w:tc>
          <w:tcPr>
            <w:tcW w:w="25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Parts and supplies</w:t>
            </w:r>
          </w:p>
        </w:tc>
        <w:tc>
          <w:tcPr>
            <w:tcW w:w="108"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3" w:type="dxa"/>
            <w:tcBorders/>
            <w:shd w:fill="auto" w:val="clear"/>
            <w:vAlign w:val="bottom"/>
          </w:tcPr>
          <w:p>
            <w:pPr>
              <w:pStyle w:val="TableContents"/>
              <w:spacing w:before="0" w:after="0"/>
              <w:ind w:left="0" w:right="0" w:hanging="0"/>
              <w:rPr/>
            </w:pPr>
            <w:r>
              <w:rPr/>
              <w:t> </w:t>
            </w:r>
          </w:p>
        </w:tc>
        <w:tc>
          <w:tcPr>
            <w:tcW w:w="872"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6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2" w:type="dxa"/>
            <w:tcBorders/>
            <w:shd w:fill="auto" w:val="clear"/>
            <w:vAlign w:val="bottom"/>
          </w:tcPr>
          <w:p>
            <w:pPr>
              <w:pStyle w:val="TableContents"/>
              <w:spacing w:before="0" w:after="0"/>
              <w:ind w:left="0" w:right="0" w:hanging="0"/>
              <w:rPr/>
            </w:pPr>
            <w:r>
              <w:rPr/>
              <w:t> </w:t>
            </w:r>
          </w:p>
        </w:tc>
        <w:tc>
          <w:tcPr>
            <w:tcW w:w="6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3" w:type="dxa"/>
            <w:tcBorders/>
            <w:shd w:fill="auto" w:val="clear"/>
            <w:vAlign w:val="bottom"/>
          </w:tcPr>
          <w:p>
            <w:pPr>
              <w:pStyle w:val="TableContents"/>
              <w:spacing w:before="0" w:after="0"/>
              <w:ind w:left="0" w:right="0" w:hanging="0"/>
              <w:rPr/>
            </w:pPr>
            <w:r>
              <w:rPr/>
              <w:t> </w:t>
            </w:r>
          </w:p>
        </w:tc>
        <w:tc>
          <w:tcPr>
            <w:tcW w:w="872"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6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3" w:type="dxa"/>
            <w:tcBorders/>
            <w:shd w:fill="auto" w:val="clear"/>
            <w:vAlign w:val="bottom"/>
          </w:tcPr>
          <w:p>
            <w:pPr>
              <w:pStyle w:val="TableContents"/>
              <w:spacing w:before="0" w:after="0"/>
              <w:ind w:left="0" w:right="0" w:hanging="0"/>
              <w:rPr/>
            </w:pPr>
            <w:r>
              <w:rPr/>
              <w:t> </w:t>
            </w:r>
          </w:p>
        </w:tc>
        <w:tc>
          <w:tcPr>
            <w:tcW w:w="6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19" w:type="dxa"/>
            <w:tcBorders/>
            <w:shd w:fill="auto" w:val="clear"/>
            <w:vAlign w:val="bottom"/>
          </w:tcPr>
          <w:p>
            <w:pPr>
              <w:pStyle w:val="TableContents"/>
              <w:spacing w:before="0" w:after="0"/>
              <w:ind w:left="0" w:right="0" w:hanging="0"/>
              <w:rPr/>
            </w:pPr>
            <w:r>
              <w:rPr/>
              <w:t> </w:t>
            </w:r>
          </w:p>
        </w:tc>
      </w:tr>
      <w:tr>
        <w:trPr/>
        <w:tc>
          <w:tcPr>
            <w:tcW w:w="25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 subtotal</w:t>
            </w:r>
          </w:p>
        </w:tc>
        <w:tc>
          <w:tcPr>
            <w:tcW w:w="108"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72"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6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1,244</w:t>
            </w:r>
          </w:p>
        </w:tc>
        <w:tc>
          <w:tcPr>
            <w:tcW w:w="212" w:type="dxa"/>
            <w:tcBorders/>
            <w:shd w:fill="CCEEFF" w:val="clear"/>
            <w:vAlign w:val="bottom"/>
          </w:tcPr>
          <w:p>
            <w:pPr>
              <w:pStyle w:val="TableContents"/>
              <w:spacing w:before="0" w:after="0"/>
              <w:ind w:left="0" w:right="0" w:hanging="0"/>
              <w:rPr/>
            </w:pPr>
            <w:r>
              <w:rPr/>
              <w:t> </w:t>
            </w:r>
          </w:p>
        </w:tc>
        <w:tc>
          <w:tcPr>
            <w:tcW w:w="662"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72"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6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1,157</w:t>
            </w:r>
          </w:p>
        </w:tc>
        <w:tc>
          <w:tcPr>
            <w:tcW w:w="213" w:type="dxa"/>
            <w:tcBorders/>
            <w:shd w:fill="CCEEFF" w:val="clear"/>
            <w:vAlign w:val="bottom"/>
          </w:tcPr>
          <w:p>
            <w:pPr>
              <w:pStyle w:val="TableContents"/>
              <w:spacing w:before="0" w:after="0"/>
              <w:ind w:left="0" w:right="0" w:hanging="0"/>
              <w:rPr/>
            </w:pPr>
            <w:r>
              <w:rPr/>
              <w:t> </w:t>
            </w:r>
          </w:p>
        </w:tc>
        <w:tc>
          <w:tcPr>
            <w:tcW w:w="662"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2563" w:type="dxa"/>
            <w:tcBorders/>
            <w:shd w:fill="auto" w:val="clear"/>
            <w:vAlign w:val="bottom"/>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72"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662"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662"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72"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661"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662"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256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Linefill and base gas</w:t>
            </w:r>
          </w:p>
        </w:tc>
        <w:tc>
          <w:tcPr>
            <w:tcW w:w="108"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72"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662"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662"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72"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662"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25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108"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9,459</w:t>
            </w:r>
          </w:p>
        </w:tc>
        <w:tc>
          <w:tcPr>
            <w:tcW w:w="213" w:type="dxa"/>
            <w:tcBorders/>
            <w:shd w:fill="auto" w:val="clear"/>
            <w:vAlign w:val="bottom"/>
          </w:tcPr>
          <w:p>
            <w:pPr>
              <w:pStyle w:val="TableContents"/>
              <w:spacing w:before="0" w:after="0"/>
              <w:ind w:left="0" w:right="0" w:hanging="0"/>
              <w:rPr/>
            </w:pPr>
            <w:r>
              <w:rPr/>
              <w:t> </w:t>
            </w:r>
          </w:p>
        </w:tc>
        <w:tc>
          <w:tcPr>
            <w:tcW w:w="87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auto" w:val="clear"/>
            <w:vAlign w:val="bottom"/>
          </w:tcPr>
          <w:p>
            <w:pPr>
              <w:pStyle w:val="TableContents"/>
              <w:spacing w:before="0" w:after="0"/>
              <w:ind w:left="0" w:right="0" w:hanging="0"/>
              <w:rPr/>
            </w:pPr>
            <w:r>
              <w:rPr/>
              <w:t> </w:t>
            </w:r>
          </w:p>
        </w:tc>
        <w:tc>
          <w:tcPr>
            <w:tcW w:w="6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482</w:t>
            </w:r>
          </w:p>
        </w:tc>
        <w:tc>
          <w:tcPr>
            <w:tcW w:w="212"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50.96</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9,404</w:t>
            </w:r>
          </w:p>
        </w:tc>
        <w:tc>
          <w:tcPr>
            <w:tcW w:w="213" w:type="dxa"/>
            <w:tcBorders/>
            <w:shd w:fill="auto" w:val="clear"/>
            <w:vAlign w:val="bottom"/>
          </w:tcPr>
          <w:p>
            <w:pPr>
              <w:pStyle w:val="TableContents"/>
              <w:spacing w:before="0" w:after="0"/>
              <w:ind w:left="0" w:right="0" w:hanging="0"/>
              <w:rPr/>
            </w:pPr>
            <w:r>
              <w:rPr/>
              <w:t> </w:t>
            </w:r>
          </w:p>
        </w:tc>
        <w:tc>
          <w:tcPr>
            <w:tcW w:w="87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auto" w:val="clear"/>
            <w:vAlign w:val="bottom"/>
          </w:tcPr>
          <w:p>
            <w:pPr>
              <w:pStyle w:val="TableContents"/>
              <w:spacing w:before="0" w:after="0"/>
              <w:ind w:left="0" w:right="0" w:hanging="0"/>
              <w:rPr/>
            </w:pPr>
            <w:r>
              <w:rPr/>
              <w:t> </w:t>
            </w:r>
          </w:p>
        </w:tc>
        <w:tc>
          <w:tcPr>
            <w:tcW w:w="6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471</w:t>
            </w:r>
          </w:p>
        </w:tc>
        <w:tc>
          <w:tcPr>
            <w:tcW w:w="213"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50.09</w:t>
            </w:r>
          </w:p>
        </w:tc>
        <w:tc>
          <w:tcPr>
            <w:tcW w:w="119" w:type="dxa"/>
            <w:tcBorders/>
            <w:shd w:fill="auto" w:val="clear"/>
            <w:vAlign w:val="bottom"/>
          </w:tcPr>
          <w:p>
            <w:pPr>
              <w:pStyle w:val="TableContents"/>
              <w:spacing w:before="0" w:after="0"/>
              <w:ind w:left="0" w:right="0" w:hanging="0"/>
              <w:rPr/>
            </w:pPr>
            <w:r>
              <w:rPr/>
              <w:t> </w:t>
            </w:r>
          </w:p>
        </w:tc>
      </w:tr>
      <w:tr>
        <w:trPr/>
        <w:tc>
          <w:tcPr>
            <w:tcW w:w="2563" w:type="dxa"/>
            <w:tcBorders/>
            <w:shd w:fill="CCEEFF" w:val="clear"/>
            <w:vAlign w:val="bottom"/>
          </w:tcPr>
          <w:p>
            <w:pPr>
              <w:pStyle w:val="TableContents"/>
              <w:spacing w:before="0" w:after="0"/>
              <w:ind w:left="0" w:right="0" w:hanging="0"/>
              <w:rPr/>
            </w:pPr>
            <w:r>
              <w:rPr>
                <w:rFonts w:ascii="Times New Roman" w:hAnsi="Times New Roman"/>
                <w:sz w:val="17"/>
              </w:rPr>
              <w:t>Natural gas</w:t>
            </w:r>
            <w:r>
              <w:rPr/>
              <w:t xml:space="preserve"> </w:t>
            </w:r>
            <w:r>
              <w:rPr>
                <w:sz w:val="11"/>
              </w:rPr>
              <w:t>(2)</w:t>
            </w:r>
          </w:p>
        </w:tc>
        <w:tc>
          <w:tcPr>
            <w:tcW w:w="108"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10,994</w:t>
            </w:r>
          </w:p>
        </w:tc>
        <w:tc>
          <w:tcPr>
            <w:tcW w:w="213" w:type="dxa"/>
            <w:tcBorders/>
            <w:shd w:fill="CCEEFF" w:val="clear"/>
            <w:vAlign w:val="bottom"/>
          </w:tcPr>
          <w:p>
            <w:pPr>
              <w:pStyle w:val="TableContents"/>
              <w:spacing w:before="0" w:after="0"/>
              <w:ind w:left="0" w:right="0" w:hanging="0"/>
              <w:rPr/>
            </w:pPr>
            <w:r>
              <w:rPr/>
              <w:t> </w:t>
            </w:r>
          </w:p>
        </w:tc>
        <w:tc>
          <w:tcPr>
            <w:tcW w:w="87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13" w:type="dxa"/>
            <w:tcBorders/>
            <w:shd w:fill="CCEEFF" w:val="clear"/>
            <w:vAlign w:val="bottom"/>
          </w:tcPr>
          <w:p>
            <w:pPr>
              <w:pStyle w:val="TableContents"/>
              <w:spacing w:before="0" w:after="0"/>
              <w:ind w:left="0" w:right="0" w:hanging="0"/>
              <w:rPr/>
            </w:pPr>
            <w:r>
              <w:rPr/>
              <w:t> </w:t>
            </w:r>
          </w:p>
        </w:tc>
        <w:tc>
          <w:tcPr>
            <w:tcW w:w="6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12"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3.37</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9,194</w:t>
            </w:r>
          </w:p>
        </w:tc>
        <w:tc>
          <w:tcPr>
            <w:tcW w:w="213" w:type="dxa"/>
            <w:tcBorders/>
            <w:shd w:fill="CCEEFF" w:val="clear"/>
            <w:vAlign w:val="bottom"/>
          </w:tcPr>
          <w:p>
            <w:pPr>
              <w:pStyle w:val="TableContents"/>
              <w:spacing w:before="0" w:after="0"/>
              <w:ind w:left="0" w:right="0" w:hanging="0"/>
              <w:rPr/>
            </w:pPr>
            <w:r>
              <w:rPr/>
              <w:t> </w:t>
            </w:r>
          </w:p>
        </w:tc>
        <w:tc>
          <w:tcPr>
            <w:tcW w:w="87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13"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13"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w:t>
            </w:r>
          </w:p>
        </w:tc>
        <w:tc>
          <w:tcPr>
            <w:tcW w:w="119" w:type="dxa"/>
            <w:tcBorders/>
            <w:shd w:fill="CCEEFF" w:val="clear"/>
            <w:vAlign w:val="bottom"/>
          </w:tcPr>
          <w:p>
            <w:pPr>
              <w:pStyle w:val="TableContents"/>
              <w:spacing w:before="0" w:after="0"/>
              <w:ind w:left="0" w:right="0" w:hanging="0"/>
              <w:rPr/>
            </w:pPr>
            <w:r>
              <w:rPr/>
              <w:t> </w:t>
            </w:r>
          </w:p>
        </w:tc>
      </w:tr>
      <w:tr>
        <w:trPr/>
        <w:tc>
          <w:tcPr>
            <w:tcW w:w="25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108"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13" w:type="dxa"/>
            <w:tcBorders/>
            <w:shd w:fill="auto" w:val="clear"/>
            <w:vAlign w:val="bottom"/>
          </w:tcPr>
          <w:p>
            <w:pPr>
              <w:pStyle w:val="TableContents"/>
              <w:spacing w:before="0" w:after="0"/>
              <w:ind w:left="0" w:right="0" w:hanging="0"/>
              <w:rPr/>
            </w:pPr>
            <w:r>
              <w:rPr/>
              <w:t> </w:t>
            </w:r>
          </w:p>
        </w:tc>
        <w:tc>
          <w:tcPr>
            <w:tcW w:w="87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auto" w:val="clear"/>
            <w:vAlign w:val="bottom"/>
          </w:tcPr>
          <w:p>
            <w:pPr>
              <w:pStyle w:val="TableContents"/>
              <w:spacing w:before="0" w:after="0"/>
              <w:ind w:left="0" w:right="0" w:hanging="0"/>
              <w:rPr/>
            </w:pPr>
            <w:r>
              <w:rPr/>
              <w:t> </w:t>
            </w:r>
          </w:p>
        </w:tc>
        <w:tc>
          <w:tcPr>
            <w:tcW w:w="6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2"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35.71</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13" w:type="dxa"/>
            <w:tcBorders/>
            <w:shd w:fill="auto" w:val="clear"/>
            <w:vAlign w:val="bottom"/>
          </w:tcPr>
          <w:p>
            <w:pPr>
              <w:pStyle w:val="TableContents"/>
              <w:spacing w:before="0" w:after="0"/>
              <w:ind w:left="0" w:right="0" w:hanging="0"/>
              <w:rPr/>
            </w:pPr>
            <w:r>
              <w:rPr/>
              <w:t> </w:t>
            </w:r>
          </w:p>
        </w:tc>
        <w:tc>
          <w:tcPr>
            <w:tcW w:w="87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auto" w:val="clear"/>
            <w:vAlign w:val="bottom"/>
          </w:tcPr>
          <w:p>
            <w:pPr>
              <w:pStyle w:val="TableContents"/>
              <w:spacing w:before="0" w:after="0"/>
              <w:ind w:left="0" w:right="0" w:hanging="0"/>
              <w:rPr/>
            </w:pPr>
            <w:r>
              <w:rPr/>
              <w:t> </w:t>
            </w:r>
          </w:p>
        </w:tc>
        <w:tc>
          <w:tcPr>
            <w:tcW w:w="6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3"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38.46</w:t>
            </w:r>
          </w:p>
        </w:tc>
        <w:tc>
          <w:tcPr>
            <w:tcW w:w="119" w:type="dxa"/>
            <w:tcBorders/>
            <w:shd w:fill="auto" w:val="clear"/>
            <w:vAlign w:val="bottom"/>
          </w:tcPr>
          <w:p>
            <w:pPr>
              <w:pStyle w:val="TableContents"/>
              <w:spacing w:before="0" w:after="0"/>
              <w:ind w:left="0" w:right="0" w:hanging="0"/>
              <w:rPr/>
            </w:pPr>
            <w:r>
              <w:rPr/>
              <w:t> </w:t>
            </w:r>
          </w:p>
        </w:tc>
      </w:tr>
      <w:tr>
        <w:trPr/>
        <w:tc>
          <w:tcPr>
            <w:tcW w:w="25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Linefill and base gas subtotal</w:t>
            </w:r>
          </w:p>
        </w:tc>
        <w:tc>
          <w:tcPr>
            <w:tcW w:w="108"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72"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6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521</w:t>
            </w:r>
          </w:p>
        </w:tc>
        <w:tc>
          <w:tcPr>
            <w:tcW w:w="212" w:type="dxa"/>
            <w:tcBorders/>
            <w:shd w:fill="CCEEFF" w:val="clear"/>
            <w:vAlign w:val="bottom"/>
          </w:tcPr>
          <w:p>
            <w:pPr>
              <w:pStyle w:val="TableContents"/>
              <w:spacing w:before="0" w:after="0"/>
              <w:ind w:left="0" w:right="0" w:hanging="0"/>
              <w:rPr/>
            </w:pPr>
            <w:r>
              <w:rPr/>
              <w:t> </w:t>
            </w:r>
          </w:p>
        </w:tc>
        <w:tc>
          <w:tcPr>
            <w:tcW w:w="662"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72"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6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501</w:t>
            </w:r>
          </w:p>
        </w:tc>
        <w:tc>
          <w:tcPr>
            <w:tcW w:w="213" w:type="dxa"/>
            <w:tcBorders/>
            <w:shd w:fill="CCEEFF" w:val="clear"/>
            <w:vAlign w:val="bottom"/>
          </w:tcPr>
          <w:p>
            <w:pPr>
              <w:pStyle w:val="TableContents"/>
              <w:spacing w:before="0" w:after="0"/>
              <w:ind w:left="0" w:right="0" w:hanging="0"/>
              <w:rPr/>
            </w:pPr>
            <w:r>
              <w:rPr/>
              <w:t> </w:t>
            </w:r>
          </w:p>
        </w:tc>
        <w:tc>
          <w:tcPr>
            <w:tcW w:w="662"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2563" w:type="dxa"/>
            <w:tcBorders/>
            <w:shd w:fill="auto" w:val="clear"/>
            <w:vAlign w:val="bottom"/>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72"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662"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662"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72"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661"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662"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256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Long-term inventory</w:t>
            </w:r>
          </w:p>
        </w:tc>
        <w:tc>
          <w:tcPr>
            <w:tcW w:w="108"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72"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662"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662"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72"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662"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25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108"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1,460</w:t>
            </w:r>
          </w:p>
        </w:tc>
        <w:tc>
          <w:tcPr>
            <w:tcW w:w="213" w:type="dxa"/>
            <w:tcBorders/>
            <w:shd w:fill="auto" w:val="clear"/>
            <w:vAlign w:val="bottom"/>
          </w:tcPr>
          <w:p>
            <w:pPr>
              <w:pStyle w:val="TableContents"/>
              <w:spacing w:before="0" w:after="0"/>
              <w:ind w:left="0" w:right="0" w:hanging="0"/>
              <w:rPr/>
            </w:pPr>
            <w:r>
              <w:rPr/>
              <w:t> </w:t>
            </w:r>
          </w:p>
        </w:tc>
        <w:tc>
          <w:tcPr>
            <w:tcW w:w="87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auto" w:val="clear"/>
            <w:vAlign w:val="bottom"/>
          </w:tcPr>
          <w:p>
            <w:pPr>
              <w:pStyle w:val="TableContents"/>
              <w:spacing w:before="0" w:after="0"/>
              <w:ind w:left="0" w:right="0" w:hanging="0"/>
              <w:rPr/>
            </w:pPr>
            <w:r>
              <w:rPr/>
              <w:t> </w:t>
            </w:r>
          </w:p>
        </w:tc>
        <w:tc>
          <w:tcPr>
            <w:tcW w:w="6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212"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69.18</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1,497</w:t>
            </w:r>
          </w:p>
        </w:tc>
        <w:tc>
          <w:tcPr>
            <w:tcW w:w="213" w:type="dxa"/>
            <w:tcBorders/>
            <w:shd w:fill="auto" w:val="clear"/>
            <w:vAlign w:val="bottom"/>
          </w:tcPr>
          <w:p>
            <w:pPr>
              <w:pStyle w:val="TableContents"/>
              <w:spacing w:before="0" w:after="0"/>
              <w:ind w:left="0" w:right="0" w:hanging="0"/>
              <w:rPr/>
            </w:pPr>
            <w:r>
              <w:rPr/>
              <w:t> </w:t>
            </w:r>
          </w:p>
        </w:tc>
        <w:tc>
          <w:tcPr>
            <w:tcW w:w="87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auto" w:val="clear"/>
            <w:vAlign w:val="bottom"/>
          </w:tcPr>
          <w:p>
            <w:pPr>
              <w:pStyle w:val="TableContents"/>
              <w:spacing w:before="0" w:after="0"/>
              <w:ind w:left="0" w:right="0" w:hanging="0"/>
              <w:rPr/>
            </w:pPr>
            <w:r>
              <w:rPr/>
              <w:t> </w:t>
            </w:r>
          </w:p>
        </w:tc>
        <w:tc>
          <w:tcPr>
            <w:tcW w:w="6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13"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68.80</w:t>
            </w:r>
          </w:p>
        </w:tc>
        <w:tc>
          <w:tcPr>
            <w:tcW w:w="119" w:type="dxa"/>
            <w:tcBorders/>
            <w:shd w:fill="auto" w:val="clear"/>
            <w:vAlign w:val="bottom"/>
          </w:tcPr>
          <w:p>
            <w:pPr>
              <w:pStyle w:val="TableContents"/>
              <w:spacing w:before="0" w:after="0"/>
              <w:ind w:left="0" w:right="0" w:hanging="0"/>
              <w:rPr/>
            </w:pPr>
            <w:r>
              <w:rPr/>
              <w:t> </w:t>
            </w:r>
          </w:p>
        </w:tc>
      </w:tr>
      <w:tr>
        <w:trPr/>
        <w:tc>
          <w:tcPr>
            <w:tcW w:w="25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108"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458</w:t>
            </w:r>
          </w:p>
        </w:tc>
        <w:tc>
          <w:tcPr>
            <w:tcW w:w="213" w:type="dxa"/>
            <w:tcBorders/>
            <w:shd w:fill="CCEEFF" w:val="clear"/>
            <w:vAlign w:val="bottom"/>
          </w:tcPr>
          <w:p>
            <w:pPr>
              <w:pStyle w:val="TableContents"/>
              <w:spacing w:before="0" w:after="0"/>
              <w:ind w:left="0" w:right="0" w:hanging="0"/>
              <w:rPr/>
            </w:pPr>
            <w:r>
              <w:rPr/>
              <w:t> </w:t>
            </w:r>
          </w:p>
        </w:tc>
        <w:tc>
          <w:tcPr>
            <w:tcW w:w="87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CCEEFF" w:val="clear"/>
            <w:vAlign w:val="bottom"/>
          </w:tcPr>
          <w:p>
            <w:pPr>
              <w:pStyle w:val="TableContents"/>
              <w:spacing w:before="0" w:after="0"/>
              <w:ind w:left="0" w:right="0" w:hanging="0"/>
              <w:rPr/>
            </w:pPr>
            <w:r>
              <w:rPr/>
              <w:t> </w:t>
            </w:r>
          </w:p>
        </w:tc>
        <w:tc>
          <w:tcPr>
            <w:tcW w:w="6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12"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48.03</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458</w:t>
            </w:r>
          </w:p>
        </w:tc>
        <w:tc>
          <w:tcPr>
            <w:tcW w:w="213" w:type="dxa"/>
            <w:tcBorders/>
            <w:shd w:fill="CCEEFF" w:val="clear"/>
            <w:vAlign w:val="bottom"/>
          </w:tcPr>
          <w:p>
            <w:pPr>
              <w:pStyle w:val="TableContents"/>
              <w:spacing w:before="0" w:after="0"/>
              <w:ind w:left="0" w:right="0" w:hanging="0"/>
              <w:rPr/>
            </w:pPr>
            <w:r>
              <w:rPr/>
              <w:t> </w:t>
            </w:r>
          </w:p>
        </w:tc>
        <w:tc>
          <w:tcPr>
            <w:tcW w:w="87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CCEEFF" w:val="clear"/>
            <w:vAlign w:val="bottom"/>
          </w:tcPr>
          <w:p>
            <w:pPr>
              <w:pStyle w:val="TableContents"/>
              <w:spacing w:before="0" w:after="0"/>
              <w:ind w:left="0" w:right="0" w:hanging="0"/>
              <w:rPr/>
            </w:pPr>
            <w:r>
              <w:rPr/>
              <w:t> </w:t>
            </w:r>
          </w:p>
        </w:tc>
        <w:tc>
          <w:tcPr>
            <w:tcW w:w="6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3"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39.30</w:t>
            </w:r>
          </w:p>
        </w:tc>
        <w:tc>
          <w:tcPr>
            <w:tcW w:w="119" w:type="dxa"/>
            <w:tcBorders/>
            <w:shd w:fill="CCEEFF" w:val="clear"/>
            <w:vAlign w:val="bottom"/>
          </w:tcPr>
          <w:p>
            <w:pPr>
              <w:pStyle w:val="TableContents"/>
              <w:spacing w:before="0" w:after="0"/>
              <w:ind w:left="0" w:right="0" w:hanging="0"/>
              <w:rPr/>
            </w:pPr>
            <w:r>
              <w:rPr/>
              <w:t> </w:t>
            </w:r>
          </w:p>
        </w:tc>
      </w:tr>
      <w:tr>
        <w:trPr/>
        <w:tc>
          <w:tcPr>
            <w:tcW w:w="25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inventory subtotal</w:t>
            </w:r>
          </w:p>
        </w:tc>
        <w:tc>
          <w:tcPr>
            <w:tcW w:w="108"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72"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6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212" w:type="dxa"/>
            <w:tcBorders/>
            <w:shd w:fill="auto" w:val="clear"/>
            <w:vAlign w:val="bottom"/>
          </w:tcPr>
          <w:p>
            <w:pPr>
              <w:pStyle w:val="TableContents"/>
              <w:spacing w:before="0" w:after="0"/>
              <w:ind w:left="0" w:right="0" w:hanging="0"/>
              <w:rPr/>
            </w:pPr>
            <w:r>
              <w:rPr/>
              <w:t> </w:t>
            </w:r>
          </w:p>
        </w:tc>
        <w:tc>
          <w:tcPr>
            <w:tcW w:w="662"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72"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6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213" w:type="dxa"/>
            <w:tcBorders/>
            <w:shd w:fill="auto" w:val="clear"/>
            <w:vAlign w:val="bottom"/>
          </w:tcPr>
          <w:p>
            <w:pPr>
              <w:pStyle w:val="TableContents"/>
              <w:spacing w:before="0" w:after="0"/>
              <w:ind w:left="0" w:right="0" w:hanging="0"/>
              <w:rPr/>
            </w:pPr>
            <w:r>
              <w:rPr/>
              <w:t> </w:t>
            </w:r>
          </w:p>
        </w:tc>
        <w:tc>
          <w:tcPr>
            <w:tcW w:w="662"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2563" w:type="dxa"/>
            <w:tcBorders/>
            <w:shd w:fill="CCEEFF" w:val="clear"/>
            <w:vAlign w:val="bottom"/>
          </w:tcPr>
          <w:p>
            <w:pPr>
              <w:pStyle w:val="TableContents"/>
              <w:spacing w:before="0" w:after="0"/>
              <w:ind w:left="0" w:right="0" w:hanging="0"/>
              <w:rPr/>
            </w:pPr>
            <w:r>
              <w:rPr/>
              <w:t> </w:t>
            </w:r>
          </w:p>
        </w:tc>
        <w:tc>
          <w:tcPr>
            <w:tcW w:w="108"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72"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662"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662"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72"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661"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662"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256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w:t>
            </w:r>
          </w:p>
        </w:tc>
        <w:tc>
          <w:tcPr>
            <w:tcW w:w="108"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72"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1,888</w:t>
            </w:r>
          </w:p>
        </w:tc>
        <w:tc>
          <w:tcPr>
            <w:tcW w:w="212" w:type="dxa"/>
            <w:tcBorders/>
            <w:shd w:fill="auto" w:val="clear"/>
            <w:vAlign w:val="bottom"/>
          </w:tcPr>
          <w:p>
            <w:pPr>
              <w:pStyle w:val="TableContents"/>
              <w:spacing w:before="0" w:after="0"/>
              <w:ind w:left="0" w:right="0" w:hanging="0"/>
              <w:rPr/>
            </w:pPr>
            <w:r>
              <w:rPr/>
              <w:t> </w:t>
            </w:r>
          </w:p>
        </w:tc>
        <w:tc>
          <w:tcPr>
            <w:tcW w:w="662"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72"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1,779</w:t>
            </w:r>
          </w:p>
        </w:tc>
        <w:tc>
          <w:tcPr>
            <w:tcW w:w="213" w:type="dxa"/>
            <w:tcBorders/>
            <w:shd w:fill="auto" w:val="clear"/>
            <w:vAlign w:val="bottom"/>
          </w:tcPr>
          <w:p>
            <w:pPr>
              <w:pStyle w:val="TableContents"/>
              <w:spacing w:before="0" w:after="0"/>
              <w:ind w:left="0" w:right="0" w:hanging="0"/>
              <w:rPr/>
            </w:pPr>
            <w:r>
              <w:rPr/>
              <w:t> </w:t>
            </w:r>
          </w:p>
        </w:tc>
        <w:tc>
          <w:tcPr>
            <w:tcW w:w="662"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Price per unit represents a weighted average associated with various grades, qualities, and locations; accordingly, these prices may not be comparable to published benchmarks for such products.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The volumetric ratio of mcf of natural gas to barrels of crude oil is 6:1; thus, natural gas volumes can be converted to barrels by dividing by 6.</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23" w:name="PB_9_150902_8146"/>
      <w:bookmarkEnd w:id="2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5Debt</w:t>
      </w:r>
      <w:bookmarkStart w:id="24" w:name="Note6debt_150903"/>
      <w:bookmarkEnd w:id="24"/>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Debt consists of the following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39"/>
        <w:gridCol w:w="181"/>
        <w:gridCol w:w="139"/>
        <w:gridCol w:w="998"/>
        <w:gridCol w:w="192"/>
        <w:gridCol w:w="159"/>
        <w:gridCol w:w="1075"/>
        <w:gridCol w:w="122"/>
      </w:tblGrid>
      <w:tr>
        <w:trPr/>
        <w:tc>
          <w:tcPr>
            <w:tcW w:w="7339"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113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92" w:type="dxa"/>
            <w:tcBorders/>
            <w:shd w:fill="auto" w:val="clear"/>
            <w:vAlign w:val="bottom"/>
          </w:tcPr>
          <w:p>
            <w:pPr>
              <w:pStyle w:val="TableContents"/>
              <w:spacing w:before="0" w:after="0"/>
              <w:ind w:left="0" w:right="0" w:hanging="0"/>
              <w:jc w:val="center"/>
              <w:rPr/>
            </w:pPr>
            <w:r>
              <w:rPr/>
              <w:t> </w:t>
            </w:r>
          </w:p>
        </w:tc>
        <w:tc>
          <w:tcPr>
            <w:tcW w:w="123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2" w:type="dxa"/>
            <w:tcBorders/>
            <w:shd w:fill="auto" w:val="clear"/>
            <w:vAlign w:val="bottom"/>
          </w:tcPr>
          <w:p>
            <w:pPr>
              <w:pStyle w:val="TableContents"/>
              <w:spacing w:before="0" w:after="0"/>
              <w:ind w:left="0" w:right="0" w:hanging="0"/>
              <w:jc w:val="center"/>
              <w:rPr/>
            </w:pPr>
            <w:r>
              <w:rPr/>
              <w:t> </w:t>
            </w:r>
          </w:p>
        </w:tc>
      </w:tr>
      <w:tr>
        <w:trPr/>
        <w:tc>
          <w:tcPr>
            <w:tcW w:w="7339"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113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92" w:type="dxa"/>
            <w:tcBorders/>
            <w:shd w:fill="auto" w:val="clear"/>
            <w:vAlign w:val="bottom"/>
          </w:tcPr>
          <w:p>
            <w:pPr>
              <w:pStyle w:val="TableContents"/>
              <w:spacing w:before="0" w:after="0"/>
              <w:ind w:left="0" w:right="0" w:hanging="0"/>
              <w:jc w:val="center"/>
              <w:rPr/>
            </w:pPr>
            <w:r>
              <w:rPr/>
              <w:t> </w:t>
            </w:r>
          </w:p>
        </w:tc>
        <w:tc>
          <w:tcPr>
            <w:tcW w:w="12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22" w:type="dxa"/>
            <w:tcBorders/>
            <w:shd w:fill="auto" w:val="clear"/>
            <w:vAlign w:val="bottom"/>
          </w:tcPr>
          <w:p>
            <w:pPr>
              <w:pStyle w:val="TableContents"/>
              <w:spacing w:before="0" w:after="0"/>
              <w:ind w:left="0" w:right="0" w:hanging="0"/>
              <w:jc w:val="center"/>
              <w:rPr/>
            </w:pPr>
            <w:r>
              <w:rPr/>
              <w:t> </w:t>
            </w:r>
          </w:p>
        </w:tc>
      </w:tr>
      <w:tr>
        <w:trPr/>
        <w:tc>
          <w:tcPr>
            <w:tcW w:w="7339" w:type="dxa"/>
            <w:tcBorders/>
            <w:shd w:fill="CCEEFF"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Short-term debt:</w:t>
            </w:r>
          </w:p>
        </w:tc>
        <w:tc>
          <w:tcPr>
            <w:tcW w:w="181" w:type="dxa"/>
            <w:tcBorders/>
            <w:shd w:fill="CCEEFF" w:val="clear"/>
            <w:vAlign w:val="bottom"/>
          </w:tcPr>
          <w:p>
            <w:pPr>
              <w:pStyle w:val="TableContents"/>
              <w:spacing w:before="0" w:after="0"/>
              <w:ind w:left="0" w:right="0" w:hanging="0"/>
              <w:rPr/>
            </w:pPr>
            <w:r>
              <w:rPr/>
              <w:t> </w:t>
            </w:r>
          </w:p>
        </w:tc>
        <w:tc>
          <w:tcPr>
            <w:tcW w:w="1137"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7339" w:type="dxa"/>
            <w:tcBorders/>
            <w:shd w:fill="auto" w:val="clear"/>
            <w:vAlign w:val="bottom"/>
          </w:tcPr>
          <w:p>
            <w:pPr>
              <w:pStyle w:val="TableContents"/>
              <w:spacing w:before="0" w:after="0"/>
              <w:ind w:left="0" w:right="0" w:hanging="0"/>
              <w:rPr/>
            </w:pPr>
            <w:r>
              <w:rPr>
                <w:rFonts w:ascii="Times New Roman" w:hAnsi="Times New Roman"/>
                <w:sz w:val="17"/>
              </w:rPr>
              <w:t>Senior secured hedged inventory facility bearing interest at a rate of 2.5% and 2.5% as of</w:t>
            </w:r>
            <w:r>
              <w:rPr/>
              <w:t xml:space="preserve"> </w:t>
            </w:r>
            <w:r>
              <w:rPr>
                <w:sz w:val="17"/>
              </w:rPr>
              <w:t>March 31, 2010 and December 31, 2009, respectively</w:t>
            </w:r>
          </w:p>
        </w:tc>
        <w:tc>
          <w:tcPr>
            <w:tcW w:w="181"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92"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122" w:type="dxa"/>
            <w:tcBorders/>
            <w:shd w:fill="auto" w:val="clear"/>
            <w:vAlign w:val="bottom"/>
          </w:tcPr>
          <w:p>
            <w:pPr>
              <w:pStyle w:val="TableContents"/>
              <w:spacing w:before="0" w:after="0"/>
              <w:ind w:left="0" w:right="0" w:hanging="0"/>
              <w:rPr/>
            </w:pPr>
            <w:r>
              <w:rPr/>
              <w:t> </w:t>
            </w:r>
          </w:p>
        </w:tc>
      </w:tr>
      <w:tr>
        <w:trPr/>
        <w:tc>
          <w:tcPr>
            <w:tcW w:w="7339" w:type="dxa"/>
            <w:tcBorders/>
            <w:shd w:fill="CCEEFF" w:val="clear"/>
            <w:vAlign w:val="bottom"/>
          </w:tcPr>
          <w:p>
            <w:pPr>
              <w:pStyle w:val="TableContents"/>
              <w:spacing w:before="0" w:after="0"/>
              <w:ind w:left="0" w:right="0" w:hanging="0"/>
              <w:rPr/>
            </w:pPr>
            <w:r>
              <w:rPr>
                <w:rFonts w:ascii="Times New Roman" w:hAnsi="Times New Roman"/>
                <w:sz w:val="17"/>
              </w:rPr>
              <w:t>Senior unsecured revolving credit facility, bearing interest at a rate of 0.7% and 0.8% as of</w:t>
            </w:r>
            <w:r>
              <w:rPr/>
              <w:t xml:space="preserve"> </w:t>
            </w:r>
            <w:r>
              <w:rPr>
                <w:sz w:val="17"/>
              </w:rPr>
              <w:t>March 31, 2010 and December 31, 2009, respectively</w:t>
            </w:r>
            <w:r>
              <w:rPr/>
              <w:t> </w:t>
            </w:r>
            <w:r>
              <w:rPr>
                <w:sz w:val="11"/>
              </w:rPr>
              <w:t>(1)</w:t>
            </w:r>
          </w:p>
        </w:tc>
        <w:tc>
          <w:tcPr>
            <w:tcW w:w="181" w:type="dxa"/>
            <w:tcBorders/>
            <w:shd w:fill="CCEEFF" w:val="clear"/>
            <w:vAlign w:val="bottom"/>
          </w:tcPr>
          <w:p>
            <w:pPr>
              <w:pStyle w:val="TableContents"/>
              <w:spacing w:before="0" w:after="0"/>
              <w:ind w:left="0" w:right="0" w:hanging="0"/>
              <w:rPr/>
            </w:pPr>
            <w:r>
              <w:rPr/>
              <w:t> </w:t>
            </w:r>
          </w:p>
        </w:tc>
        <w:tc>
          <w:tcPr>
            <w:tcW w:w="11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549</w:t>
            </w:r>
          </w:p>
        </w:tc>
        <w:tc>
          <w:tcPr>
            <w:tcW w:w="192"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772</w:t>
            </w:r>
          </w:p>
        </w:tc>
        <w:tc>
          <w:tcPr>
            <w:tcW w:w="122" w:type="dxa"/>
            <w:tcBorders/>
            <w:shd w:fill="CCEEFF" w:val="clear"/>
            <w:vAlign w:val="bottom"/>
          </w:tcPr>
          <w:p>
            <w:pPr>
              <w:pStyle w:val="TableContents"/>
              <w:spacing w:before="0" w:after="0"/>
              <w:ind w:left="0" w:right="0" w:hanging="0"/>
              <w:rPr/>
            </w:pPr>
            <w:r>
              <w:rPr/>
              <w:t> </w:t>
            </w:r>
          </w:p>
        </w:tc>
      </w:tr>
      <w:tr>
        <w:trPr/>
        <w:tc>
          <w:tcPr>
            <w:tcW w:w="7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81" w:type="dxa"/>
            <w:tcBorders/>
            <w:shd w:fill="auto" w:val="clear"/>
            <w:vAlign w:val="bottom"/>
          </w:tcPr>
          <w:p>
            <w:pPr>
              <w:pStyle w:val="TableContents"/>
              <w:spacing w:before="0" w:after="0"/>
              <w:ind w:left="0" w:right="0" w:hanging="0"/>
              <w:rPr/>
            </w:pPr>
            <w:r>
              <w:rPr/>
              <w:t> </w:t>
            </w:r>
          </w:p>
        </w:tc>
        <w:tc>
          <w:tcPr>
            <w:tcW w:w="11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2" w:type="dxa"/>
            <w:tcBorders/>
            <w:shd w:fill="auto" w:val="clear"/>
            <w:vAlign w:val="bottom"/>
          </w:tcPr>
          <w:p>
            <w:pPr>
              <w:pStyle w:val="TableContents"/>
              <w:spacing w:before="0" w:after="0"/>
              <w:ind w:left="0" w:right="0" w:hanging="0"/>
              <w:rPr/>
            </w:pPr>
            <w:r>
              <w:rPr/>
              <w:t> </w:t>
            </w:r>
          </w:p>
        </w:tc>
        <w:tc>
          <w:tcPr>
            <w:tcW w:w="12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2" w:type="dxa"/>
            <w:tcBorders/>
            <w:shd w:fill="auto" w:val="clear"/>
            <w:vAlign w:val="bottom"/>
          </w:tcPr>
          <w:p>
            <w:pPr>
              <w:pStyle w:val="TableContents"/>
              <w:spacing w:before="0" w:after="0"/>
              <w:ind w:left="0" w:right="0" w:hanging="0"/>
              <w:rPr/>
            </w:pPr>
            <w:r>
              <w:rPr/>
              <w:t> </w:t>
            </w:r>
          </w:p>
        </w:tc>
      </w:tr>
      <w:tr>
        <w:trPr/>
        <w:tc>
          <w:tcPr>
            <w:tcW w:w="73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short-term debt</w:t>
            </w:r>
          </w:p>
        </w:tc>
        <w:tc>
          <w:tcPr>
            <w:tcW w:w="181" w:type="dxa"/>
            <w:tcBorders/>
            <w:shd w:fill="CCEEFF" w:val="clear"/>
            <w:vAlign w:val="bottom"/>
          </w:tcPr>
          <w:p>
            <w:pPr>
              <w:pStyle w:val="TableContents"/>
              <w:spacing w:before="0" w:after="0"/>
              <w:ind w:left="0" w:right="0" w:hanging="0"/>
              <w:rPr/>
            </w:pPr>
            <w:r>
              <w:rPr/>
              <w:t> </w:t>
            </w:r>
          </w:p>
        </w:tc>
        <w:tc>
          <w:tcPr>
            <w:tcW w:w="11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951</w:t>
            </w:r>
          </w:p>
        </w:tc>
        <w:tc>
          <w:tcPr>
            <w:tcW w:w="192"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1,074</w:t>
            </w:r>
          </w:p>
        </w:tc>
        <w:tc>
          <w:tcPr>
            <w:tcW w:w="122" w:type="dxa"/>
            <w:tcBorders/>
            <w:shd w:fill="CCEEFF" w:val="clear"/>
            <w:vAlign w:val="bottom"/>
          </w:tcPr>
          <w:p>
            <w:pPr>
              <w:pStyle w:val="TableContents"/>
              <w:spacing w:before="0" w:after="0"/>
              <w:ind w:left="0" w:right="0" w:hanging="0"/>
              <w:rPr/>
            </w:pPr>
            <w:r>
              <w:rPr/>
              <w:t> </w:t>
            </w:r>
          </w:p>
        </w:tc>
      </w:tr>
      <w:tr>
        <w:trPr/>
        <w:tc>
          <w:tcPr>
            <w:tcW w:w="7339"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1137"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7339" w:type="dxa"/>
            <w:tcBorders/>
            <w:shd w:fill="CCEEFF"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Long-term debt:</w:t>
            </w:r>
          </w:p>
        </w:tc>
        <w:tc>
          <w:tcPr>
            <w:tcW w:w="181" w:type="dxa"/>
            <w:tcBorders/>
            <w:shd w:fill="CCEEFF" w:val="clear"/>
            <w:vAlign w:val="bottom"/>
          </w:tcPr>
          <w:p>
            <w:pPr>
              <w:pStyle w:val="TableContents"/>
              <w:spacing w:before="0" w:after="0"/>
              <w:ind w:left="0" w:right="0" w:hanging="0"/>
              <w:rPr/>
            </w:pPr>
            <w:r>
              <w:rPr/>
              <w:t> </w:t>
            </w:r>
          </w:p>
        </w:tc>
        <w:tc>
          <w:tcPr>
            <w:tcW w:w="1137"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7339" w:type="dxa"/>
            <w:tcBorders/>
            <w:shd w:fill="auto" w:val="clear"/>
            <w:vAlign w:val="bottom"/>
          </w:tcPr>
          <w:p>
            <w:pPr>
              <w:pStyle w:val="TableContents"/>
              <w:spacing w:before="0" w:after="0"/>
              <w:ind w:left="0" w:right="0" w:hanging="0"/>
              <w:rPr/>
            </w:pPr>
            <w:r>
              <w:rPr>
                <w:rFonts w:ascii="Times New Roman" w:hAnsi="Times New Roman"/>
                <w:sz w:val="17"/>
              </w:rPr>
              <w:t xml:space="preserve">4.25% senior notes due September 2012 </w:t>
            </w:r>
            <w:r>
              <w:rPr>
                <w:sz w:val="11"/>
              </w:rPr>
              <w:t>(2)</w:t>
            </w:r>
          </w:p>
        </w:tc>
        <w:tc>
          <w:tcPr>
            <w:tcW w:w="181" w:type="dxa"/>
            <w:tcBorders/>
            <w:shd w:fill="auto" w:val="clear"/>
            <w:vAlign w:val="bottom"/>
          </w:tcPr>
          <w:p>
            <w:pPr>
              <w:pStyle w:val="TableContents"/>
              <w:spacing w:before="0" w:after="0"/>
              <w:ind w:left="0" w:right="0" w:hanging="0"/>
              <w:rPr/>
            </w:pPr>
            <w:r>
              <w:rPr/>
              <w:t> </w:t>
            </w:r>
          </w:p>
        </w:tc>
        <w:tc>
          <w:tcPr>
            <w:tcW w:w="11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192"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122" w:type="dxa"/>
            <w:tcBorders/>
            <w:shd w:fill="auto" w:val="clear"/>
            <w:vAlign w:val="bottom"/>
          </w:tcPr>
          <w:p>
            <w:pPr>
              <w:pStyle w:val="TableContents"/>
              <w:spacing w:before="0" w:after="0"/>
              <w:ind w:left="0" w:right="0" w:hanging="0"/>
              <w:rPr/>
            </w:pPr>
            <w:r>
              <w:rPr/>
              <w:t> </w:t>
            </w:r>
          </w:p>
        </w:tc>
      </w:tr>
      <w:tr>
        <w:trPr/>
        <w:tc>
          <w:tcPr>
            <w:tcW w:w="73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7.75% senior notes due October 2012</w:t>
            </w:r>
          </w:p>
        </w:tc>
        <w:tc>
          <w:tcPr>
            <w:tcW w:w="181" w:type="dxa"/>
            <w:tcBorders/>
            <w:shd w:fill="CCEEFF" w:val="clear"/>
            <w:vAlign w:val="bottom"/>
          </w:tcPr>
          <w:p>
            <w:pPr>
              <w:pStyle w:val="TableContents"/>
              <w:spacing w:before="0" w:after="0"/>
              <w:ind w:left="0" w:right="0" w:hanging="0"/>
              <w:rPr/>
            </w:pPr>
            <w:r>
              <w:rPr/>
              <w:t> </w:t>
            </w:r>
          </w:p>
        </w:tc>
        <w:tc>
          <w:tcPr>
            <w:tcW w:w="11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92"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22" w:type="dxa"/>
            <w:tcBorders/>
            <w:shd w:fill="CCEEFF" w:val="clear"/>
            <w:vAlign w:val="bottom"/>
          </w:tcPr>
          <w:p>
            <w:pPr>
              <w:pStyle w:val="TableContents"/>
              <w:spacing w:before="0" w:after="0"/>
              <w:ind w:left="0" w:right="0" w:hanging="0"/>
              <w:rPr/>
            </w:pPr>
            <w:r>
              <w:rPr/>
              <w:t> </w:t>
            </w:r>
          </w:p>
        </w:tc>
      </w:tr>
      <w:tr>
        <w:trPr/>
        <w:tc>
          <w:tcPr>
            <w:tcW w:w="7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5.63% senior notes due December 2013</w:t>
            </w:r>
          </w:p>
        </w:tc>
        <w:tc>
          <w:tcPr>
            <w:tcW w:w="181" w:type="dxa"/>
            <w:tcBorders/>
            <w:shd w:fill="auto" w:val="clear"/>
            <w:vAlign w:val="bottom"/>
          </w:tcPr>
          <w:p>
            <w:pPr>
              <w:pStyle w:val="TableContents"/>
              <w:spacing w:before="0" w:after="0"/>
              <w:ind w:left="0" w:right="0" w:hanging="0"/>
              <w:rPr/>
            </w:pPr>
            <w:r>
              <w:rPr/>
              <w:t> </w:t>
            </w:r>
          </w:p>
        </w:tc>
        <w:tc>
          <w:tcPr>
            <w:tcW w:w="11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92"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22" w:type="dxa"/>
            <w:tcBorders/>
            <w:shd w:fill="auto" w:val="clear"/>
            <w:vAlign w:val="bottom"/>
          </w:tcPr>
          <w:p>
            <w:pPr>
              <w:pStyle w:val="TableContents"/>
              <w:spacing w:before="0" w:after="0"/>
              <w:ind w:left="0" w:right="0" w:hanging="0"/>
              <w:rPr/>
            </w:pPr>
            <w:r>
              <w:rPr/>
              <w:t> </w:t>
            </w:r>
          </w:p>
        </w:tc>
      </w:tr>
      <w:tr>
        <w:trPr/>
        <w:tc>
          <w:tcPr>
            <w:tcW w:w="73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5.25% senior notes due June 2015</w:t>
            </w:r>
          </w:p>
        </w:tc>
        <w:tc>
          <w:tcPr>
            <w:tcW w:w="181" w:type="dxa"/>
            <w:tcBorders/>
            <w:shd w:fill="CCEEFF" w:val="clear"/>
            <w:vAlign w:val="bottom"/>
          </w:tcPr>
          <w:p>
            <w:pPr>
              <w:pStyle w:val="TableContents"/>
              <w:spacing w:before="0" w:after="0"/>
              <w:ind w:left="0" w:right="0" w:hanging="0"/>
              <w:rPr/>
            </w:pPr>
            <w:r>
              <w:rPr/>
              <w:t> </w:t>
            </w:r>
          </w:p>
        </w:tc>
        <w:tc>
          <w:tcPr>
            <w:tcW w:w="11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92"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22" w:type="dxa"/>
            <w:tcBorders/>
            <w:shd w:fill="CCEEFF" w:val="clear"/>
            <w:vAlign w:val="bottom"/>
          </w:tcPr>
          <w:p>
            <w:pPr>
              <w:pStyle w:val="TableContents"/>
              <w:spacing w:before="0" w:after="0"/>
              <w:ind w:left="0" w:right="0" w:hanging="0"/>
              <w:rPr/>
            </w:pPr>
            <w:r>
              <w:rPr/>
              <w:t> </w:t>
            </w:r>
          </w:p>
        </w:tc>
      </w:tr>
      <w:tr>
        <w:trPr/>
        <w:tc>
          <w:tcPr>
            <w:tcW w:w="7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6.25% senior notes due September 2015</w:t>
            </w:r>
          </w:p>
        </w:tc>
        <w:tc>
          <w:tcPr>
            <w:tcW w:w="181" w:type="dxa"/>
            <w:tcBorders/>
            <w:shd w:fill="auto" w:val="clear"/>
            <w:vAlign w:val="bottom"/>
          </w:tcPr>
          <w:p>
            <w:pPr>
              <w:pStyle w:val="TableContents"/>
              <w:spacing w:before="0" w:after="0"/>
              <w:ind w:left="0" w:right="0" w:hanging="0"/>
              <w:rPr/>
            </w:pPr>
            <w:r>
              <w:rPr/>
              <w:t> </w:t>
            </w:r>
          </w:p>
        </w:tc>
        <w:tc>
          <w:tcPr>
            <w:tcW w:w="11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92"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22" w:type="dxa"/>
            <w:tcBorders/>
            <w:shd w:fill="auto" w:val="clear"/>
            <w:vAlign w:val="bottom"/>
          </w:tcPr>
          <w:p>
            <w:pPr>
              <w:pStyle w:val="TableContents"/>
              <w:spacing w:before="0" w:after="0"/>
              <w:ind w:left="0" w:right="0" w:hanging="0"/>
              <w:rPr/>
            </w:pPr>
            <w:r>
              <w:rPr/>
              <w:t> </w:t>
            </w:r>
          </w:p>
        </w:tc>
      </w:tr>
      <w:tr>
        <w:trPr/>
        <w:tc>
          <w:tcPr>
            <w:tcW w:w="73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5.88% senior notes due August 2016</w:t>
            </w:r>
          </w:p>
        </w:tc>
        <w:tc>
          <w:tcPr>
            <w:tcW w:w="181" w:type="dxa"/>
            <w:tcBorders/>
            <w:shd w:fill="CCEEFF" w:val="clear"/>
            <w:vAlign w:val="bottom"/>
          </w:tcPr>
          <w:p>
            <w:pPr>
              <w:pStyle w:val="TableContents"/>
              <w:spacing w:before="0" w:after="0"/>
              <w:ind w:left="0" w:right="0" w:hanging="0"/>
              <w:rPr/>
            </w:pPr>
            <w:r>
              <w:rPr/>
              <w:t> </w:t>
            </w:r>
          </w:p>
        </w:tc>
        <w:tc>
          <w:tcPr>
            <w:tcW w:w="11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92"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22" w:type="dxa"/>
            <w:tcBorders/>
            <w:shd w:fill="CCEEFF" w:val="clear"/>
            <w:vAlign w:val="bottom"/>
          </w:tcPr>
          <w:p>
            <w:pPr>
              <w:pStyle w:val="TableContents"/>
              <w:spacing w:before="0" w:after="0"/>
              <w:ind w:left="0" w:right="0" w:hanging="0"/>
              <w:rPr/>
            </w:pPr>
            <w:r>
              <w:rPr/>
              <w:t> </w:t>
            </w:r>
          </w:p>
        </w:tc>
      </w:tr>
      <w:tr>
        <w:trPr/>
        <w:tc>
          <w:tcPr>
            <w:tcW w:w="7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6.13% senior notes due January 2017</w:t>
            </w:r>
          </w:p>
        </w:tc>
        <w:tc>
          <w:tcPr>
            <w:tcW w:w="181" w:type="dxa"/>
            <w:tcBorders/>
            <w:shd w:fill="auto" w:val="clear"/>
            <w:vAlign w:val="bottom"/>
          </w:tcPr>
          <w:p>
            <w:pPr>
              <w:pStyle w:val="TableContents"/>
              <w:spacing w:before="0" w:after="0"/>
              <w:ind w:left="0" w:right="0" w:hanging="0"/>
              <w:rPr/>
            </w:pPr>
            <w:r>
              <w:rPr/>
              <w:t> </w:t>
            </w:r>
          </w:p>
        </w:tc>
        <w:tc>
          <w:tcPr>
            <w:tcW w:w="11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92"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22" w:type="dxa"/>
            <w:tcBorders/>
            <w:shd w:fill="auto" w:val="clear"/>
            <w:vAlign w:val="bottom"/>
          </w:tcPr>
          <w:p>
            <w:pPr>
              <w:pStyle w:val="TableContents"/>
              <w:spacing w:before="0" w:after="0"/>
              <w:ind w:left="0" w:right="0" w:hanging="0"/>
              <w:rPr/>
            </w:pPr>
            <w:r>
              <w:rPr/>
              <w:t> </w:t>
            </w:r>
          </w:p>
        </w:tc>
      </w:tr>
      <w:tr>
        <w:trPr/>
        <w:tc>
          <w:tcPr>
            <w:tcW w:w="73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6.50% senior notes due May 2018</w:t>
            </w:r>
          </w:p>
        </w:tc>
        <w:tc>
          <w:tcPr>
            <w:tcW w:w="181" w:type="dxa"/>
            <w:tcBorders/>
            <w:shd w:fill="CCEEFF" w:val="clear"/>
            <w:vAlign w:val="bottom"/>
          </w:tcPr>
          <w:p>
            <w:pPr>
              <w:pStyle w:val="TableContents"/>
              <w:spacing w:before="0" w:after="0"/>
              <w:ind w:left="0" w:right="0" w:hanging="0"/>
              <w:rPr/>
            </w:pPr>
            <w:r>
              <w:rPr/>
              <w:t> </w:t>
            </w:r>
          </w:p>
        </w:tc>
        <w:tc>
          <w:tcPr>
            <w:tcW w:w="11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192"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122" w:type="dxa"/>
            <w:tcBorders/>
            <w:shd w:fill="CCEEFF" w:val="clear"/>
            <w:vAlign w:val="bottom"/>
          </w:tcPr>
          <w:p>
            <w:pPr>
              <w:pStyle w:val="TableContents"/>
              <w:spacing w:before="0" w:after="0"/>
              <w:ind w:left="0" w:right="0" w:hanging="0"/>
              <w:rPr/>
            </w:pPr>
            <w:r>
              <w:rPr/>
              <w:t> </w:t>
            </w:r>
          </w:p>
        </w:tc>
      </w:tr>
      <w:tr>
        <w:trPr/>
        <w:tc>
          <w:tcPr>
            <w:tcW w:w="7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8.75% senior notes due May 2019</w:t>
            </w:r>
          </w:p>
        </w:tc>
        <w:tc>
          <w:tcPr>
            <w:tcW w:w="181" w:type="dxa"/>
            <w:tcBorders/>
            <w:shd w:fill="auto" w:val="clear"/>
            <w:vAlign w:val="bottom"/>
          </w:tcPr>
          <w:p>
            <w:pPr>
              <w:pStyle w:val="TableContents"/>
              <w:spacing w:before="0" w:after="0"/>
              <w:ind w:left="0" w:right="0" w:hanging="0"/>
              <w:rPr/>
            </w:pPr>
            <w:r>
              <w:rPr/>
              <w:t> </w:t>
            </w:r>
          </w:p>
        </w:tc>
        <w:tc>
          <w:tcPr>
            <w:tcW w:w="11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192"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122" w:type="dxa"/>
            <w:tcBorders/>
            <w:shd w:fill="auto" w:val="clear"/>
            <w:vAlign w:val="bottom"/>
          </w:tcPr>
          <w:p>
            <w:pPr>
              <w:pStyle w:val="TableContents"/>
              <w:spacing w:before="0" w:after="0"/>
              <w:ind w:left="0" w:right="0" w:hanging="0"/>
              <w:rPr/>
            </w:pPr>
            <w:r>
              <w:rPr/>
              <w:t> </w:t>
            </w:r>
          </w:p>
        </w:tc>
      </w:tr>
      <w:tr>
        <w:trPr/>
        <w:tc>
          <w:tcPr>
            <w:tcW w:w="73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5.75% senior notes due January 2020</w:t>
            </w:r>
          </w:p>
        </w:tc>
        <w:tc>
          <w:tcPr>
            <w:tcW w:w="181" w:type="dxa"/>
            <w:tcBorders/>
            <w:shd w:fill="CCEEFF" w:val="clear"/>
            <w:vAlign w:val="bottom"/>
          </w:tcPr>
          <w:p>
            <w:pPr>
              <w:pStyle w:val="TableContents"/>
              <w:spacing w:before="0" w:after="0"/>
              <w:ind w:left="0" w:right="0" w:hanging="0"/>
              <w:rPr/>
            </w:pPr>
            <w:r>
              <w:rPr/>
              <w:t> </w:t>
            </w:r>
          </w:p>
        </w:tc>
        <w:tc>
          <w:tcPr>
            <w:tcW w:w="11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192"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122" w:type="dxa"/>
            <w:tcBorders/>
            <w:shd w:fill="CCEEFF" w:val="clear"/>
            <w:vAlign w:val="bottom"/>
          </w:tcPr>
          <w:p>
            <w:pPr>
              <w:pStyle w:val="TableContents"/>
              <w:spacing w:before="0" w:after="0"/>
              <w:ind w:left="0" w:right="0" w:hanging="0"/>
              <w:rPr/>
            </w:pPr>
            <w:r>
              <w:rPr/>
              <w:t> </w:t>
            </w:r>
          </w:p>
        </w:tc>
      </w:tr>
      <w:tr>
        <w:trPr/>
        <w:tc>
          <w:tcPr>
            <w:tcW w:w="7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6.70% senior notes due May 2036</w:t>
            </w:r>
          </w:p>
        </w:tc>
        <w:tc>
          <w:tcPr>
            <w:tcW w:w="181" w:type="dxa"/>
            <w:tcBorders/>
            <w:shd w:fill="auto" w:val="clear"/>
            <w:vAlign w:val="bottom"/>
          </w:tcPr>
          <w:p>
            <w:pPr>
              <w:pStyle w:val="TableContents"/>
              <w:spacing w:before="0" w:after="0"/>
              <w:ind w:left="0" w:right="0" w:hanging="0"/>
              <w:rPr/>
            </w:pPr>
            <w:r>
              <w:rPr/>
              <w:t> </w:t>
            </w:r>
          </w:p>
        </w:tc>
        <w:tc>
          <w:tcPr>
            <w:tcW w:w="11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92"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22" w:type="dxa"/>
            <w:tcBorders/>
            <w:shd w:fill="auto" w:val="clear"/>
            <w:vAlign w:val="bottom"/>
          </w:tcPr>
          <w:p>
            <w:pPr>
              <w:pStyle w:val="TableContents"/>
              <w:spacing w:before="0" w:after="0"/>
              <w:ind w:left="0" w:right="0" w:hanging="0"/>
              <w:rPr/>
            </w:pPr>
            <w:r>
              <w:rPr/>
              <w:t> </w:t>
            </w:r>
          </w:p>
        </w:tc>
      </w:tr>
      <w:tr>
        <w:trPr/>
        <w:tc>
          <w:tcPr>
            <w:tcW w:w="73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6.65% senior notes due January 2037</w:t>
            </w:r>
          </w:p>
        </w:tc>
        <w:tc>
          <w:tcPr>
            <w:tcW w:w="181" w:type="dxa"/>
            <w:tcBorders/>
            <w:shd w:fill="CCEEFF" w:val="clear"/>
            <w:vAlign w:val="bottom"/>
          </w:tcPr>
          <w:p>
            <w:pPr>
              <w:pStyle w:val="TableContents"/>
              <w:spacing w:before="0" w:after="0"/>
              <w:ind w:left="0" w:right="0" w:hanging="0"/>
              <w:rPr/>
            </w:pPr>
            <w:r>
              <w:rPr/>
              <w:t> </w:t>
            </w:r>
          </w:p>
        </w:tc>
        <w:tc>
          <w:tcPr>
            <w:tcW w:w="11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192"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122" w:type="dxa"/>
            <w:tcBorders/>
            <w:shd w:fill="CCEEFF" w:val="clear"/>
            <w:vAlign w:val="bottom"/>
          </w:tcPr>
          <w:p>
            <w:pPr>
              <w:pStyle w:val="TableContents"/>
              <w:spacing w:before="0" w:after="0"/>
              <w:ind w:left="0" w:right="0" w:hanging="0"/>
              <w:rPr/>
            </w:pPr>
            <w:r>
              <w:rPr/>
              <w:t> </w:t>
            </w:r>
          </w:p>
        </w:tc>
      </w:tr>
      <w:tr>
        <w:trPr/>
        <w:tc>
          <w:tcPr>
            <w:tcW w:w="7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Unamortized premium/(discount), net</w:t>
            </w:r>
          </w:p>
        </w:tc>
        <w:tc>
          <w:tcPr>
            <w:tcW w:w="181" w:type="dxa"/>
            <w:tcBorders/>
            <w:shd w:fill="auto" w:val="clear"/>
            <w:vAlign w:val="bottom"/>
          </w:tcPr>
          <w:p>
            <w:pPr>
              <w:pStyle w:val="TableContents"/>
              <w:spacing w:before="0" w:after="0"/>
              <w:ind w:left="0" w:right="0" w:hanging="0"/>
              <w:rPr/>
            </w:pPr>
            <w:r>
              <w:rPr/>
              <w:t> </w:t>
            </w:r>
          </w:p>
        </w:tc>
        <w:tc>
          <w:tcPr>
            <w:tcW w:w="11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181" w:type="dxa"/>
            <w:tcBorders/>
            <w:shd w:fill="CCEEFF" w:val="clear"/>
            <w:vAlign w:val="bottom"/>
          </w:tcPr>
          <w:p>
            <w:pPr>
              <w:pStyle w:val="TableContents"/>
              <w:spacing w:before="0" w:after="0"/>
              <w:ind w:left="0" w:right="0" w:hanging="0"/>
              <w:rPr/>
            </w:pPr>
            <w:r>
              <w:rPr/>
              <w:t> </w:t>
            </w:r>
          </w:p>
        </w:tc>
        <w:tc>
          <w:tcPr>
            <w:tcW w:w="113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92" w:type="dxa"/>
            <w:tcBorders/>
            <w:shd w:fill="CCEEFF" w:val="clear"/>
            <w:vAlign w:val="bottom"/>
          </w:tcPr>
          <w:p>
            <w:pPr>
              <w:pStyle w:val="TableContents"/>
              <w:spacing w:before="0" w:after="0"/>
              <w:ind w:left="0" w:right="0" w:hanging="0"/>
              <w:rPr/>
            </w:pPr>
            <w:r>
              <w:rPr/>
              <w:t> </w:t>
            </w:r>
          </w:p>
        </w:tc>
        <w:tc>
          <w:tcPr>
            <w:tcW w:w="12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2" w:type="dxa"/>
            <w:tcBorders/>
            <w:shd w:fill="CCEEFF" w:val="clear"/>
            <w:vAlign w:val="bottom"/>
          </w:tcPr>
          <w:p>
            <w:pPr>
              <w:pStyle w:val="TableContents"/>
              <w:spacing w:before="0" w:after="0"/>
              <w:ind w:left="0" w:right="0" w:hanging="0"/>
              <w:rPr/>
            </w:pPr>
            <w:r>
              <w:rPr/>
              <w:t> </w:t>
            </w:r>
          </w:p>
        </w:tc>
      </w:tr>
      <w:tr>
        <w:trPr/>
        <w:tc>
          <w:tcPr>
            <w:tcW w:w="7339" w:type="dxa"/>
            <w:tcBorders/>
            <w:shd w:fill="auto" w:val="clear"/>
            <w:vAlign w:val="bottom"/>
          </w:tcPr>
          <w:p>
            <w:pPr>
              <w:pStyle w:val="TableContents"/>
              <w:spacing w:before="0" w:after="0"/>
              <w:ind w:left="0" w:right="0" w:hanging="0"/>
              <w:rPr/>
            </w:pPr>
            <w:r>
              <w:rPr>
                <w:rFonts w:ascii="Times New Roman" w:hAnsi="Times New Roman"/>
                <w:sz w:val="17"/>
              </w:rPr>
              <w:t xml:space="preserve">Total long-term debt </w:t>
            </w:r>
            <w:r>
              <w:rPr>
                <w:sz w:val="11"/>
              </w:rPr>
              <w:t>(1) (3)</w:t>
            </w:r>
          </w:p>
        </w:tc>
        <w:tc>
          <w:tcPr>
            <w:tcW w:w="181" w:type="dxa"/>
            <w:tcBorders/>
            <w:shd w:fill="auto" w:val="clear"/>
            <w:vAlign w:val="bottom"/>
          </w:tcPr>
          <w:p>
            <w:pPr>
              <w:pStyle w:val="TableContents"/>
              <w:spacing w:before="0" w:after="0"/>
              <w:ind w:left="0" w:right="0" w:hanging="0"/>
              <w:rPr/>
            </w:pPr>
            <w:r>
              <w:rPr/>
              <w:t> </w:t>
            </w:r>
          </w:p>
        </w:tc>
        <w:tc>
          <w:tcPr>
            <w:tcW w:w="11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4,144</w:t>
            </w:r>
          </w:p>
        </w:tc>
        <w:tc>
          <w:tcPr>
            <w:tcW w:w="192" w:type="dxa"/>
            <w:tcBorders/>
            <w:shd w:fill="auto" w:val="clear"/>
            <w:vAlign w:val="bottom"/>
          </w:tcPr>
          <w:p>
            <w:pPr>
              <w:pStyle w:val="TableContents"/>
              <w:spacing w:before="0" w:after="0"/>
              <w:ind w:left="0" w:right="0" w:hanging="0"/>
              <w:rPr/>
            </w:pPr>
            <w:r>
              <w:rPr/>
              <w:t> </w:t>
            </w:r>
          </w:p>
        </w:tc>
        <w:tc>
          <w:tcPr>
            <w:tcW w:w="12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4,142</w:t>
            </w:r>
          </w:p>
        </w:tc>
        <w:tc>
          <w:tcPr>
            <w:tcW w:w="122" w:type="dxa"/>
            <w:tcBorders/>
            <w:shd w:fill="auto" w:val="clear"/>
            <w:vAlign w:val="bottom"/>
          </w:tcPr>
          <w:p>
            <w:pPr>
              <w:pStyle w:val="TableContents"/>
              <w:spacing w:before="0" w:after="0"/>
              <w:ind w:left="0" w:right="0" w:hanging="0"/>
              <w:rPr/>
            </w:pPr>
            <w:r>
              <w:rPr/>
              <w:t> </w:t>
            </w:r>
          </w:p>
        </w:tc>
      </w:tr>
      <w:tr>
        <w:trPr/>
        <w:tc>
          <w:tcPr>
            <w:tcW w:w="73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w:t>
            </w:r>
          </w:p>
        </w:tc>
        <w:tc>
          <w:tcPr>
            <w:tcW w:w="18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5,095</w:t>
            </w:r>
          </w:p>
        </w:tc>
        <w:tc>
          <w:tcPr>
            <w:tcW w:w="192" w:type="dxa"/>
            <w:tcBorders/>
            <w:shd w:fill="CCEEFF" w:val="clear"/>
            <w:vAlign w:val="bottom"/>
          </w:tcPr>
          <w:p>
            <w:pPr>
              <w:pStyle w:val="TableContents"/>
              <w:spacing w:before="0" w:after="0"/>
              <w:ind w:left="0" w:right="0" w:hanging="0"/>
              <w:rPr/>
            </w:pPr>
            <w:r>
              <w:rPr/>
              <w:t> </w:t>
            </w:r>
          </w:p>
        </w:tc>
        <w:tc>
          <w:tcPr>
            <w:tcW w:w="15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5,216</w:t>
            </w:r>
          </w:p>
        </w:tc>
        <w:tc>
          <w:tcPr>
            <w:tcW w:w="12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classify borrowings under our senior unsecured revolving credit facility as short-term. These borrowings are designated as working capital borrowings, must be repaid within one year and are primarily for hedged LPG and crude oil inventory and NYMEX and ICE margin deposits.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These notes were issued in July 2009 and the proceeds are being used to supplement capital available from our hedged inventory facility.  At March 31, 2010, approximately $209 million had been used to fund hedged inventory and would be classified as short-term debt if funded on our credit facilities.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Our fixed rate senior notes have a face value of approximately $4.2 billion as of March 31, 2010. We estimate the aggregate fair value of these notes as of March 31, 2010 to be approximately $4.5 billion.  Our fixed-rate senior notes are traded among institutions, which trades are routinely published by a reporting service.  Our determination of fair value is based on reported trading activity near quarter end.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Letters of Credit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In connection with our crude oil supply and logistics activities, we provide certain suppliers with irrevocable standby letters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25" w:name="PB_10_151407_455"/>
      <w:bookmarkEnd w:id="2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of credit to secure our obligation for the purchase of crude oil.  At March 31, 2010 and December 31, 2009, we had outstanding letters of credit of approximately $107 million and $76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6Net Income Per Limited Partner Unit</w:t>
      </w:r>
      <w:bookmarkStart w:id="26" w:name="Note7netIncomePerLimitedPartnerUn_151413"/>
      <w:bookmarkEnd w:id="2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computation of basic and diluted earnings per limited partner unit for the three months ended March 31, 2010 and 2009 (amounts 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999"/>
        <w:gridCol w:w="210"/>
        <w:gridCol w:w="104"/>
        <w:gridCol w:w="737"/>
        <w:gridCol w:w="210"/>
        <w:gridCol w:w="104"/>
        <w:gridCol w:w="736"/>
        <w:gridCol w:w="105"/>
      </w:tblGrid>
      <w:tr>
        <w:trPr/>
        <w:tc>
          <w:tcPr>
            <w:tcW w:w="7999"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89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March 31,</w:t>
            </w:r>
          </w:p>
        </w:tc>
        <w:tc>
          <w:tcPr>
            <w:tcW w:w="105" w:type="dxa"/>
            <w:tcBorders/>
            <w:shd w:fill="auto" w:val="clear"/>
            <w:vAlign w:val="bottom"/>
          </w:tcPr>
          <w:p>
            <w:pPr>
              <w:pStyle w:val="TableContents"/>
              <w:spacing w:before="0" w:after="0"/>
              <w:ind w:left="0" w:right="0" w:hanging="0"/>
              <w:jc w:val="center"/>
              <w:rPr/>
            </w:pPr>
            <w:r>
              <w:rPr/>
              <w:t> </w:t>
            </w:r>
          </w:p>
        </w:tc>
      </w:tr>
      <w:tr>
        <w:trPr/>
        <w:tc>
          <w:tcPr>
            <w:tcW w:w="7999"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8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4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05" w:type="dxa"/>
            <w:tcBorders/>
            <w:shd w:fill="auto" w:val="clear"/>
            <w:vAlign w:val="bottom"/>
          </w:tcPr>
          <w:p>
            <w:pPr>
              <w:pStyle w:val="TableContents"/>
              <w:spacing w:before="0" w:after="0"/>
              <w:ind w:left="0" w:right="0" w:hanging="0"/>
              <w:jc w:val="center"/>
              <w:rPr/>
            </w:pPr>
            <w:r>
              <w:rPr/>
              <w:t> </w:t>
            </w:r>
          </w:p>
        </w:tc>
      </w:tr>
      <w:tr>
        <w:trPr/>
        <w:tc>
          <w:tcPr>
            <w:tcW w:w="799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Numerator for basic and diluted earnings per limited partner unit:</w:t>
            </w:r>
          </w:p>
        </w:tc>
        <w:tc>
          <w:tcPr>
            <w:tcW w:w="210" w:type="dxa"/>
            <w:tcBorders/>
            <w:shd w:fill="CCEEFF" w:val="clear"/>
            <w:vAlign w:val="bottom"/>
          </w:tcPr>
          <w:p>
            <w:pPr>
              <w:pStyle w:val="TableContents"/>
              <w:spacing w:before="0" w:after="0"/>
              <w:ind w:left="0" w:right="0" w:hanging="0"/>
              <w:rPr/>
            </w:pPr>
            <w:r>
              <w:rPr/>
              <w:t> </w:t>
            </w:r>
          </w:p>
        </w:tc>
        <w:tc>
          <w:tcPr>
            <w:tcW w:w="841"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840"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r>
      <w:tr>
        <w:trPr/>
        <w:tc>
          <w:tcPr>
            <w:tcW w:w="799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Net income</w:t>
            </w:r>
          </w:p>
        </w:tc>
        <w:tc>
          <w:tcPr>
            <w:tcW w:w="210"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37"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151</w:t>
            </w:r>
          </w:p>
        </w:tc>
        <w:tc>
          <w:tcPr>
            <w:tcW w:w="210"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36"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211</w:t>
            </w:r>
          </w:p>
        </w:tc>
        <w:tc>
          <w:tcPr>
            <w:tcW w:w="105" w:type="dxa"/>
            <w:tcBorders/>
            <w:shd w:fill="auto" w:val="clear"/>
            <w:vAlign w:val="bottom"/>
          </w:tcPr>
          <w:p>
            <w:pPr>
              <w:pStyle w:val="TableContents"/>
              <w:spacing w:before="0" w:after="0"/>
              <w:ind w:left="0" w:right="0" w:hanging="0"/>
              <w:rPr/>
            </w:pPr>
            <w:r>
              <w:rPr/>
              <w:t> </w:t>
            </w:r>
          </w:p>
        </w:tc>
      </w:tr>
      <w:tr>
        <w:trPr/>
        <w:tc>
          <w:tcPr>
            <w:tcW w:w="7999" w:type="dxa"/>
            <w:tcBorders/>
            <w:shd w:fill="CCEEFF" w:val="clear"/>
            <w:vAlign w:val="bottom"/>
          </w:tcPr>
          <w:p>
            <w:pPr>
              <w:pStyle w:val="TableContents"/>
              <w:spacing w:before="0" w:after="0"/>
              <w:ind w:left="0" w:right="0" w:hanging="0"/>
              <w:rPr/>
            </w:pPr>
            <w:r>
              <w:rPr>
                <w:rFonts w:ascii="Times New Roman" w:hAnsi="Times New Roman"/>
                <w:sz w:val="15"/>
              </w:rPr>
              <w:t xml:space="preserve">Less: General partners incentive distribution paid </w:t>
            </w:r>
            <w:r>
              <w:rPr>
                <w:sz w:val="10"/>
              </w:rPr>
              <w:t>(1)</w:t>
            </w:r>
          </w:p>
        </w:tc>
        <w:tc>
          <w:tcPr>
            <w:tcW w:w="210" w:type="dxa"/>
            <w:tcBorders/>
            <w:shd w:fill="CCEEFF" w:val="clear"/>
            <w:vAlign w:val="bottom"/>
          </w:tcPr>
          <w:p>
            <w:pPr>
              <w:pStyle w:val="TableContents"/>
              <w:spacing w:before="0" w:after="0"/>
              <w:ind w:left="0" w:right="0" w:hanging="0"/>
              <w:rPr/>
            </w:pPr>
            <w:r>
              <w:rPr/>
              <w:t> </w:t>
            </w:r>
          </w:p>
        </w:tc>
        <w:tc>
          <w:tcPr>
            <w:tcW w:w="8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(37</w:t>
            </w:r>
          </w:p>
        </w:tc>
        <w:tc>
          <w:tcPr>
            <w:tcW w:w="21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(28</w:t>
            </w:r>
          </w:p>
        </w:tc>
        <w:tc>
          <w:tcPr>
            <w:tcW w:w="105"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799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Subtotal</w:t>
            </w:r>
          </w:p>
        </w:tc>
        <w:tc>
          <w:tcPr>
            <w:tcW w:w="210" w:type="dxa"/>
            <w:tcBorders/>
            <w:shd w:fill="auto" w:val="clear"/>
            <w:vAlign w:val="bottom"/>
          </w:tcPr>
          <w:p>
            <w:pPr>
              <w:pStyle w:val="TableContents"/>
              <w:spacing w:before="0" w:after="0"/>
              <w:ind w:left="0" w:right="0" w:hanging="0"/>
              <w:rPr/>
            </w:pPr>
            <w:r>
              <w:rPr/>
              <w:t> </w:t>
            </w:r>
          </w:p>
        </w:tc>
        <w:tc>
          <w:tcPr>
            <w:tcW w:w="841"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114</w:t>
            </w:r>
          </w:p>
        </w:tc>
        <w:tc>
          <w:tcPr>
            <w:tcW w:w="210" w:type="dxa"/>
            <w:tcBorders/>
            <w:shd w:fill="auto" w:val="clear"/>
            <w:vAlign w:val="bottom"/>
          </w:tcPr>
          <w:p>
            <w:pPr>
              <w:pStyle w:val="TableContents"/>
              <w:spacing w:before="0" w:after="0"/>
              <w:ind w:left="0" w:right="0" w:hanging="0"/>
              <w:rPr/>
            </w:pPr>
            <w:r>
              <w:rPr/>
              <w:t> </w:t>
            </w:r>
          </w:p>
        </w:tc>
        <w:tc>
          <w:tcPr>
            <w:tcW w:w="840"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183</w:t>
            </w:r>
          </w:p>
        </w:tc>
        <w:tc>
          <w:tcPr>
            <w:tcW w:w="105" w:type="dxa"/>
            <w:tcBorders/>
            <w:shd w:fill="auto" w:val="clear"/>
            <w:vAlign w:val="bottom"/>
          </w:tcPr>
          <w:p>
            <w:pPr>
              <w:pStyle w:val="TableContents"/>
              <w:spacing w:before="0" w:after="0"/>
              <w:ind w:left="0" w:right="0" w:hanging="0"/>
              <w:rPr/>
            </w:pPr>
            <w:r>
              <w:rPr/>
              <w:t> </w:t>
            </w:r>
          </w:p>
        </w:tc>
      </w:tr>
      <w:tr>
        <w:trPr/>
        <w:tc>
          <w:tcPr>
            <w:tcW w:w="7999" w:type="dxa"/>
            <w:tcBorders/>
            <w:shd w:fill="CCEEFF" w:val="clear"/>
            <w:vAlign w:val="bottom"/>
          </w:tcPr>
          <w:p>
            <w:pPr>
              <w:pStyle w:val="TableContents"/>
              <w:spacing w:before="0" w:after="0"/>
              <w:ind w:left="0" w:right="0" w:hanging="0"/>
              <w:rPr/>
            </w:pPr>
            <w:r>
              <w:rPr>
                <w:rFonts w:ascii="Times New Roman" w:hAnsi="Times New Roman"/>
                <w:sz w:val="15"/>
              </w:rPr>
              <w:t>Less: General partner 2% ownership</w:t>
            </w:r>
            <w:r>
              <w:rPr/>
              <w:t xml:space="preserve"> </w:t>
            </w:r>
            <w:r>
              <w:rPr>
                <w:sz w:val="10"/>
              </w:rPr>
              <w:t>(1)</w:t>
            </w:r>
          </w:p>
        </w:tc>
        <w:tc>
          <w:tcPr>
            <w:tcW w:w="210" w:type="dxa"/>
            <w:tcBorders/>
            <w:shd w:fill="CCEEFF" w:val="clear"/>
            <w:vAlign w:val="bottom"/>
          </w:tcPr>
          <w:p>
            <w:pPr>
              <w:pStyle w:val="TableContents"/>
              <w:spacing w:before="0" w:after="0"/>
              <w:ind w:left="0" w:right="0" w:hanging="0"/>
              <w:rPr/>
            </w:pPr>
            <w:r>
              <w:rPr/>
              <w:t> </w:t>
            </w:r>
          </w:p>
        </w:tc>
        <w:tc>
          <w:tcPr>
            <w:tcW w:w="8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w:t>
            </w:r>
          </w:p>
        </w:tc>
        <w:tc>
          <w:tcPr>
            <w:tcW w:w="21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w:t>
            </w:r>
          </w:p>
        </w:tc>
        <w:tc>
          <w:tcPr>
            <w:tcW w:w="105"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799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Net income available to limited partners</w:t>
            </w:r>
          </w:p>
        </w:tc>
        <w:tc>
          <w:tcPr>
            <w:tcW w:w="210" w:type="dxa"/>
            <w:tcBorders/>
            <w:shd w:fill="auto" w:val="clear"/>
            <w:vAlign w:val="bottom"/>
          </w:tcPr>
          <w:p>
            <w:pPr>
              <w:pStyle w:val="TableContents"/>
              <w:spacing w:before="0" w:after="0"/>
              <w:ind w:left="0" w:right="0" w:hanging="0"/>
              <w:rPr/>
            </w:pPr>
            <w:r>
              <w:rPr/>
              <w:t> </w:t>
            </w:r>
          </w:p>
        </w:tc>
        <w:tc>
          <w:tcPr>
            <w:tcW w:w="841"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112</w:t>
            </w:r>
          </w:p>
        </w:tc>
        <w:tc>
          <w:tcPr>
            <w:tcW w:w="210" w:type="dxa"/>
            <w:tcBorders/>
            <w:shd w:fill="auto" w:val="clear"/>
            <w:vAlign w:val="bottom"/>
          </w:tcPr>
          <w:p>
            <w:pPr>
              <w:pStyle w:val="TableContents"/>
              <w:spacing w:before="0" w:after="0"/>
              <w:ind w:left="0" w:right="0" w:hanging="0"/>
              <w:rPr/>
            </w:pPr>
            <w:r>
              <w:rPr/>
              <w:t> </w:t>
            </w:r>
          </w:p>
        </w:tc>
        <w:tc>
          <w:tcPr>
            <w:tcW w:w="840"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180</w:t>
            </w:r>
          </w:p>
        </w:tc>
        <w:tc>
          <w:tcPr>
            <w:tcW w:w="105" w:type="dxa"/>
            <w:tcBorders/>
            <w:shd w:fill="auto" w:val="clear"/>
            <w:vAlign w:val="bottom"/>
          </w:tcPr>
          <w:p>
            <w:pPr>
              <w:pStyle w:val="TableContents"/>
              <w:spacing w:before="0" w:after="0"/>
              <w:ind w:left="0" w:right="0" w:hanging="0"/>
              <w:rPr/>
            </w:pPr>
            <w:r>
              <w:rPr/>
              <w:t> </w:t>
            </w:r>
          </w:p>
        </w:tc>
      </w:tr>
      <w:tr>
        <w:trPr/>
        <w:tc>
          <w:tcPr>
            <w:tcW w:w="7999" w:type="dxa"/>
            <w:tcBorders/>
            <w:shd w:fill="CCEEFF" w:val="clear"/>
            <w:vAlign w:val="bottom"/>
          </w:tcPr>
          <w:p>
            <w:pPr>
              <w:pStyle w:val="TableContents"/>
              <w:spacing w:before="0" w:after="0"/>
              <w:ind w:left="0" w:right="0" w:hanging="0"/>
              <w:rPr/>
            </w:pPr>
            <w:r>
              <w:rPr>
                <w:rFonts w:ascii="Times New Roman" w:hAnsi="Times New Roman"/>
                <w:sz w:val="15"/>
              </w:rPr>
              <w:t xml:space="preserve">Adjustment in accordance with application of the two-class method for MLPs </w:t>
            </w:r>
            <w:r>
              <w:rPr>
                <w:sz w:val="10"/>
              </w:rPr>
              <w:t>(1)</w:t>
            </w:r>
          </w:p>
        </w:tc>
        <w:tc>
          <w:tcPr>
            <w:tcW w:w="210" w:type="dxa"/>
            <w:tcBorders/>
            <w:shd w:fill="CCEEFF" w:val="clear"/>
            <w:vAlign w:val="bottom"/>
          </w:tcPr>
          <w:p>
            <w:pPr>
              <w:pStyle w:val="TableContents"/>
              <w:spacing w:before="0" w:after="0"/>
              <w:ind w:left="0" w:right="0" w:hanging="0"/>
              <w:rPr/>
            </w:pPr>
            <w:r>
              <w:rPr/>
              <w:t> </w:t>
            </w:r>
          </w:p>
        </w:tc>
        <w:tc>
          <w:tcPr>
            <w:tcW w:w="8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w:t>
            </w:r>
          </w:p>
        </w:tc>
        <w:tc>
          <w:tcPr>
            <w:tcW w:w="21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w:t>
            </w:r>
          </w:p>
        </w:tc>
        <w:tc>
          <w:tcPr>
            <w:tcW w:w="105"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799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Net income available to limited partners in accordance with the application of the two-class method for MLPs</w:t>
            </w:r>
          </w:p>
        </w:tc>
        <w:tc>
          <w:tcPr>
            <w:tcW w:w="210" w:type="dxa"/>
            <w:tcBorders/>
            <w:shd w:fill="auto" w:val="clear"/>
            <w:vAlign w:val="bottom"/>
          </w:tcPr>
          <w:p>
            <w:pPr>
              <w:pStyle w:val="TableContents"/>
              <w:spacing w:before="0" w:after="0"/>
              <w:ind w:left="0" w:right="0" w:hanging="0"/>
              <w:rPr/>
            </w:pPr>
            <w:r>
              <w:rPr/>
              <w:t> </w:t>
            </w:r>
          </w:p>
        </w:tc>
        <w:tc>
          <w:tcPr>
            <w:tcW w:w="10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3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109</w:t>
            </w:r>
          </w:p>
        </w:tc>
        <w:tc>
          <w:tcPr>
            <w:tcW w:w="210" w:type="dxa"/>
            <w:tcBorders/>
            <w:shd w:fill="auto" w:val="clear"/>
            <w:vAlign w:val="bottom"/>
          </w:tcPr>
          <w:p>
            <w:pPr>
              <w:pStyle w:val="TableContents"/>
              <w:spacing w:before="0" w:after="0"/>
              <w:ind w:left="0" w:right="0" w:hanging="0"/>
              <w:rPr/>
            </w:pPr>
            <w:r>
              <w:rPr/>
              <w:t> </w:t>
            </w:r>
          </w:p>
        </w:tc>
        <w:tc>
          <w:tcPr>
            <w:tcW w:w="10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3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176</w:t>
            </w:r>
          </w:p>
        </w:tc>
        <w:tc>
          <w:tcPr>
            <w:tcW w:w="105" w:type="dxa"/>
            <w:tcBorders/>
            <w:shd w:fill="auto" w:val="clear"/>
            <w:vAlign w:val="bottom"/>
          </w:tcPr>
          <w:p>
            <w:pPr>
              <w:pStyle w:val="TableContents"/>
              <w:spacing w:before="0" w:after="0"/>
              <w:ind w:left="0" w:right="0" w:hanging="0"/>
              <w:rPr/>
            </w:pPr>
            <w:r>
              <w:rPr/>
              <w:t> </w:t>
            </w:r>
          </w:p>
        </w:tc>
      </w:tr>
      <w:tr>
        <w:trPr/>
        <w:tc>
          <w:tcPr>
            <w:tcW w:w="7999"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841"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840"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r>
      <w:tr>
        <w:trPr/>
        <w:tc>
          <w:tcPr>
            <w:tcW w:w="799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Denominator:</w:t>
            </w:r>
          </w:p>
        </w:tc>
        <w:tc>
          <w:tcPr>
            <w:tcW w:w="210" w:type="dxa"/>
            <w:tcBorders/>
            <w:shd w:fill="auto" w:val="clear"/>
            <w:vAlign w:val="bottom"/>
          </w:tcPr>
          <w:p>
            <w:pPr>
              <w:pStyle w:val="TableContents"/>
              <w:spacing w:before="0" w:after="0"/>
              <w:ind w:left="0" w:right="0" w:hanging="0"/>
              <w:rPr/>
            </w:pPr>
            <w:r>
              <w:rPr/>
              <w:t> </w:t>
            </w:r>
          </w:p>
        </w:tc>
        <w:tc>
          <w:tcPr>
            <w:tcW w:w="841"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840"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r>
      <w:tr>
        <w:trPr/>
        <w:tc>
          <w:tcPr>
            <w:tcW w:w="799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Basic weighted average number of limited partner units outstanding</w:t>
            </w:r>
          </w:p>
        </w:tc>
        <w:tc>
          <w:tcPr>
            <w:tcW w:w="210" w:type="dxa"/>
            <w:tcBorders/>
            <w:shd w:fill="CCEEFF" w:val="clear"/>
            <w:vAlign w:val="bottom"/>
          </w:tcPr>
          <w:p>
            <w:pPr>
              <w:pStyle w:val="TableContents"/>
              <w:spacing w:before="0" w:after="0"/>
              <w:ind w:left="0" w:right="0" w:hanging="0"/>
              <w:rPr/>
            </w:pPr>
            <w:r>
              <w:rPr/>
              <w:t> </w:t>
            </w:r>
          </w:p>
        </w:tc>
        <w:tc>
          <w:tcPr>
            <w:tcW w:w="841"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136</w:t>
            </w:r>
          </w:p>
        </w:tc>
        <w:tc>
          <w:tcPr>
            <w:tcW w:w="210" w:type="dxa"/>
            <w:tcBorders/>
            <w:shd w:fill="CCEEFF" w:val="clear"/>
            <w:vAlign w:val="bottom"/>
          </w:tcPr>
          <w:p>
            <w:pPr>
              <w:pStyle w:val="TableContents"/>
              <w:spacing w:before="0" w:after="0"/>
              <w:ind w:left="0" w:right="0" w:hanging="0"/>
              <w:rPr/>
            </w:pPr>
            <w:r>
              <w:rPr/>
              <w:t> </w:t>
            </w:r>
          </w:p>
        </w:tc>
        <w:tc>
          <w:tcPr>
            <w:tcW w:w="840"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124</w:t>
            </w:r>
          </w:p>
        </w:tc>
        <w:tc>
          <w:tcPr>
            <w:tcW w:w="105" w:type="dxa"/>
            <w:tcBorders/>
            <w:shd w:fill="CCEEFF" w:val="clear"/>
            <w:vAlign w:val="bottom"/>
          </w:tcPr>
          <w:p>
            <w:pPr>
              <w:pStyle w:val="TableContents"/>
              <w:spacing w:before="0" w:after="0"/>
              <w:ind w:left="0" w:right="0" w:hanging="0"/>
              <w:rPr/>
            </w:pPr>
            <w:r>
              <w:rPr/>
              <w:t> </w:t>
            </w:r>
          </w:p>
        </w:tc>
      </w:tr>
      <w:tr>
        <w:trPr/>
        <w:tc>
          <w:tcPr>
            <w:tcW w:w="799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Effect of dilutive securities:</w:t>
            </w:r>
          </w:p>
        </w:tc>
        <w:tc>
          <w:tcPr>
            <w:tcW w:w="210" w:type="dxa"/>
            <w:tcBorders/>
            <w:shd w:fill="auto" w:val="clear"/>
            <w:vAlign w:val="bottom"/>
          </w:tcPr>
          <w:p>
            <w:pPr>
              <w:pStyle w:val="TableContents"/>
              <w:spacing w:before="0" w:after="0"/>
              <w:ind w:left="0" w:right="0" w:hanging="0"/>
              <w:rPr/>
            </w:pPr>
            <w:r>
              <w:rPr/>
              <w:t> </w:t>
            </w:r>
          </w:p>
        </w:tc>
        <w:tc>
          <w:tcPr>
            <w:tcW w:w="841"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840"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r>
      <w:tr>
        <w:trPr/>
        <w:tc>
          <w:tcPr>
            <w:tcW w:w="7999" w:type="dxa"/>
            <w:tcBorders/>
            <w:shd w:fill="CCEEFF" w:val="clear"/>
            <w:vAlign w:val="bottom"/>
          </w:tcPr>
          <w:p>
            <w:pPr>
              <w:pStyle w:val="TableContents"/>
              <w:spacing w:before="0" w:after="0"/>
              <w:ind w:left="0" w:right="0" w:hanging="0"/>
              <w:rPr/>
            </w:pPr>
            <w:r>
              <w:rPr>
                <w:rFonts w:ascii="Times New Roman" w:hAnsi="Times New Roman"/>
                <w:sz w:val="15"/>
              </w:rPr>
              <w:t>Weighted average LTIP units</w:t>
            </w:r>
            <w:r>
              <w:rPr/>
              <w:t xml:space="preserve"> </w:t>
            </w:r>
            <w:r>
              <w:rPr>
                <w:sz w:val="10"/>
              </w:rPr>
              <w:t>(2)</w:t>
            </w:r>
          </w:p>
        </w:tc>
        <w:tc>
          <w:tcPr>
            <w:tcW w:w="210" w:type="dxa"/>
            <w:tcBorders/>
            <w:shd w:fill="CCEEFF" w:val="clear"/>
            <w:vAlign w:val="bottom"/>
          </w:tcPr>
          <w:p>
            <w:pPr>
              <w:pStyle w:val="TableContents"/>
              <w:spacing w:before="0" w:after="0"/>
              <w:ind w:left="0" w:right="0" w:hanging="0"/>
              <w:rPr/>
            </w:pPr>
            <w:r>
              <w:rPr/>
              <w:t> </w:t>
            </w:r>
          </w:p>
        </w:tc>
        <w:tc>
          <w:tcPr>
            <w:tcW w:w="8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w:t>
            </w:r>
          </w:p>
        </w:tc>
        <w:tc>
          <w:tcPr>
            <w:tcW w:w="210" w:type="dxa"/>
            <w:tcBorders/>
            <w:shd w:fill="CCEEFF" w:val="clear"/>
            <w:vAlign w:val="bottom"/>
          </w:tcPr>
          <w:p>
            <w:pPr>
              <w:pStyle w:val="TableContents"/>
              <w:spacing w:before="0" w:after="0"/>
              <w:ind w:left="0" w:right="0" w:hanging="0"/>
              <w:rPr/>
            </w:pPr>
            <w:r>
              <w:rPr/>
              <w:t> </w:t>
            </w:r>
          </w:p>
        </w:tc>
        <w:tc>
          <w:tcPr>
            <w:tcW w:w="8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w:t>
            </w:r>
          </w:p>
        </w:tc>
        <w:tc>
          <w:tcPr>
            <w:tcW w:w="105" w:type="dxa"/>
            <w:tcBorders/>
            <w:shd w:fill="CCEEFF" w:val="clear"/>
            <w:vAlign w:val="bottom"/>
          </w:tcPr>
          <w:p>
            <w:pPr>
              <w:pStyle w:val="TableContents"/>
              <w:spacing w:before="0" w:after="0"/>
              <w:ind w:left="0" w:right="0" w:hanging="0"/>
              <w:rPr/>
            </w:pPr>
            <w:r>
              <w:rPr/>
              <w:t> </w:t>
            </w:r>
          </w:p>
        </w:tc>
      </w:tr>
      <w:tr>
        <w:trPr/>
        <w:tc>
          <w:tcPr>
            <w:tcW w:w="799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Diluted weighted average number of limited partner units outstanding</w:t>
            </w:r>
          </w:p>
        </w:tc>
        <w:tc>
          <w:tcPr>
            <w:tcW w:w="210" w:type="dxa"/>
            <w:tcBorders/>
            <w:shd w:fill="auto" w:val="clear"/>
            <w:vAlign w:val="bottom"/>
          </w:tcPr>
          <w:p>
            <w:pPr>
              <w:pStyle w:val="TableContents"/>
              <w:spacing w:before="0" w:after="0"/>
              <w:ind w:left="0" w:right="0" w:hanging="0"/>
              <w:rPr/>
            </w:pPr>
            <w:r>
              <w:rPr/>
              <w:t> </w:t>
            </w:r>
          </w:p>
        </w:tc>
        <w:tc>
          <w:tcPr>
            <w:tcW w:w="84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137</w:t>
            </w:r>
          </w:p>
        </w:tc>
        <w:tc>
          <w:tcPr>
            <w:tcW w:w="210" w:type="dxa"/>
            <w:tcBorders/>
            <w:shd w:fill="auto" w:val="clear"/>
            <w:vAlign w:val="bottom"/>
          </w:tcPr>
          <w:p>
            <w:pPr>
              <w:pStyle w:val="TableContents"/>
              <w:spacing w:before="0" w:after="0"/>
              <w:ind w:left="0" w:right="0" w:hanging="0"/>
              <w:rPr/>
            </w:pPr>
            <w:r>
              <w:rPr/>
              <w:t> </w:t>
            </w:r>
          </w:p>
        </w:tc>
        <w:tc>
          <w:tcPr>
            <w:tcW w:w="84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125</w:t>
            </w:r>
          </w:p>
        </w:tc>
        <w:tc>
          <w:tcPr>
            <w:tcW w:w="105" w:type="dxa"/>
            <w:tcBorders/>
            <w:shd w:fill="auto" w:val="clear"/>
            <w:vAlign w:val="bottom"/>
          </w:tcPr>
          <w:p>
            <w:pPr>
              <w:pStyle w:val="TableContents"/>
              <w:spacing w:before="0" w:after="0"/>
              <w:ind w:left="0" w:right="0" w:hanging="0"/>
              <w:rPr/>
            </w:pPr>
            <w:r>
              <w:rPr/>
              <w:t> </w:t>
            </w:r>
          </w:p>
        </w:tc>
      </w:tr>
      <w:tr>
        <w:trPr/>
        <w:tc>
          <w:tcPr>
            <w:tcW w:w="7999"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841"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840"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r>
      <w:tr>
        <w:trPr/>
        <w:tc>
          <w:tcPr>
            <w:tcW w:w="799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Basic net income per limited partner unit</w:t>
            </w:r>
          </w:p>
        </w:tc>
        <w:tc>
          <w:tcPr>
            <w:tcW w:w="210" w:type="dxa"/>
            <w:tcBorders/>
            <w:shd w:fill="auto" w:val="clear"/>
            <w:vAlign w:val="bottom"/>
          </w:tcPr>
          <w:p>
            <w:pPr>
              <w:pStyle w:val="TableContents"/>
              <w:spacing w:before="0" w:after="0"/>
              <w:ind w:left="0" w:right="0" w:hanging="0"/>
              <w:rPr/>
            </w:pPr>
            <w:r>
              <w:rPr/>
              <w:t> </w:t>
            </w:r>
          </w:p>
        </w:tc>
        <w:tc>
          <w:tcPr>
            <w:tcW w:w="10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0.80</w:t>
            </w:r>
          </w:p>
        </w:tc>
        <w:tc>
          <w:tcPr>
            <w:tcW w:w="210" w:type="dxa"/>
            <w:tcBorders/>
            <w:shd w:fill="auto" w:val="clear"/>
            <w:vAlign w:val="bottom"/>
          </w:tcPr>
          <w:p>
            <w:pPr>
              <w:pStyle w:val="TableContents"/>
              <w:spacing w:before="0" w:after="0"/>
              <w:ind w:left="0" w:right="0" w:hanging="0"/>
              <w:rPr/>
            </w:pPr>
            <w:r>
              <w:rPr/>
              <w:t> </w:t>
            </w:r>
          </w:p>
        </w:tc>
        <w:tc>
          <w:tcPr>
            <w:tcW w:w="10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3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1.42</w:t>
            </w:r>
          </w:p>
        </w:tc>
        <w:tc>
          <w:tcPr>
            <w:tcW w:w="105" w:type="dxa"/>
            <w:tcBorders/>
            <w:shd w:fill="auto" w:val="clear"/>
            <w:vAlign w:val="bottom"/>
          </w:tcPr>
          <w:p>
            <w:pPr>
              <w:pStyle w:val="TableContents"/>
              <w:spacing w:before="0" w:after="0"/>
              <w:ind w:left="0" w:right="0" w:hanging="0"/>
              <w:rPr/>
            </w:pPr>
            <w:r>
              <w:rPr/>
              <w:t> </w:t>
            </w:r>
          </w:p>
        </w:tc>
      </w:tr>
      <w:tr>
        <w:trPr/>
        <w:tc>
          <w:tcPr>
            <w:tcW w:w="7999"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841"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840"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r>
      <w:tr>
        <w:trPr/>
        <w:tc>
          <w:tcPr>
            <w:tcW w:w="799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Diluted net income per limited partner unit</w:t>
            </w:r>
          </w:p>
        </w:tc>
        <w:tc>
          <w:tcPr>
            <w:tcW w:w="210" w:type="dxa"/>
            <w:tcBorders/>
            <w:shd w:fill="auto" w:val="clear"/>
            <w:vAlign w:val="bottom"/>
          </w:tcPr>
          <w:p>
            <w:pPr>
              <w:pStyle w:val="TableContents"/>
              <w:spacing w:before="0" w:after="0"/>
              <w:ind w:left="0" w:right="0" w:hanging="0"/>
              <w:rPr/>
            </w:pPr>
            <w:r>
              <w:rPr/>
              <w:t> </w:t>
            </w:r>
          </w:p>
        </w:tc>
        <w:tc>
          <w:tcPr>
            <w:tcW w:w="10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0.80</w:t>
            </w:r>
          </w:p>
        </w:tc>
        <w:tc>
          <w:tcPr>
            <w:tcW w:w="210" w:type="dxa"/>
            <w:tcBorders/>
            <w:shd w:fill="auto" w:val="clear"/>
            <w:vAlign w:val="bottom"/>
          </w:tcPr>
          <w:p>
            <w:pPr>
              <w:pStyle w:val="TableContents"/>
              <w:spacing w:before="0" w:after="0"/>
              <w:ind w:left="0" w:right="0" w:hanging="0"/>
              <w:rPr/>
            </w:pPr>
            <w:r>
              <w:rPr/>
              <w:t> </w:t>
            </w:r>
          </w:p>
        </w:tc>
        <w:tc>
          <w:tcPr>
            <w:tcW w:w="10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3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1.41</w:t>
            </w:r>
          </w:p>
        </w:tc>
        <w:tc>
          <w:tcPr>
            <w:tcW w:w="105"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calculate net income available to limited partners based on the distribution paid during the current quarter (including the incentive distribution interest in excess of the 2% general partner interest). However, FASB guidance requires that the distribution pertaining to the current periods net income, which is to be paid in the subsequent quarter, be utilized in the earnings per unit calculation. After adjusting for this distribution, the remaining undistributed earnings or excess distributions over earnings, if any, are allocated to the general partner and limited partners in accordance with the contractual terms of the partnership agreement for earnings per unit calculation purposes. We reflect the impact of the difference in (i) the distribution utilized and (ii) the calculation of the excess 2% general partner interest as the Adjustment in accordance with application of the two-class method for MLPs.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Our LTIP awards (described in Note 8)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27" w:name="PB_11_152140_4141"/>
      <w:bookmarkEnd w:id="2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7Partners Capital and Distributions</w:t>
      </w:r>
      <w:bookmarkStart w:id="28" w:name="Note8partnersCapitalAndDistributi_175122"/>
      <w:bookmarkEnd w:id="28"/>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Equity Offerings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did not complete any equity offerings during the three months ended March 31, 2010; however, we completed the following equity offering of our common units during the three months ended March 31, 2009 (in millions, except unit and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446"/>
        <w:gridCol w:w="177"/>
        <w:gridCol w:w="1271"/>
        <w:gridCol w:w="177"/>
        <w:gridCol w:w="168"/>
        <w:gridCol w:w="913"/>
        <w:gridCol w:w="177"/>
        <w:gridCol w:w="199"/>
        <w:gridCol w:w="868"/>
        <w:gridCol w:w="177"/>
        <w:gridCol w:w="401"/>
        <w:gridCol w:w="844"/>
        <w:gridCol w:w="177"/>
        <w:gridCol w:w="178"/>
        <w:gridCol w:w="686"/>
        <w:gridCol w:w="194"/>
        <w:gridCol w:w="189"/>
        <w:gridCol w:w="841"/>
        <w:gridCol w:w="122"/>
      </w:tblGrid>
      <w:tr>
        <w:trPr>
          <w:trHeight w:val="225" w:hRule="atLeast"/>
        </w:trPr>
        <w:tc>
          <w:tcPr>
            <w:tcW w:w="2446" w:type="dxa"/>
            <w:tcBorders/>
            <w:shd w:fill="FFFFFF" w:val="clear"/>
            <w:vAlign w:val="bottom"/>
          </w:tcPr>
          <w:p>
            <w:pPr>
              <w:pStyle w:val="TableContents"/>
              <w:spacing w:before="0" w:after="0"/>
              <w:ind w:left="0" w:right="0" w:hanging="0"/>
              <w:rPr/>
            </w:pPr>
            <w:r>
              <w:rPr/>
              <w:t> </w:t>
            </w:r>
          </w:p>
        </w:tc>
        <w:tc>
          <w:tcPr>
            <w:tcW w:w="177" w:type="dxa"/>
            <w:tcBorders/>
            <w:shd w:fill="FFFFFF" w:val="clear"/>
            <w:vAlign w:val="bottom"/>
          </w:tcPr>
          <w:p>
            <w:pPr>
              <w:pStyle w:val="TableContents"/>
              <w:spacing w:before="0" w:after="0"/>
              <w:ind w:left="0" w:right="0" w:hanging="0"/>
              <w:jc w:val="center"/>
              <w:rPr/>
            </w:pPr>
            <w:r>
              <w:rPr/>
              <w:t> </w:t>
            </w:r>
          </w:p>
        </w:tc>
        <w:tc>
          <w:tcPr>
            <w:tcW w:w="1271" w:type="dxa"/>
            <w:tcBorders/>
            <w:shd w:fill="FFFFFF" w:val="clear"/>
            <w:vAlign w:val="bottom"/>
          </w:tcPr>
          <w:p>
            <w:pPr>
              <w:pStyle w:val="TableContents"/>
              <w:spacing w:before="0" w:after="0"/>
              <w:ind w:left="0" w:right="0" w:hanging="0"/>
              <w:jc w:val="center"/>
              <w:rPr/>
            </w:pPr>
            <w:r>
              <w:rPr/>
              <w:t> </w:t>
            </w:r>
          </w:p>
        </w:tc>
        <w:tc>
          <w:tcPr>
            <w:tcW w:w="177" w:type="dxa"/>
            <w:tcBorders/>
            <w:shd w:fill="FFFFFF" w:val="clear"/>
            <w:vAlign w:val="bottom"/>
          </w:tcPr>
          <w:p>
            <w:pPr>
              <w:pStyle w:val="TableContents"/>
              <w:spacing w:before="0" w:after="0"/>
              <w:ind w:left="0" w:right="0" w:hanging="0"/>
              <w:jc w:val="center"/>
              <w:rPr/>
            </w:pPr>
            <w:r>
              <w:rPr/>
              <w:t> </w:t>
            </w:r>
          </w:p>
        </w:tc>
        <w:tc>
          <w:tcPr>
            <w:tcW w:w="1081" w:type="dxa"/>
            <w:gridSpan w:val="2"/>
            <w:tcBorders/>
            <w:shd w:fill="FFFFFF" w:val="clear"/>
            <w:vAlign w:val="bottom"/>
          </w:tcPr>
          <w:p>
            <w:pPr>
              <w:pStyle w:val="TableContents"/>
              <w:spacing w:before="0" w:after="0"/>
              <w:ind w:left="0" w:right="0" w:hanging="0"/>
              <w:jc w:val="center"/>
              <w:rPr/>
            </w:pPr>
            <w:r>
              <w:rPr/>
              <w:t> </w:t>
            </w:r>
          </w:p>
        </w:tc>
        <w:tc>
          <w:tcPr>
            <w:tcW w:w="177" w:type="dxa"/>
            <w:tcBorders/>
            <w:shd w:fill="FFFFFF" w:val="clear"/>
            <w:vAlign w:val="bottom"/>
          </w:tcPr>
          <w:p>
            <w:pPr>
              <w:pStyle w:val="TableContents"/>
              <w:spacing w:before="0" w:after="0"/>
              <w:ind w:left="0" w:right="0" w:hanging="0"/>
              <w:jc w:val="center"/>
              <w:rPr/>
            </w:pPr>
            <w:r>
              <w:rPr/>
              <w:t> </w:t>
            </w:r>
          </w:p>
        </w:tc>
        <w:tc>
          <w:tcPr>
            <w:tcW w:w="1067" w:type="dxa"/>
            <w:gridSpan w:val="2"/>
            <w:tcBorders/>
            <w:shd w:fill="FFFFFF" w:val="clear"/>
            <w:vAlign w:val="bottom"/>
          </w:tcPr>
          <w:p>
            <w:pPr>
              <w:pStyle w:val="TableContents"/>
              <w:spacing w:before="0" w:after="0"/>
              <w:ind w:left="0" w:right="0" w:hanging="0"/>
              <w:jc w:val="center"/>
              <w:rPr/>
            </w:pPr>
            <w:r>
              <w:rPr/>
              <w:t> </w:t>
            </w:r>
          </w:p>
        </w:tc>
        <w:tc>
          <w:tcPr>
            <w:tcW w:w="177" w:type="dxa"/>
            <w:tcBorders/>
            <w:shd w:fill="FFFFFF" w:val="clear"/>
            <w:vAlign w:val="bottom"/>
          </w:tcPr>
          <w:p>
            <w:pPr>
              <w:pStyle w:val="TableContents"/>
              <w:spacing w:before="0" w:after="0"/>
              <w:ind w:left="0" w:right="0" w:hanging="0"/>
              <w:jc w:val="center"/>
              <w:rPr/>
            </w:pPr>
            <w:r>
              <w:rPr/>
              <w:t> </w:t>
            </w:r>
          </w:p>
        </w:tc>
        <w:tc>
          <w:tcPr>
            <w:tcW w:w="1245"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w:t>
            </w:r>
          </w:p>
        </w:tc>
        <w:tc>
          <w:tcPr>
            <w:tcW w:w="177" w:type="dxa"/>
            <w:tcBorders/>
            <w:shd w:fill="FFFFFF" w:val="clear"/>
            <w:vAlign w:val="bottom"/>
          </w:tcPr>
          <w:p>
            <w:pPr>
              <w:pStyle w:val="TableContents"/>
              <w:spacing w:before="0" w:after="0"/>
              <w:ind w:left="0" w:right="0" w:hanging="0"/>
              <w:jc w:val="center"/>
              <w:rPr/>
            </w:pPr>
            <w:r>
              <w:rPr/>
              <w:t> </w:t>
            </w:r>
          </w:p>
        </w:tc>
        <w:tc>
          <w:tcPr>
            <w:tcW w:w="864" w:type="dxa"/>
            <w:gridSpan w:val="2"/>
            <w:tcBorders/>
            <w:shd w:fill="FFFFFF" w:val="clear"/>
            <w:vAlign w:val="bottom"/>
          </w:tcPr>
          <w:p>
            <w:pPr>
              <w:pStyle w:val="TableContents"/>
              <w:spacing w:before="0" w:after="0"/>
              <w:ind w:left="0" w:right="0" w:hanging="0"/>
              <w:jc w:val="center"/>
              <w:rPr/>
            </w:pPr>
            <w:r>
              <w:rPr/>
              <w:t> </w:t>
            </w:r>
          </w:p>
        </w:tc>
        <w:tc>
          <w:tcPr>
            <w:tcW w:w="194" w:type="dxa"/>
            <w:tcBorders/>
            <w:shd w:fill="FFFFFF" w:val="clear"/>
            <w:vAlign w:val="bottom"/>
          </w:tcPr>
          <w:p>
            <w:pPr>
              <w:pStyle w:val="TableContents"/>
              <w:spacing w:before="0" w:after="0"/>
              <w:ind w:left="0" w:right="0" w:hanging="0"/>
              <w:jc w:val="center"/>
              <w:rPr/>
            </w:pPr>
            <w:r>
              <w:rPr/>
              <w:t> </w:t>
            </w:r>
          </w:p>
        </w:tc>
        <w:tc>
          <w:tcPr>
            <w:tcW w:w="1030" w:type="dxa"/>
            <w:gridSpan w:val="2"/>
            <w:tcBorders/>
            <w:shd w:fill="FFFFFF" w:val="clear"/>
            <w:vAlign w:val="bottom"/>
          </w:tcPr>
          <w:p>
            <w:pPr>
              <w:pStyle w:val="TableContents"/>
              <w:spacing w:before="0" w:after="0"/>
              <w:ind w:left="0" w:right="0" w:hanging="0"/>
              <w:jc w:val="center"/>
              <w:rPr/>
            </w:pPr>
            <w:r>
              <w:rPr/>
              <w:t> </w:t>
            </w:r>
          </w:p>
        </w:tc>
        <w:tc>
          <w:tcPr>
            <w:tcW w:w="122" w:type="dxa"/>
            <w:tcBorders/>
            <w:shd w:fill="FFFFFF" w:val="clear"/>
            <w:vAlign w:val="bottom"/>
          </w:tcPr>
          <w:p>
            <w:pPr>
              <w:pStyle w:val="TableContents"/>
              <w:spacing w:before="0" w:after="0"/>
              <w:ind w:left="0" w:right="0" w:hanging="0"/>
              <w:jc w:val="center"/>
              <w:rPr/>
            </w:pPr>
            <w:r>
              <w:rPr/>
              <w:t> </w:t>
            </w:r>
          </w:p>
        </w:tc>
      </w:tr>
      <w:tr>
        <w:trPr>
          <w:trHeight w:val="225" w:hRule="atLeast"/>
        </w:trPr>
        <w:tc>
          <w:tcPr>
            <w:tcW w:w="2446" w:type="dxa"/>
            <w:tcBorders/>
            <w:shd w:fill="FFFFFF" w:val="clear"/>
            <w:vAlign w:val="bottom"/>
          </w:tcPr>
          <w:p>
            <w:pPr>
              <w:pStyle w:val="TableContents"/>
              <w:spacing w:before="0" w:after="0"/>
              <w:ind w:left="0" w:right="0" w:hanging="0"/>
              <w:rPr/>
            </w:pPr>
            <w:r>
              <w:rPr/>
              <w:t> </w:t>
            </w:r>
          </w:p>
        </w:tc>
        <w:tc>
          <w:tcPr>
            <w:tcW w:w="177" w:type="dxa"/>
            <w:tcBorders/>
            <w:shd w:fill="FFFFFF" w:val="clear"/>
            <w:vAlign w:val="bottom"/>
          </w:tcPr>
          <w:p>
            <w:pPr>
              <w:pStyle w:val="TableContents"/>
              <w:spacing w:before="0" w:after="0"/>
              <w:ind w:left="0" w:right="0" w:hanging="0"/>
              <w:jc w:val="center"/>
              <w:rPr/>
            </w:pPr>
            <w:r>
              <w:rPr/>
              <w:t> </w:t>
            </w:r>
          </w:p>
        </w:tc>
        <w:tc>
          <w:tcPr>
            <w:tcW w:w="1271" w:type="dxa"/>
            <w:tcBorders/>
            <w:shd w:fill="FFFFFF" w:val="clear"/>
            <w:vAlign w:val="bottom"/>
          </w:tcPr>
          <w:p>
            <w:pPr>
              <w:pStyle w:val="TableContents"/>
              <w:spacing w:before="0" w:after="0"/>
              <w:ind w:left="0" w:right="0" w:hanging="0"/>
              <w:jc w:val="center"/>
              <w:rPr/>
            </w:pPr>
            <w:r>
              <w:rPr/>
              <w:t> </w:t>
            </w:r>
          </w:p>
        </w:tc>
        <w:tc>
          <w:tcPr>
            <w:tcW w:w="177" w:type="dxa"/>
            <w:tcBorders/>
            <w:shd w:fill="FFFFFF" w:val="clear"/>
            <w:vAlign w:val="bottom"/>
          </w:tcPr>
          <w:p>
            <w:pPr>
              <w:pStyle w:val="TableContents"/>
              <w:spacing w:before="0" w:after="0"/>
              <w:ind w:left="0" w:right="0" w:hanging="0"/>
              <w:jc w:val="center"/>
              <w:rPr/>
            </w:pPr>
            <w:r>
              <w:rPr/>
              <w:t> </w:t>
            </w:r>
          </w:p>
        </w:tc>
        <w:tc>
          <w:tcPr>
            <w:tcW w:w="1081"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Gross</w:t>
            </w:r>
          </w:p>
        </w:tc>
        <w:tc>
          <w:tcPr>
            <w:tcW w:w="177" w:type="dxa"/>
            <w:tcBorders/>
            <w:shd w:fill="FFFFFF" w:val="clear"/>
            <w:vAlign w:val="bottom"/>
          </w:tcPr>
          <w:p>
            <w:pPr>
              <w:pStyle w:val="TableContents"/>
              <w:spacing w:before="0" w:after="0"/>
              <w:ind w:left="0" w:right="0" w:hanging="0"/>
              <w:jc w:val="center"/>
              <w:rPr/>
            </w:pPr>
            <w:r>
              <w:rPr/>
              <w:t> </w:t>
            </w:r>
          </w:p>
        </w:tc>
        <w:tc>
          <w:tcPr>
            <w:tcW w:w="1067"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Proceeds</w:t>
            </w:r>
          </w:p>
        </w:tc>
        <w:tc>
          <w:tcPr>
            <w:tcW w:w="177" w:type="dxa"/>
            <w:tcBorders/>
            <w:shd w:fill="FFFFFF" w:val="clear"/>
            <w:vAlign w:val="bottom"/>
          </w:tcPr>
          <w:p>
            <w:pPr>
              <w:pStyle w:val="TableContents"/>
              <w:spacing w:before="0" w:after="0"/>
              <w:ind w:left="0" w:right="0" w:hanging="0"/>
              <w:jc w:val="center"/>
              <w:rPr/>
            </w:pPr>
            <w:r>
              <w:rPr/>
              <w:t> </w:t>
            </w:r>
          </w:p>
        </w:tc>
        <w:tc>
          <w:tcPr>
            <w:tcW w:w="1245"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w:t>
            </w:r>
          </w:p>
        </w:tc>
        <w:tc>
          <w:tcPr>
            <w:tcW w:w="177" w:type="dxa"/>
            <w:tcBorders/>
            <w:shd w:fill="FFFFFF" w:val="clear"/>
            <w:vAlign w:val="bottom"/>
          </w:tcPr>
          <w:p>
            <w:pPr>
              <w:pStyle w:val="TableContents"/>
              <w:spacing w:before="0" w:after="0"/>
              <w:ind w:left="0" w:right="0" w:hanging="0"/>
              <w:jc w:val="center"/>
              <w:rPr/>
            </w:pPr>
            <w:r>
              <w:rPr/>
              <w:t> </w:t>
            </w:r>
          </w:p>
        </w:tc>
        <w:tc>
          <w:tcPr>
            <w:tcW w:w="864" w:type="dxa"/>
            <w:gridSpan w:val="2"/>
            <w:tcBorders/>
            <w:shd w:fill="FFFFFF" w:val="clear"/>
            <w:vAlign w:val="bottom"/>
          </w:tcPr>
          <w:p>
            <w:pPr>
              <w:pStyle w:val="TableContents"/>
              <w:spacing w:before="0" w:after="0"/>
              <w:ind w:left="0" w:right="0" w:hanging="0"/>
              <w:jc w:val="center"/>
              <w:rPr/>
            </w:pPr>
            <w:r>
              <w:rPr/>
              <w:t> </w:t>
            </w:r>
          </w:p>
        </w:tc>
        <w:tc>
          <w:tcPr>
            <w:tcW w:w="194" w:type="dxa"/>
            <w:tcBorders/>
            <w:shd w:fill="FFFFFF" w:val="clear"/>
            <w:vAlign w:val="bottom"/>
          </w:tcPr>
          <w:p>
            <w:pPr>
              <w:pStyle w:val="TableContents"/>
              <w:spacing w:before="0" w:after="0"/>
              <w:ind w:left="0" w:right="0" w:hanging="0"/>
              <w:jc w:val="center"/>
              <w:rPr/>
            </w:pPr>
            <w:r>
              <w:rPr/>
              <w:t> </w:t>
            </w:r>
          </w:p>
        </w:tc>
        <w:tc>
          <w:tcPr>
            <w:tcW w:w="1030"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Net</w:t>
            </w:r>
          </w:p>
        </w:tc>
        <w:tc>
          <w:tcPr>
            <w:tcW w:w="122" w:type="dxa"/>
            <w:tcBorders/>
            <w:shd w:fill="FFFFFF" w:val="clear"/>
            <w:vAlign w:val="bottom"/>
          </w:tcPr>
          <w:p>
            <w:pPr>
              <w:pStyle w:val="TableContents"/>
              <w:spacing w:before="0" w:after="0"/>
              <w:ind w:left="0" w:right="0" w:hanging="0"/>
              <w:jc w:val="center"/>
              <w:rPr/>
            </w:pPr>
            <w:r>
              <w:rPr/>
              <w:t> </w:t>
            </w:r>
          </w:p>
        </w:tc>
      </w:tr>
      <w:tr>
        <w:trPr>
          <w:trHeight w:val="225" w:hRule="atLeast"/>
        </w:trPr>
        <w:tc>
          <w:tcPr>
            <w:tcW w:w="2446" w:type="dxa"/>
            <w:tcBorders>
              <w:bottom w:val="single" w:sz="8" w:space="0" w:color="000000"/>
            </w:tcBorders>
            <w:shd w:fill="FFFF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Period</w:t>
            </w:r>
          </w:p>
        </w:tc>
        <w:tc>
          <w:tcPr>
            <w:tcW w:w="177" w:type="dxa"/>
            <w:tcBorders/>
            <w:shd w:fill="FFFFFF" w:val="clear"/>
            <w:vAlign w:val="bottom"/>
          </w:tcPr>
          <w:p>
            <w:pPr>
              <w:pStyle w:val="TableContents"/>
              <w:spacing w:before="0" w:after="0"/>
              <w:ind w:left="0" w:right="0" w:hanging="0"/>
              <w:jc w:val="center"/>
              <w:rPr/>
            </w:pPr>
            <w:r>
              <w:rPr/>
              <w:t> </w:t>
            </w:r>
          </w:p>
        </w:tc>
        <w:tc>
          <w:tcPr>
            <w:tcW w:w="1271" w:type="dxa"/>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 Issued</w:t>
            </w:r>
          </w:p>
        </w:tc>
        <w:tc>
          <w:tcPr>
            <w:tcW w:w="177" w:type="dxa"/>
            <w:tcBorders/>
            <w:shd w:fill="FFFFFF" w:val="clear"/>
            <w:vAlign w:val="bottom"/>
          </w:tcPr>
          <w:p>
            <w:pPr>
              <w:pStyle w:val="TableContents"/>
              <w:spacing w:before="0" w:after="0"/>
              <w:ind w:left="0" w:right="0" w:hanging="0"/>
              <w:jc w:val="center"/>
              <w:rPr/>
            </w:pPr>
            <w:r>
              <w:rPr/>
              <w:t> </w:t>
            </w:r>
          </w:p>
        </w:tc>
        <w:tc>
          <w:tcPr>
            <w:tcW w:w="1081"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Price</w:t>
            </w:r>
          </w:p>
        </w:tc>
        <w:tc>
          <w:tcPr>
            <w:tcW w:w="177" w:type="dxa"/>
            <w:tcBorders/>
            <w:shd w:fill="FFFFFF" w:val="clear"/>
            <w:vAlign w:val="bottom"/>
          </w:tcPr>
          <w:p>
            <w:pPr>
              <w:pStyle w:val="TableContents"/>
              <w:spacing w:before="0" w:after="0"/>
              <w:ind w:left="0" w:right="0" w:hanging="0"/>
              <w:jc w:val="center"/>
              <w:rPr/>
            </w:pPr>
            <w:r>
              <w:rPr/>
              <w:t> </w:t>
            </w:r>
          </w:p>
        </w:tc>
        <w:tc>
          <w:tcPr>
            <w:tcW w:w="1067"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from Sale</w:t>
            </w:r>
          </w:p>
        </w:tc>
        <w:tc>
          <w:tcPr>
            <w:tcW w:w="177" w:type="dxa"/>
            <w:tcBorders/>
            <w:shd w:fill="FFFFFF" w:val="clear"/>
            <w:vAlign w:val="bottom"/>
          </w:tcPr>
          <w:p>
            <w:pPr>
              <w:pStyle w:val="TableContents"/>
              <w:spacing w:before="0" w:after="0"/>
              <w:ind w:left="0" w:right="0" w:hanging="0"/>
              <w:jc w:val="center"/>
              <w:rPr/>
            </w:pPr>
            <w:r>
              <w:rPr/>
              <w:t> </w:t>
            </w:r>
          </w:p>
        </w:tc>
        <w:tc>
          <w:tcPr>
            <w:tcW w:w="1245"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Contribution</w:t>
            </w:r>
          </w:p>
        </w:tc>
        <w:tc>
          <w:tcPr>
            <w:tcW w:w="177" w:type="dxa"/>
            <w:tcBorders/>
            <w:shd w:fill="FFFFFF" w:val="clear"/>
            <w:vAlign w:val="bottom"/>
          </w:tcPr>
          <w:p>
            <w:pPr>
              <w:pStyle w:val="TableContents"/>
              <w:spacing w:before="0" w:after="0"/>
              <w:ind w:left="0" w:right="0" w:hanging="0"/>
              <w:jc w:val="center"/>
              <w:rPr/>
            </w:pPr>
            <w:r>
              <w:rPr/>
              <w:t> </w:t>
            </w:r>
          </w:p>
        </w:tc>
        <w:tc>
          <w:tcPr>
            <w:tcW w:w="864"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Costs</w:t>
            </w:r>
          </w:p>
        </w:tc>
        <w:tc>
          <w:tcPr>
            <w:tcW w:w="194" w:type="dxa"/>
            <w:tcBorders/>
            <w:shd w:fill="FFFFFF" w:val="clear"/>
            <w:vAlign w:val="bottom"/>
          </w:tcPr>
          <w:p>
            <w:pPr>
              <w:pStyle w:val="TableContents"/>
              <w:spacing w:before="0" w:after="0"/>
              <w:ind w:left="0" w:right="0" w:hanging="0"/>
              <w:jc w:val="center"/>
              <w:rPr/>
            </w:pPr>
            <w:r>
              <w:rPr/>
              <w:t> </w:t>
            </w:r>
          </w:p>
        </w:tc>
        <w:tc>
          <w:tcPr>
            <w:tcW w:w="1030"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Proceeds</w:t>
            </w:r>
          </w:p>
        </w:tc>
        <w:tc>
          <w:tcPr>
            <w:tcW w:w="122" w:type="dxa"/>
            <w:tcBorders/>
            <w:shd w:fill="FFFFFF" w:val="clear"/>
            <w:vAlign w:val="bottom"/>
          </w:tcPr>
          <w:p>
            <w:pPr>
              <w:pStyle w:val="TableContents"/>
              <w:spacing w:before="0" w:after="0"/>
              <w:ind w:left="0" w:right="0" w:hanging="0"/>
              <w:jc w:val="center"/>
              <w:rPr/>
            </w:pPr>
            <w:r>
              <w:rPr/>
              <w:t> </w:t>
            </w:r>
          </w:p>
        </w:tc>
      </w:tr>
      <w:tr>
        <w:trPr>
          <w:trHeight w:val="255" w:hRule="atLeast"/>
        </w:trPr>
        <w:tc>
          <w:tcPr>
            <w:tcW w:w="2446" w:type="dxa"/>
            <w:tcBorders/>
            <w:shd w:fill="CCEEFF" w:val="clear"/>
          </w:tcPr>
          <w:p>
            <w:pPr>
              <w:pStyle w:val="TableContents"/>
              <w:spacing w:before="0" w:after="0"/>
              <w:ind w:left="0" w:right="0" w:hanging="0"/>
              <w:rPr/>
            </w:pPr>
            <w:r>
              <w:rPr>
                <w:rFonts w:ascii="Times New Roman" w:hAnsi="Times New Roman"/>
                <w:sz w:val="17"/>
              </w:rPr>
              <w:t xml:space="preserve">March 2009 </w:t>
            </w:r>
            <w:r>
              <w:rPr>
                <w:sz w:val="11"/>
              </w:rPr>
              <w:t>(1)</w:t>
            </w:r>
          </w:p>
        </w:tc>
        <w:tc>
          <w:tcPr>
            <w:tcW w:w="177" w:type="dxa"/>
            <w:tcBorders/>
            <w:shd w:fill="CCEEFF" w:val="clear"/>
          </w:tcPr>
          <w:p>
            <w:pPr>
              <w:pStyle w:val="TableContents"/>
              <w:spacing w:before="0" w:after="0"/>
              <w:ind w:left="0" w:right="0" w:hanging="0"/>
              <w:rPr/>
            </w:pPr>
            <w:r>
              <w:rPr/>
              <w:t> </w:t>
            </w:r>
          </w:p>
        </w:tc>
        <w:tc>
          <w:tcPr>
            <w:tcW w:w="1271" w:type="dxa"/>
            <w:tcBorders/>
            <w:shd w:fill="CCEEFF" w:val="clear"/>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5,750,000 </w:t>
            </w:r>
          </w:p>
        </w:tc>
        <w:tc>
          <w:tcPr>
            <w:tcW w:w="177" w:type="dxa"/>
            <w:tcBorders/>
            <w:shd w:fill="CCEEFF" w:val="clear"/>
          </w:tcPr>
          <w:p>
            <w:pPr>
              <w:pStyle w:val="TableContents"/>
              <w:spacing w:before="0" w:after="0"/>
              <w:ind w:left="0" w:right="0" w:hanging="0"/>
              <w:jc w:val="center"/>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36.90</w:t>
            </w:r>
          </w:p>
        </w:tc>
        <w:tc>
          <w:tcPr>
            <w:tcW w:w="177" w:type="dxa"/>
            <w:tcBorders/>
            <w:shd w:fill="CCEEFF" w:val="clear"/>
          </w:tcPr>
          <w:p>
            <w:pPr>
              <w:pStyle w:val="TableContents"/>
              <w:spacing w:before="0" w:after="0"/>
              <w:ind w:left="0" w:right="0" w:hanging="0"/>
              <w:jc w:val="center"/>
              <w:rPr/>
            </w:pPr>
            <w:r>
              <w:rPr/>
              <w:t> </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212</w:t>
            </w:r>
          </w:p>
        </w:tc>
        <w:tc>
          <w:tcPr>
            <w:tcW w:w="177" w:type="dxa"/>
            <w:tcBorders/>
            <w:shd w:fill="CCEEFF" w:val="clear"/>
          </w:tcPr>
          <w:p>
            <w:pPr>
              <w:pStyle w:val="TableContents"/>
              <w:spacing w:before="0" w:after="0"/>
              <w:ind w:left="0" w:right="0" w:hanging="0"/>
              <w:jc w:val="center"/>
              <w:rPr/>
            </w:pPr>
            <w:r>
              <w:rPr/>
              <w:t> </w:t>
            </w:r>
          </w:p>
        </w:tc>
        <w:tc>
          <w:tcPr>
            <w:tcW w:w="4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7" w:type="dxa"/>
            <w:tcBorders/>
            <w:shd w:fill="CCEEFF" w:val="clear"/>
          </w:tcPr>
          <w:p>
            <w:pPr>
              <w:pStyle w:val="TableContents"/>
              <w:spacing w:before="0" w:after="0"/>
              <w:ind w:left="0" w:right="0" w:hanging="0"/>
              <w:jc w:val="center"/>
              <w:rPr/>
            </w:pPr>
            <w:r>
              <w:rPr/>
              <w:t> </w:t>
            </w:r>
          </w:p>
        </w:tc>
        <w:tc>
          <w:tcPr>
            <w:tcW w:w="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122" w:type="dxa"/>
            <w:tcBorders/>
            <w:shd w:fill="CCEEFF" w:val="clear"/>
          </w:tcPr>
          <w:p>
            <w:pPr>
              <w:pStyle w:val="TableContents"/>
              <w:spacing w:before="0" w:after="0"/>
              <w:ind w:left="0" w:right="0" w:hanging="0"/>
              <w:jc w:val="right"/>
              <w:rPr/>
            </w:pPr>
            <w:r>
              <w:rPr/>
              <w:t> </w:t>
            </w:r>
          </w:p>
        </w:tc>
      </w:tr>
      <w:tr>
        <w:trPr/>
        <w:tc>
          <w:tcPr>
            <w:tcW w:w="244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This offering of common units was an underwritten transaction that required us to pay a gross spread. The net proceeds from this offering were used to reduce outstanding borrowings under our credit facilities and for general partnership purposes.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details the distributions pertaining to the first three months of 2010 and 2009, net of reductions to the general partners incentive distributions (in millions, except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148"/>
        <w:gridCol w:w="192"/>
        <w:gridCol w:w="2127"/>
        <w:gridCol w:w="192"/>
        <w:gridCol w:w="169"/>
        <w:gridCol w:w="712"/>
        <w:gridCol w:w="192"/>
        <w:gridCol w:w="203"/>
        <w:gridCol w:w="697"/>
        <w:gridCol w:w="217"/>
        <w:gridCol w:w="190"/>
        <w:gridCol w:w="581"/>
        <w:gridCol w:w="191"/>
        <w:gridCol w:w="145"/>
        <w:gridCol w:w="646"/>
        <w:gridCol w:w="192"/>
        <w:gridCol w:w="166"/>
        <w:gridCol w:w="1117"/>
        <w:gridCol w:w="128"/>
      </w:tblGrid>
      <w:tr>
        <w:trPr/>
        <w:tc>
          <w:tcPr>
            <w:tcW w:w="2148"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2127" w:type="dxa"/>
            <w:tcBorders/>
            <w:shd w:fill="auto" w:val="clear"/>
            <w:vAlign w:val="bottom"/>
          </w:tcPr>
          <w:p>
            <w:pPr>
              <w:pStyle w:val="TableContents"/>
              <w:spacing w:before="0" w:after="0"/>
              <w:ind w:left="0" w:right="0" w:hanging="0"/>
              <w:jc w:val="center"/>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3943"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Distributions Paid</w:t>
            </w:r>
          </w:p>
        </w:tc>
        <w:tc>
          <w:tcPr>
            <w:tcW w:w="192" w:type="dxa"/>
            <w:tcBorders/>
            <w:shd w:fill="auto" w:val="clear"/>
            <w:vAlign w:val="bottom"/>
          </w:tcPr>
          <w:p>
            <w:pPr>
              <w:pStyle w:val="TableContents"/>
              <w:spacing w:before="0" w:after="0"/>
              <w:ind w:left="0" w:right="0" w:hanging="0"/>
              <w:jc w:val="center"/>
              <w:rPr/>
            </w:pPr>
            <w:r>
              <w:rPr/>
              <w:t> </w:t>
            </w:r>
          </w:p>
        </w:tc>
        <w:tc>
          <w:tcPr>
            <w:tcW w:w="128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Distributions</w:t>
            </w:r>
          </w:p>
        </w:tc>
        <w:tc>
          <w:tcPr>
            <w:tcW w:w="128" w:type="dxa"/>
            <w:tcBorders/>
            <w:shd w:fill="auto" w:val="clear"/>
            <w:vAlign w:val="bottom"/>
          </w:tcPr>
          <w:p>
            <w:pPr>
              <w:pStyle w:val="TableContents"/>
              <w:spacing w:before="0" w:after="0"/>
              <w:ind w:left="0" w:right="0" w:hanging="0"/>
              <w:jc w:val="center"/>
              <w:rPr/>
            </w:pPr>
            <w:r>
              <w:rPr/>
              <w:t> </w:t>
            </w:r>
          </w:p>
        </w:tc>
      </w:tr>
      <w:tr>
        <w:trPr/>
        <w:tc>
          <w:tcPr>
            <w:tcW w:w="2148"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2127" w:type="dxa"/>
            <w:tcBorders/>
            <w:shd w:fill="auto" w:val="clear"/>
            <w:vAlign w:val="bottom"/>
          </w:tcPr>
          <w:p>
            <w:pPr>
              <w:pStyle w:val="TableContents"/>
              <w:spacing w:before="0" w:after="0"/>
              <w:ind w:left="0" w:right="0" w:hanging="0"/>
              <w:jc w:val="center"/>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88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w:t>
            </w:r>
          </w:p>
        </w:tc>
        <w:tc>
          <w:tcPr>
            <w:tcW w:w="192" w:type="dxa"/>
            <w:tcBorders/>
            <w:shd w:fill="auto" w:val="clear"/>
            <w:vAlign w:val="bottom"/>
          </w:tcPr>
          <w:p>
            <w:pPr>
              <w:pStyle w:val="TableContents"/>
              <w:spacing w:before="0" w:after="0"/>
              <w:ind w:left="0" w:right="0" w:hanging="0"/>
              <w:jc w:val="center"/>
              <w:rPr/>
            </w:pPr>
            <w:r>
              <w:rPr/>
              <w:t> </w:t>
            </w:r>
          </w:p>
        </w:tc>
        <w:tc>
          <w:tcPr>
            <w:tcW w:w="1888" w:type="dxa"/>
            <w:gridSpan w:val="5"/>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 Partner</w:t>
            </w:r>
          </w:p>
        </w:tc>
        <w:tc>
          <w:tcPr>
            <w:tcW w:w="19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91"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128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 limited</w:t>
            </w:r>
          </w:p>
        </w:tc>
        <w:tc>
          <w:tcPr>
            <w:tcW w:w="128" w:type="dxa"/>
            <w:tcBorders/>
            <w:shd w:fill="auto" w:val="clear"/>
            <w:vAlign w:val="bottom"/>
          </w:tcPr>
          <w:p>
            <w:pPr>
              <w:pStyle w:val="TableContents"/>
              <w:spacing w:before="0" w:after="0"/>
              <w:ind w:left="0" w:right="0" w:hanging="0"/>
              <w:jc w:val="center"/>
              <w:rPr/>
            </w:pPr>
            <w:r>
              <w:rPr/>
              <w:t> </w:t>
            </w:r>
          </w:p>
        </w:tc>
      </w:tr>
      <w:tr>
        <w:trPr/>
        <w:tc>
          <w:tcPr>
            <w:tcW w:w="2148"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Date Declared</w:t>
            </w:r>
          </w:p>
        </w:tc>
        <w:tc>
          <w:tcPr>
            <w:tcW w:w="192" w:type="dxa"/>
            <w:tcBorders/>
            <w:shd w:fill="auto" w:val="clear"/>
            <w:vAlign w:val="bottom"/>
          </w:tcPr>
          <w:p>
            <w:pPr>
              <w:pStyle w:val="TableContents"/>
              <w:spacing w:before="0" w:after="0"/>
              <w:ind w:left="0" w:right="0" w:hanging="0"/>
              <w:jc w:val="center"/>
              <w:rPr/>
            </w:pPr>
            <w:r>
              <w:rPr/>
              <w:t> </w:t>
            </w:r>
          </w:p>
        </w:tc>
        <w:tc>
          <w:tcPr>
            <w:tcW w:w="212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Date Paid or To Be Paid</w:t>
            </w:r>
          </w:p>
        </w:tc>
        <w:tc>
          <w:tcPr>
            <w:tcW w:w="192" w:type="dxa"/>
            <w:tcBorders/>
            <w:shd w:fill="auto" w:val="clear"/>
            <w:vAlign w:val="bottom"/>
          </w:tcPr>
          <w:p>
            <w:pPr>
              <w:pStyle w:val="TableContents"/>
              <w:spacing w:before="0" w:after="0"/>
              <w:ind w:left="0" w:right="0" w:hanging="0"/>
              <w:jc w:val="center"/>
              <w:rPr/>
            </w:pPr>
            <w:r>
              <w:rPr/>
              <w:t> </w:t>
            </w:r>
          </w:p>
        </w:tc>
        <w:tc>
          <w:tcPr>
            <w:tcW w:w="8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92" w:type="dxa"/>
            <w:tcBorders/>
            <w:shd w:fill="auto" w:val="clear"/>
            <w:vAlign w:val="bottom"/>
          </w:tcPr>
          <w:p>
            <w:pPr>
              <w:pStyle w:val="TableContents"/>
              <w:spacing w:before="0" w:after="0"/>
              <w:ind w:left="0" w:right="0" w:hanging="0"/>
              <w:jc w:val="center"/>
              <w:rPr/>
            </w:pPr>
            <w:r>
              <w:rPr/>
              <w:t> </w:t>
            </w:r>
          </w:p>
        </w:tc>
        <w:tc>
          <w:tcPr>
            <w:tcW w:w="90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Incentive</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7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w:t>
            </w:r>
          </w:p>
        </w:tc>
        <w:tc>
          <w:tcPr>
            <w:tcW w:w="191" w:type="dxa"/>
            <w:tcBorders/>
            <w:shd w:fill="auto" w:val="clear"/>
            <w:vAlign w:val="bottom"/>
          </w:tcPr>
          <w:p>
            <w:pPr>
              <w:pStyle w:val="TableContents"/>
              <w:spacing w:before="0" w:after="0"/>
              <w:ind w:left="0" w:right="0" w:hanging="0"/>
              <w:jc w:val="center"/>
              <w:rPr/>
            </w:pPr>
            <w:r>
              <w:rPr/>
              <w:t> </w:t>
            </w:r>
          </w:p>
        </w:tc>
        <w:tc>
          <w:tcPr>
            <w:tcW w:w="7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92" w:type="dxa"/>
            <w:tcBorders/>
            <w:shd w:fill="auto" w:val="clear"/>
            <w:vAlign w:val="bottom"/>
          </w:tcPr>
          <w:p>
            <w:pPr>
              <w:pStyle w:val="TableContents"/>
              <w:spacing w:before="0" w:after="0"/>
              <w:ind w:left="0" w:right="0" w:hanging="0"/>
              <w:jc w:val="center"/>
              <w:rPr/>
            </w:pPr>
            <w:r>
              <w:rPr/>
              <w:t> </w:t>
            </w:r>
          </w:p>
        </w:tc>
        <w:tc>
          <w:tcPr>
            <w:tcW w:w="128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 unit</w:t>
            </w:r>
          </w:p>
        </w:tc>
        <w:tc>
          <w:tcPr>
            <w:tcW w:w="128" w:type="dxa"/>
            <w:tcBorders/>
            <w:shd w:fill="auto" w:val="clear"/>
            <w:vAlign w:val="bottom"/>
          </w:tcPr>
          <w:p>
            <w:pPr>
              <w:pStyle w:val="TableContents"/>
              <w:spacing w:before="0" w:after="0"/>
              <w:ind w:left="0" w:right="0" w:hanging="0"/>
              <w:jc w:val="center"/>
              <w:rPr/>
            </w:pPr>
            <w:r>
              <w:rPr/>
              <w:t> </w:t>
            </w:r>
          </w:p>
        </w:tc>
      </w:tr>
      <w:tr>
        <w:trPr/>
        <w:tc>
          <w:tcPr>
            <w:tcW w:w="2148" w:type="dxa"/>
            <w:tcBorders/>
            <w:shd w:fill="CCEEFF" w:val="clear"/>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2010</w:t>
            </w:r>
          </w:p>
        </w:tc>
        <w:tc>
          <w:tcPr>
            <w:tcW w:w="192" w:type="dxa"/>
            <w:tcBorders/>
            <w:shd w:fill="CCEEFF" w:val="clear"/>
            <w:vAlign w:val="bottom"/>
          </w:tcPr>
          <w:p>
            <w:pPr>
              <w:pStyle w:val="TableContents"/>
              <w:spacing w:before="0" w:after="0"/>
              <w:ind w:left="0" w:right="0" w:hanging="0"/>
              <w:rPr/>
            </w:pPr>
            <w:r>
              <w:rPr/>
              <w:t> </w:t>
            </w:r>
          </w:p>
        </w:tc>
        <w:tc>
          <w:tcPr>
            <w:tcW w:w="2127" w:type="dxa"/>
            <w:tcBorders/>
            <w:shd w:fill="CCEEFF" w:val="clear"/>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881" w:type="dxa"/>
            <w:gridSpan w:val="2"/>
            <w:tcBorders/>
            <w:shd w:fill="CCEEFF" w:val="clear"/>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900" w:type="dxa"/>
            <w:gridSpan w:val="2"/>
            <w:tcBorders/>
            <w:shd w:fill="CCEEFF" w:val="clear"/>
          </w:tcPr>
          <w:p>
            <w:pPr>
              <w:pStyle w:val="TableContents"/>
              <w:spacing w:before="0" w:after="0"/>
              <w:ind w:left="0" w:right="0" w:hanging="0"/>
              <w:rPr/>
            </w:pPr>
            <w:r>
              <w:rPr/>
              <w:t> </w:t>
            </w:r>
          </w:p>
        </w:tc>
        <w:tc>
          <w:tcPr>
            <w:tcW w:w="217" w:type="dxa"/>
            <w:tcBorders/>
            <w:shd w:fill="CCEEFF" w:val="clear"/>
            <w:vAlign w:val="bottom"/>
          </w:tcPr>
          <w:p>
            <w:pPr>
              <w:pStyle w:val="TableContents"/>
              <w:spacing w:before="0" w:after="0"/>
              <w:ind w:left="0" w:right="0" w:hanging="0"/>
              <w:rPr/>
            </w:pPr>
            <w:r>
              <w:rPr/>
              <w:t> </w:t>
            </w:r>
          </w:p>
        </w:tc>
        <w:tc>
          <w:tcPr>
            <w:tcW w:w="771" w:type="dxa"/>
            <w:gridSpan w:val="2"/>
            <w:tcBorders/>
            <w:shd w:fill="CCEEFF" w:val="clear"/>
          </w:tcPr>
          <w:p>
            <w:pPr>
              <w:pStyle w:val="TableContents"/>
              <w:spacing w:before="0" w:after="0"/>
              <w:ind w:left="0" w:right="0" w:hanging="0"/>
              <w:rPr/>
            </w:pPr>
            <w:r>
              <w:rPr/>
              <w:t> </w:t>
            </w:r>
          </w:p>
        </w:tc>
        <w:tc>
          <w:tcPr>
            <w:tcW w:w="191"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1283" w:type="dxa"/>
            <w:gridSpan w:val="2"/>
            <w:tcBorders/>
            <w:shd w:fill="CCEEFF" w:val="clear"/>
          </w:tcPr>
          <w:p>
            <w:pPr>
              <w:pStyle w:val="TableContents"/>
              <w:spacing w:before="0" w:after="0"/>
              <w:ind w:left="0" w:right="0" w:hanging="0"/>
              <w:rPr/>
            </w:pPr>
            <w:r>
              <w:rPr/>
              <w:t> </w:t>
            </w:r>
          </w:p>
        </w:tc>
        <w:tc>
          <w:tcPr>
            <w:tcW w:w="128" w:type="dxa"/>
            <w:tcBorders/>
            <w:shd w:fill="CCEEFF" w:val="clear"/>
          </w:tcPr>
          <w:p>
            <w:pPr>
              <w:pStyle w:val="TableContents"/>
              <w:spacing w:before="0" w:after="0"/>
              <w:ind w:left="0" w:right="0" w:hanging="0"/>
              <w:rPr/>
            </w:pPr>
            <w:r>
              <w:rPr/>
              <w:t> </w:t>
            </w:r>
          </w:p>
        </w:tc>
      </w:tr>
      <w:tr>
        <w:trPr/>
        <w:tc>
          <w:tcPr>
            <w:tcW w:w="21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April 13, 2010</w:t>
            </w:r>
          </w:p>
        </w:tc>
        <w:tc>
          <w:tcPr>
            <w:tcW w:w="192" w:type="dxa"/>
            <w:tcBorders/>
            <w:shd w:fill="auto" w:val="clear"/>
            <w:vAlign w:val="bottom"/>
          </w:tcPr>
          <w:p>
            <w:pPr>
              <w:pStyle w:val="TableContents"/>
              <w:spacing w:before="0" w:after="0"/>
              <w:ind w:left="0" w:right="0" w:hanging="0"/>
              <w:rPr/>
            </w:pPr>
            <w:r>
              <w:rPr/>
              <w:t> </w:t>
            </w:r>
          </w:p>
        </w:tc>
        <w:tc>
          <w:tcPr>
            <w:tcW w:w="2127" w:type="dxa"/>
            <w:tcBorders/>
            <w:shd w:fill="auto" w:val="clear"/>
          </w:tcPr>
          <w:p>
            <w:pPr>
              <w:pStyle w:val="TableContents"/>
              <w:spacing w:before="0" w:after="0"/>
              <w:ind w:left="0" w:right="0" w:hanging="0"/>
              <w:rPr/>
            </w:pPr>
            <w:r>
              <w:rPr>
                <w:rFonts w:ascii="Times New Roman" w:hAnsi="Times New Roman"/>
                <w:sz w:val="17"/>
              </w:rPr>
              <w:t xml:space="preserve">May 14, 2010 </w:t>
            </w:r>
            <w:r>
              <w:rPr>
                <w:sz w:val="11"/>
              </w:rPr>
              <w:t>(1)</w:t>
            </w:r>
          </w:p>
        </w:tc>
        <w:tc>
          <w:tcPr>
            <w:tcW w:w="192"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92" w:type="dxa"/>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17" w:type="dxa"/>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1" w:type="dxa"/>
            <w:tcBorders/>
            <w:shd w:fill="auto" w:val="clear"/>
            <w:vAlign w:val="bottom"/>
          </w:tcPr>
          <w:p>
            <w:pPr>
              <w:pStyle w:val="TableContents"/>
              <w:spacing w:before="0" w:after="0"/>
              <w:ind w:left="0" w:right="0" w:hanging="0"/>
              <w:jc w:val="right"/>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192" w:type="dxa"/>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0.9350</w:t>
            </w:r>
          </w:p>
        </w:tc>
        <w:tc>
          <w:tcPr>
            <w:tcW w:w="128" w:type="dxa"/>
            <w:tcBorders/>
            <w:shd w:fill="auto" w:val="clear"/>
          </w:tcPr>
          <w:p>
            <w:pPr>
              <w:pStyle w:val="TableContents"/>
              <w:spacing w:before="0" w:after="0"/>
              <w:ind w:left="0" w:right="0" w:hanging="0"/>
              <w:jc w:val="right"/>
              <w:rPr/>
            </w:pPr>
            <w:r>
              <w:rPr/>
              <w:t> </w:t>
            </w:r>
          </w:p>
        </w:tc>
      </w:tr>
      <w:tr>
        <w:trPr/>
        <w:tc>
          <w:tcPr>
            <w:tcW w:w="214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January 20, 2010</w:t>
            </w:r>
          </w:p>
        </w:tc>
        <w:tc>
          <w:tcPr>
            <w:tcW w:w="192" w:type="dxa"/>
            <w:tcBorders/>
            <w:shd w:fill="CCEEFF" w:val="clear"/>
            <w:vAlign w:val="bottom"/>
          </w:tcPr>
          <w:p>
            <w:pPr>
              <w:pStyle w:val="TableContents"/>
              <w:spacing w:before="0" w:after="0"/>
              <w:ind w:left="0" w:right="0" w:hanging="0"/>
              <w:rPr/>
            </w:pPr>
            <w:r>
              <w:rPr/>
              <w:t> </w:t>
            </w:r>
          </w:p>
        </w:tc>
        <w:tc>
          <w:tcPr>
            <w:tcW w:w="212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February 12, 2010</w:t>
            </w:r>
          </w:p>
        </w:tc>
        <w:tc>
          <w:tcPr>
            <w:tcW w:w="192" w:type="dxa"/>
            <w:tcBorders/>
            <w:shd w:fill="CCEEFF" w:val="clear"/>
            <w:vAlign w:val="bottom"/>
          </w:tcPr>
          <w:p>
            <w:pPr>
              <w:pStyle w:val="TableContents"/>
              <w:spacing w:before="0" w:after="0"/>
              <w:ind w:left="0" w:right="0" w:hanging="0"/>
              <w:rPr/>
            </w:pPr>
            <w:r>
              <w:rPr/>
              <w:t> </w:t>
            </w:r>
          </w:p>
        </w:tc>
        <w:tc>
          <w:tcPr>
            <w:tcW w:w="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192" w:type="dxa"/>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17" w:type="dxa"/>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1" w:type="dxa"/>
            <w:tcBorders/>
            <w:shd w:fill="CCEEFF" w:val="clear"/>
            <w:vAlign w:val="bottom"/>
          </w:tcPr>
          <w:p>
            <w:pPr>
              <w:pStyle w:val="TableContents"/>
              <w:spacing w:before="0" w:after="0"/>
              <w:ind w:left="0" w:right="0" w:hanging="0"/>
              <w:jc w:val="right"/>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192" w:type="dxa"/>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0.9275</w:t>
            </w:r>
          </w:p>
        </w:tc>
        <w:tc>
          <w:tcPr>
            <w:tcW w:w="128" w:type="dxa"/>
            <w:tcBorders/>
            <w:shd w:fill="CCEEFF" w:val="clear"/>
          </w:tcPr>
          <w:p>
            <w:pPr>
              <w:pStyle w:val="TableContents"/>
              <w:spacing w:before="0" w:after="0"/>
              <w:ind w:left="0" w:right="0" w:hanging="0"/>
              <w:jc w:val="right"/>
              <w:rPr/>
            </w:pPr>
            <w:r>
              <w:rPr/>
              <w:t> </w:t>
            </w:r>
          </w:p>
        </w:tc>
      </w:tr>
      <w:tr>
        <w:trPr/>
        <w:tc>
          <w:tcPr>
            <w:tcW w:w="2148" w:type="dxa"/>
            <w:tcBorders/>
            <w:shd w:fill="auto" w:val="clear"/>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2127" w:type="dxa"/>
            <w:tcBorders/>
            <w:shd w:fill="auto" w:val="clear"/>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881" w:type="dxa"/>
            <w:gridSpan w:val="2"/>
            <w:tcBorders/>
            <w:shd w:fill="auto" w:val="clear"/>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jc w:val="right"/>
              <w:rPr/>
            </w:pPr>
            <w:r>
              <w:rPr/>
              <w:t> </w:t>
            </w:r>
          </w:p>
        </w:tc>
        <w:tc>
          <w:tcPr>
            <w:tcW w:w="900" w:type="dxa"/>
            <w:gridSpan w:val="2"/>
            <w:tcBorders/>
            <w:shd w:fill="auto" w:val="clear"/>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jc w:val="right"/>
              <w:rPr/>
            </w:pPr>
            <w:r>
              <w:rPr/>
              <w:t> </w:t>
            </w:r>
          </w:p>
        </w:tc>
        <w:tc>
          <w:tcPr>
            <w:tcW w:w="771" w:type="dxa"/>
            <w:gridSpan w:val="2"/>
            <w:tcBorders/>
            <w:shd w:fill="auto" w:val="clear"/>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jc w:val="right"/>
              <w:rPr/>
            </w:pPr>
            <w:r>
              <w:rPr/>
              <w:t> </w:t>
            </w:r>
          </w:p>
        </w:tc>
        <w:tc>
          <w:tcPr>
            <w:tcW w:w="791" w:type="dxa"/>
            <w:gridSpan w:val="2"/>
            <w:tcBorders/>
            <w:shd w:fill="auto" w:val="clear"/>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jc w:val="right"/>
              <w:rPr/>
            </w:pPr>
            <w:r>
              <w:rPr/>
              <w:t> </w:t>
            </w:r>
          </w:p>
        </w:tc>
        <w:tc>
          <w:tcPr>
            <w:tcW w:w="1283" w:type="dxa"/>
            <w:gridSpan w:val="2"/>
            <w:tcBorders/>
            <w:shd w:fill="auto" w:val="clear"/>
          </w:tcPr>
          <w:p>
            <w:pPr>
              <w:pStyle w:val="TableContents"/>
              <w:spacing w:before="0" w:after="0"/>
              <w:ind w:left="0" w:right="0" w:hanging="0"/>
              <w:jc w:val="right"/>
              <w:rPr/>
            </w:pPr>
            <w:r>
              <w:rPr/>
              <w:t> </w:t>
            </w:r>
          </w:p>
        </w:tc>
        <w:tc>
          <w:tcPr>
            <w:tcW w:w="128" w:type="dxa"/>
            <w:tcBorders/>
            <w:shd w:fill="auto" w:val="clear"/>
          </w:tcPr>
          <w:p>
            <w:pPr>
              <w:pStyle w:val="TableContents"/>
              <w:spacing w:before="0" w:after="0"/>
              <w:ind w:left="0" w:right="0" w:hanging="0"/>
              <w:jc w:val="right"/>
              <w:rPr/>
            </w:pPr>
            <w:r>
              <w:rPr/>
              <w:t> </w:t>
            </w:r>
          </w:p>
        </w:tc>
      </w:tr>
      <w:tr>
        <w:trPr/>
        <w:tc>
          <w:tcPr>
            <w:tcW w:w="2148" w:type="dxa"/>
            <w:tcBorders/>
            <w:shd w:fill="CCEEFF" w:val="clear"/>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2009</w:t>
            </w:r>
          </w:p>
        </w:tc>
        <w:tc>
          <w:tcPr>
            <w:tcW w:w="192" w:type="dxa"/>
            <w:tcBorders/>
            <w:shd w:fill="CCEEFF" w:val="clear"/>
            <w:vAlign w:val="bottom"/>
          </w:tcPr>
          <w:p>
            <w:pPr>
              <w:pStyle w:val="TableContents"/>
              <w:spacing w:before="0" w:after="0"/>
              <w:ind w:left="0" w:right="0" w:hanging="0"/>
              <w:rPr/>
            </w:pPr>
            <w:r>
              <w:rPr/>
              <w:t> </w:t>
            </w:r>
          </w:p>
        </w:tc>
        <w:tc>
          <w:tcPr>
            <w:tcW w:w="2127" w:type="dxa"/>
            <w:tcBorders/>
            <w:shd w:fill="CCEEFF" w:val="clear"/>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881" w:type="dxa"/>
            <w:gridSpan w:val="2"/>
            <w:tcBorders/>
            <w:shd w:fill="CCEEFF" w:val="clear"/>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jc w:val="right"/>
              <w:rPr/>
            </w:pPr>
            <w:r>
              <w:rPr/>
              <w:t> </w:t>
            </w:r>
          </w:p>
        </w:tc>
        <w:tc>
          <w:tcPr>
            <w:tcW w:w="900" w:type="dxa"/>
            <w:gridSpan w:val="2"/>
            <w:tcBorders/>
            <w:shd w:fill="CCEEFF" w:val="clear"/>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jc w:val="right"/>
              <w:rPr/>
            </w:pPr>
            <w:r>
              <w:rPr/>
              <w:t> </w:t>
            </w:r>
          </w:p>
        </w:tc>
        <w:tc>
          <w:tcPr>
            <w:tcW w:w="771" w:type="dxa"/>
            <w:gridSpan w:val="2"/>
            <w:tcBorders/>
            <w:shd w:fill="CCEEFF" w:val="clear"/>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jc w:val="right"/>
              <w:rPr/>
            </w:pPr>
            <w:r>
              <w:rPr/>
              <w:t> </w:t>
            </w:r>
          </w:p>
        </w:tc>
        <w:tc>
          <w:tcPr>
            <w:tcW w:w="791" w:type="dxa"/>
            <w:gridSpan w:val="2"/>
            <w:tcBorders/>
            <w:shd w:fill="CCEEFF" w:val="clear"/>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jc w:val="right"/>
              <w:rPr/>
            </w:pPr>
            <w:r>
              <w:rPr/>
              <w:t> </w:t>
            </w:r>
          </w:p>
        </w:tc>
        <w:tc>
          <w:tcPr>
            <w:tcW w:w="1283" w:type="dxa"/>
            <w:gridSpan w:val="2"/>
            <w:tcBorders/>
            <w:shd w:fill="CCEEFF" w:val="clear"/>
          </w:tcPr>
          <w:p>
            <w:pPr>
              <w:pStyle w:val="TableContents"/>
              <w:spacing w:before="0" w:after="0"/>
              <w:ind w:left="0" w:right="0" w:hanging="0"/>
              <w:jc w:val="right"/>
              <w:rPr/>
            </w:pPr>
            <w:r>
              <w:rPr/>
              <w:t> </w:t>
            </w:r>
          </w:p>
        </w:tc>
        <w:tc>
          <w:tcPr>
            <w:tcW w:w="128" w:type="dxa"/>
            <w:tcBorders/>
            <w:shd w:fill="CCEEFF" w:val="clear"/>
          </w:tcPr>
          <w:p>
            <w:pPr>
              <w:pStyle w:val="TableContents"/>
              <w:spacing w:before="0" w:after="0"/>
              <w:ind w:left="0" w:right="0" w:hanging="0"/>
              <w:jc w:val="right"/>
              <w:rPr/>
            </w:pPr>
            <w:r>
              <w:rPr/>
              <w:t> </w:t>
            </w:r>
          </w:p>
        </w:tc>
      </w:tr>
      <w:tr>
        <w:trPr/>
        <w:tc>
          <w:tcPr>
            <w:tcW w:w="21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April 8, 2009</w:t>
            </w:r>
          </w:p>
        </w:tc>
        <w:tc>
          <w:tcPr>
            <w:tcW w:w="192" w:type="dxa"/>
            <w:tcBorders/>
            <w:shd w:fill="auto" w:val="clear"/>
            <w:vAlign w:val="bottom"/>
          </w:tcPr>
          <w:p>
            <w:pPr>
              <w:pStyle w:val="TableContents"/>
              <w:spacing w:before="0" w:after="0"/>
              <w:ind w:left="0" w:right="0" w:hanging="0"/>
              <w:rPr/>
            </w:pPr>
            <w:r>
              <w:rPr/>
              <w:t> </w:t>
            </w:r>
          </w:p>
        </w:tc>
        <w:tc>
          <w:tcPr>
            <w:tcW w:w="21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May 15, 2009</w:t>
            </w:r>
          </w:p>
        </w:tc>
        <w:tc>
          <w:tcPr>
            <w:tcW w:w="192"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192" w:type="dxa"/>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7" w:type="dxa"/>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1" w:type="dxa"/>
            <w:tcBorders/>
            <w:shd w:fill="auto" w:val="clear"/>
            <w:vAlign w:val="bottom"/>
          </w:tcPr>
          <w:p>
            <w:pPr>
              <w:pStyle w:val="TableContents"/>
              <w:spacing w:before="0" w:after="0"/>
              <w:ind w:left="0" w:right="0" w:hanging="0"/>
              <w:jc w:val="right"/>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92" w:type="dxa"/>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0.9050</w:t>
            </w:r>
          </w:p>
        </w:tc>
        <w:tc>
          <w:tcPr>
            <w:tcW w:w="128" w:type="dxa"/>
            <w:tcBorders/>
            <w:shd w:fill="auto" w:val="clear"/>
          </w:tcPr>
          <w:p>
            <w:pPr>
              <w:pStyle w:val="TableContents"/>
              <w:spacing w:before="0" w:after="0"/>
              <w:ind w:left="0" w:right="0" w:hanging="0"/>
              <w:jc w:val="right"/>
              <w:rPr/>
            </w:pPr>
            <w:r>
              <w:rPr/>
              <w:t> </w:t>
            </w:r>
          </w:p>
        </w:tc>
      </w:tr>
      <w:tr>
        <w:trPr/>
        <w:tc>
          <w:tcPr>
            <w:tcW w:w="214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January 14, 2009</w:t>
            </w:r>
          </w:p>
        </w:tc>
        <w:tc>
          <w:tcPr>
            <w:tcW w:w="192" w:type="dxa"/>
            <w:tcBorders/>
            <w:shd w:fill="CCEEFF" w:val="clear"/>
            <w:vAlign w:val="bottom"/>
          </w:tcPr>
          <w:p>
            <w:pPr>
              <w:pStyle w:val="TableContents"/>
              <w:spacing w:before="0" w:after="0"/>
              <w:ind w:left="0" w:right="0" w:hanging="0"/>
              <w:rPr/>
            </w:pPr>
            <w:r>
              <w:rPr/>
              <w:t> </w:t>
            </w:r>
          </w:p>
        </w:tc>
        <w:tc>
          <w:tcPr>
            <w:tcW w:w="212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February 13, 2009</w:t>
            </w:r>
          </w:p>
        </w:tc>
        <w:tc>
          <w:tcPr>
            <w:tcW w:w="192" w:type="dxa"/>
            <w:tcBorders/>
            <w:shd w:fill="CCEEFF" w:val="clear"/>
            <w:vAlign w:val="bottom"/>
          </w:tcPr>
          <w:p>
            <w:pPr>
              <w:pStyle w:val="TableContents"/>
              <w:spacing w:before="0" w:after="0"/>
              <w:ind w:left="0" w:right="0" w:hanging="0"/>
              <w:rPr/>
            </w:pPr>
            <w:r>
              <w:rPr/>
              <w:t> </w:t>
            </w:r>
          </w:p>
        </w:tc>
        <w:tc>
          <w:tcPr>
            <w:tcW w:w="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92" w:type="dxa"/>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17" w:type="dxa"/>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1" w:type="dxa"/>
            <w:tcBorders/>
            <w:shd w:fill="CCEEFF" w:val="clear"/>
            <w:vAlign w:val="bottom"/>
          </w:tcPr>
          <w:p>
            <w:pPr>
              <w:pStyle w:val="TableContents"/>
              <w:spacing w:before="0" w:after="0"/>
              <w:ind w:left="0" w:right="0" w:hanging="0"/>
              <w:jc w:val="right"/>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92" w:type="dxa"/>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0.8925</w:t>
            </w:r>
          </w:p>
        </w:tc>
        <w:tc>
          <w:tcPr>
            <w:tcW w:w="128" w:type="dxa"/>
            <w:tcBorders/>
            <w:shd w:fill="CCEEFF" w:val="clear"/>
          </w:tcPr>
          <w:p>
            <w:pPr>
              <w:pStyle w:val="TableContents"/>
              <w:spacing w:before="0" w:after="0"/>
              <w:ind w:left="0" w:right="0" w:hanging="0"/>
              <w:jc w:val="right"/>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Payable to unitholders of record on May 4, 2010, for the period January 1, 2010 through March 31,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Upon closing of the Pacific acquisition in November 2006, the Rainbow acquisition in May 2008 and the PNGS acquisition in September 2009, our general partner agreed to reduce the amounts due it as incentive distributions. The total reduction in incentive distributions related to these acquisitions is $83 million. Following the distribution in May 2010, the aggregate incentive distribution reductions remaining will be approximately $14 million.  See Note 2 to our Consolidated Financial Statements included in Part IV of our 2009 Annual Report on Form 10-K for further detail regarding our </w:t>
      </w:r>
      <w:r>
        <w:rPr>
          <w:rFonts w:ascii="Times New Roman" w:hAnsi="Times New Roman"/>
          <w:i/>
          <w:sz w:val="17"/>
        </w:rPr>
        <w:t>General Partner Incentive Distributions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8Equity Compensation Plans</w:t>
      </w:r>
      <w:bookmarkStart w:id="29" w:name="Note9equityCompensationPlans_175126"/>
      <w:bookmarkEnd w:id="29"/>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LTIPs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discussion of our LTIP awards, see Note 10 to our Consolidated Financial Statements included in Part IV of our 2009 Annual Report on Form 10-K.  At March 31, 2010, the following LTIP awards were outstanding (units in millions):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30" w:name="PB_12_154554_7056"/>
      <w:bookmarkEnd w:id="3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1"/>
        <w:gridCol w:w="408"/>
        <w:gridCol w:w="1327"/>
        <w:gridCol w:w="203"/>
        <w:gridCol w:w="1022"/>
        <w:gridCol w:w="203"/>
        <w:gridCol w:w="1021"/>
        <w:gridCol w:w="203"/>
        <w:gridCol w:w="1022"/>
        <w:gridCol w:w="203"/>
        <w:gridCol w:w="1021"/>
        <w:gridCol w:w="204"/>
        <w:gridCol w:w="1021"/>
        <w:gridCol w:w="203"/>
        <w:gridCol w:w="1021"/>
        <w:gridCol w:w="102"/>
      </w:tblGrid>
      <w:tr>
        <w:trPr/>
        <w:tc>
          <w:tcPr>
            <w:tcW w:w="1021" w:type="dxa"/>
            <w:tcBorders/>
            <w:shd w:fill="auto" w:val="clear"/>
            <w:vAlign w:val="bottom"/>
          </w:tcPr>
          <w:p>
            <w:pPr>
              <w:pStyle w:val="TableContents"/>
              <w:spacing w:before="0" w:after="0"/>
              <w:ind w:left="0" w:right="0" w:hanging="0"/>
              <w:rPr/>
            </w:pPr>
            <w:r>
              <w:rPr/>
              <w:t> </w:t>
            </w:r>
          </w:p>
        </w:tc>
        <w:tc>
          <w:tcPr>
            <w:tcW w:w="408" w:type="dxa"/>
            <w:tcBorders/>
            <w:shd w:fill="auto" w:val="clear"/>
            <w:vAlign w:val="bottom"/>
          </w:tcPr>
          <w:p>
            <w:pPr>
              <w:pStyle w:val="TableContents"/>
              <w:spacing w:before="0" w:after="0"/>
              <w:ind w:left="0" w:right="0" w:hanging="0"/>
              <w:jc w:val="center"/>
              <w:rPr/>
            </w:pPr>
            <w:r>
              <w:rPr/>
              <w:t> </w:t>
            </w:r>
          </w:p>
        </w:tc>
        <w:tc>
          <w:tcPr>
            <w:tcW w:w="1327"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Vesting</w:t>
            </w:r>
          </w:p>
        </w:tc>
        <w:tc>
          <w:tcPr>
            <w:tcW w:w="203" w:type="dxa"/>
            <w:tcBorders/>
            <w:shd w:fill="auto" w:val="clear"/>
            <w:vAlign w:val="bottom"/>
          </w:tcPr>
          <w:p>
            <w:pPr>
              <w:pStyle w:val="TableContents"/>
              <w:spacing w:before="0" w:after="0"/>
              <w:ind w:left="0" w:right="0" w:hanging="0"/>
              <w:jc w:val="center"/>
              <w:rPr/>
            </w:pPr>
            <w:r>
              <w:rPr/>
              <w:t> </w:t>
            </w:r>
          </w:p>
        </w:tc>
        <w:tc>
          <w:tcPr>
            <w:tcW w:w="1022" w:type="dxa"/>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021" w:type="dxa"/>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022" w:type="dxa"/>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021" w:type="dxa"/>
            <w:tcBorders/>
            <w:shd w:fill="auto" w:val="clear"/>
            <w:vAlign w:val="bottom"/>
          </w:tcPr>
          <w:p>
            <w:pPr>
              <w:pStyle w:val="TableContents"/>
              <w:spacing w:before="0" w:after="0"/>
              <w:ind w:left="0" w:right="0" w:hanging="0"/>
              <w:jc w:val="center"/>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1021" w:type="dxa"/>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021" w:type="dxa"/>
            <w:tcBorders/>
            <w:shd w:fill="auto" w:val="clear"/>
            <w:vAlign w:val="bottom"/>
          </w:tcPr>
          <w:p>
            <w:pPr>
              <w:pStyle w:val="TableContents"/>
              <w:spacing w:before="0" w:after="0"/>
              <w:ind w:left="0" w:right="0" w:hanging="0"/>
              <w:jc w:val="center"/>
              <w:rPr/>
            </w:pPr>
            <w:r>
              <w:rPr/>
              <w:t> </w:t>
            </w:r>
          </w:p>
        </w:tc>
        <w:tc>
          <w:tcPr>
            <w:tcW w:w="102" w:type="dxa"/>
            <w:tcBorders/>
            <w:shd w:fill="auto" w:val="clear"/>
            <w:vAlign w:val="bottom"/>
          </w:tcPr>
          <w:p>
            <w:pPr>
              <w:pStyle w:val="TableContents"/>
              <w:spacing w:before="0" w:after="0"/>
              <w:ind w:left="0" w:right="0" w:hanging="0"/>
              <w:jc w:val="center"/>
              <w:rPr/>
            </w:pPr>
            <w:r>
              <w:rPr/>
              <w:t> </w:t>
            </w:r>
          </w:p>
        </w:tc>
      </w:tr>
      <w:tr>
        <w:trPr/>
        <w:tc>
          <w:tcPr>
            <w:tcW w:w="1021"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LTIP Units</w:t>
            </w:r>
          </w:p>
        </w:tc>
        <w:tc>
          <w:tcPr>
            <w:tcW w:w="408" w:type="dxa"/>
            <w:tcBorders/>
            <w:shd w:fill="auto" w:val="clear"/>
            <w:vAlign w:val="bottom"/>
          </w:tcPr>
          <w:p>
            <w:pPr>
              <w:pStyle w:val="TableContents"/>
              <w:spacing w:before="0" w:after="0"/>
              <w:ind w:left="0" w:right="0" w:hanging="0"/>
              <w:jc w:val="center"/>
              <w:rPr/>
            </w:pPr>
            <w:r>
              <w:rPr/>
              <w:t> </w:t>
            </w:r>
          </w:p>
        </w:tc>
        <w:tc>
          <w:tcPr>
            <w:tcW w:w="1327"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w:t>
            </w:r>
          </w:p>
        </w:tc>
        <w:tc>
          <w:tcPr>
            <w:tcW w:w="203" w:type="dxa"/>
            <w:tcBorders/>
            <w:shd w:fill="auto" w:val="clear"/>
            <w:vAlign w:val="bottom"/>
          </w:tcPr>
          <w:p>
            <w:pPr>
              <w:pStyle w:val="TableContents"/>
              <w:spacing w:before="0" w:after="0"/>
              <w:ind w:left="0" w:right="0" w:hanging="0"/>
              <w:jc w:val="center"/>
              <w:rPr/>
            </w:pPr>
            <w:r>
              <w:rPr/>
              <w:t> </w:t>
            </w:r>
          </w:p>
        </w:tc>
        <w:tc>
          <w:tcPr>
            <w:tcW w:w="1022" w:type="dxa"/>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021" w:type="dxa"/>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022" w:type="dxa"/>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021" w:type="dxa"/>
            <w:tcBorders/>
            <w:shd w:fill="auto" w:val="clear"/>
            <w:vAlign w:val="bottom"/>
          </w:tcPr>
          <w:p>
            <w:pPr>
              <w:pStyle w:val="TableContents"/>
              <w:spacing w:before="0" w:after="0"/>
              <w:ind w:left="0" w:right="0" w:hanging="0"/>
              <w:jc w:val="center"/>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1021" w:type="dxa"/>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021" w:type="dxa"/>
            <w:tcBorders/>
            <w:shd w:fill="auto" w:val="clear"/>
            <w:vAlign w:val="bottom"/>
          </w:tcPr>
          <w:p>
            <w:pPr>
              <w:pStyle w:val="TableContents"/>
              <w:spacing w:before="0" w:after="0"/>
              <w:ind w:left="0" w:right="0" w:hanging="0"/>
              <w:jc w:val="center"/>
              <w:rPr/>
            </w:pPr>
            <w:r>
              <w:rPr/>
              <w:t> </w:t>
            </w:r>
          </w:p>
        </w:tc>
        <w:tc>
          <w:tcPr>
            <w:tcW w:w="102" w:type="dxa"/>
            <w:tcBorders/>
            <w:shd w:fill="auto" w:val="clear"/>
            <w:vAlign w:val="bottom"/>
          </w:tcPr>
          <w:p>
            <w:pPr>
              <w:pStyle w:val="TableContents"/>
              <w:spacing w:before="0" w:after="0"/>
              <w:ind w:left="0" w:right="0" w:hanging="0"/>
              <w:jc w:val="center"/>
              <w:rPr/>
            </w:pPr>
            <w:r>
              <w:rPr/>
              <w:t> </w:t>
            </w:r>
          </w:p>
        </w:tc>
      </w:tr>
      <w:tr>
        <w:trPr/>
        <w:tc>
          <w:tcPr>
            <w:tcW w:w="102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Outstanding</w:t>
            </w:r>
          </w:p>
        </w:tc>
        <w:tc>
          <w:tcPr>
            <w:tcW w:w="408" w:type="dxa"/>
            <w:tcBorders/>
            <w:shd w:fill="auto" w:val="clear"/>
            <w:vAlign w:val="bottom"/>
          </w:tcPr>
          <w:p>
            <w:pPr>
              <w:pStyle w:val="TableContents"/>
              <w:spacing w:before="0" w:after="0"/>
              <w:ind w:left="0" w:right="0" w:hanging="0"/>
              <w:jc w:val="center"/>
              <w:rPr/>
            </w:pPr>
            <w:r>
              <w:rPr/>
              <w:t> </w:t>
            </w:r>
          </w:p>
        </w:tc>
        <w:tc>
          <w:tcPr>
            <w:tcW w:w="132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w:t>
            </w:r>
          </w:p>
        </w:tc>
        <w:tc>
          <w:tcPr>
            <w:tcW w:w="203" w:type="dxa"/>
            <w:tcBorders/>
            <w:shd w:fill="auto" w:val="clear"/>
            <w:vAlign w:val="bottom"/>
          </w:tcPr>
          <w:p>
            <w:pPr>
              <w:pStyle w:val="TableContents"/>
              <w:spacing w:before="0" w:after="0"/>
              <w:ind w:left="0" w:right="0" w:hanging="0"/>
              <w:jc w:val="center"/>
              <w:rPr/>
            </w:pPr>
            <w:r>
              <w:rPr/>
              <w:t> </w:t>
            </w:r>
          </w:p>
        </w:tc>
        <w:tc>
          <w:tcPr>
            <w:tcW w:w="102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3" w:type="dxa"/>
            <w:tcBorders/>
            <w:shd w:fill="auto" w:val="clear"/>
            <w:vAlign w:val="bottom"/>
          </w:tcPr>
          <w:p>
            <w:pPr>
              <w:pStyle w:val="TableContents"/>
              <w:spacing w:before="0" w:after="0"/>
              <w:ind w:left="0" w:right="0" w:hanging="0"/>
              <w:jc w:val="center"/>
              <w:rPr/>
            </w:pPr>
            <w:r>
              <w:rPr/>
              <w:t> </w:t>
            </w:r>
          </w:p>
        </w:tc>
        <w:tc>
          <w:tcPr>
            <w:tcW w:w="102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3" w:type="dxa"/>
            <w:tcBorders/>
            <w:shd w:fill="auto" w:val="clear"/>
            <w:vAlign w:val="bottom"/>
          </w:tcPr>
          <w:p>
            <w:pPr>
              <w:pStyle w:val="TableContents"/>
              <w:spacing w:before="0" w:after="0"/>
              <w:ind w:left="0" w:right="0" w:hanging="0"/>
              <w:jc w:val="center"/>
              <w:rPr/>
            </w:pPr>
            <w:r>
              <w:rPr/>
              <w:t> </w:t>
            </w:r>
          </w:p>
        </w:tc>
        <w:tc>
          <w:tcPr>
            <w:tcW w:w="102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3" w:type="dxa"/>
            <w:tcBorders/>
            <w:shd w:fill="auto" w:val="clear"/>
            <w:vAlign w:val="bottom"/>
          </w:tcPr>
          <w:p>
            <w:pPr>
              <w:pStyle w:val="TableContents"/>
              <w:spacing w:before="0" w:after="0"/>
              <w:ind w:left="0" w:right="0" w:hanging="0"/>
              <w:jc w:val="center"/>
              <w:rPr/>
            </w:pPr>
            <w:r>
              <w:rPr/>
              <w:t> </w:t>
            </w:r>
          </w:p>
        </w:tc>
        <w:tc>
          <w:tcPr>
            <w:tcW w:w="102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4" w:type="dxa"/>
            <w:tcBorders/>
            <w:shd w:fill="auto" w:val="clear"/>
            <w:vAlign w:val="bottom"/>
          </w:tcPr>
          <w:p>
            <w:pPr>
              <w:pStyle w:val="TableContents"/>
              <w:spacing w:before="0" w:after="0"/>
              <w:ind w:left="0" w:right="0" w:hanging="0"/>
              <w:jc w:val="center"/>
              <w:rPr/>
            </w:pPr>
            <w:r>
              <w:rPr/>
              <w:t> </w:t>
            </w:r>
          </w:p>
        </w:tc>
        <w:tc>
          <w:tcPr>
            <w:tcW w:w="102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03" w:type="dxa"/>
            <w:tcBorders/>
            <w:shd w:fill="auto" w:val="clear"/>
            <w:vAlign w:val="bottom"/>
          </w:tcPr>
          <w:p>
            <w:pPr>
              <w:pStyle w:val="TableContents"/>
              <w:spacing w:before="0" w:after="0"/>
              <w:ind w:left="0" w:right="0" w:hanging="0"/>
              <w:jc w:val="center"/>
              <w:rPr/>
            </w:pPr>
            <w:r>
              <w:rPr/>
              <w:t> </w:t>
            </w:r>
          </w:p>
        </w:tc>
        <w:tc>
          <w:tcPr>
            <w:tcW w:w="102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2015</w:t>
            </w:r>
          </w:p>
        </w:tc>
        <w:tc>
          <w:tcPr>
            <w:tcW w:w="102" w:type="dxa"/>
            <w:tcBorders/>
            <w:shd w:fill="auto" w:val="clear"/>
            <w:vAlign w:val="bottom"/>
          </w:tcPr>
          <w:p>
            <w:pPr>
              <w:pStyle w:val="TableContents"/>
              <w:spacing w:before="0" w:after="0"/>
              <w:ind w:left="0" w:right="0" w:hanging="0"/>
              <w:jc w:val="center"/>
              <w:rPr/>
            </w:pPr>
            <w:r>
              <w:rPr/>
              <w:t> </w:t>
            </w:r>
          </w:p>
        </w:tc>
      </w:tr>
      <w:tr>
        <w:trPr/>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w:t>
            </w:r>
          </w:p>
        </w:tc>
        <w:tc>
          <w:tcPr>
            <w:tcW w:w="408"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32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203" w:type="dxa"/>
            <w:tcBorders/>
            <w:shd w:fill="CCEEFF" w:val="clear"/>
            <w:vAlign w:val="bottom"/>
          </w:tcPr>
          <w:p>
            <w:pPr>
              <w:pStyle w:val="TableContents"/>
              <w:spacing w:before="0" w:after="0"/>
              <w:ind w:left="0" w:right="0" w:hanging="0"/>
              <w:rPr/>
            </w:pPr>
            <w:r>
              <w:rPr/>
              <w:t> </w:t>
            </w:r>
          </w:p>
        </w:tc>
        <w:tc>
          <w:tcPr>
            <w:tcW w:w="10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3" w:type="dxa"/>
            <w:tcBorders/>
            <w:shd w:fill="CCEEFF" w:val="clear"/>
            <w:vAlign w:val="bottom"/>
          </w:tcPr>
          <w:p>
            <w:pPr>
              <w:pStyle w:val="TableContents"/>
              <w:spacing w:before="0" w:after="0"/>
              <w:ind w:left="0" w:right="0" w:hanging="0"/>
              <w:rPr/>
            </w:pPr>
            <w:r>
              <w:rPr/>
              <w:t> </w:t>
            </w:r>
          </w:p>
        </w:tc>
        <w:tc>
          <w:tcPr>
            <w:tcW w:w="10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CCEEFF" w:val="clear"/>
            <w:vAlign w:val="bottom"/>
          </w:tcPr>
          <w:p>
            <w:pPr>
              <w:pStyle w:val="TableContents"/>
              <w:spacing w:before="0" w:after="0"/>
              <w:ind w:left="0" w:right="0" w:hanging="0"/>
              <w:rPr/>
            </w:pPr>
            <w:r>
              <w:rPr/>
              <w:t> </w:t>
            </w:r>
          </w:p>
        </w:tc>
      </w:tr>
      <w:tr>
        <w:trPr/>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408"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3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$3.50 - $4.50</w:t>
            </w:r>
          </w:p>
        </w:tc>
        <w:tc>
          <w:tcPr>
            <w:tcW w:w="203" w:type="dxa"/>
            <w:tcBorders/>
            <w:shd w:fill="auto" w:val="clear"/>
            <w:vAlign w:val="bottom"/>
          </w:tcPr>
          <w:p>
            <w:pPr>
              <w:pStyle w:val="TableContents"/>
              <w:spacing w:before="0" w:after="0"/>
              <w:ind w:left="0" w:right="0" w:hanging="0"/>
              <w:rPr/>
            </w:pPr>
            <w:r>
              <w:rPr/>
              <w:t> </w:t>
            </w:r>
          </w:p>
        </w:tc>
        <w:tc>
          <w:tcPr>
            <w:tcW w:w="10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3"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w:t>
            </w:r>
          </w:p>
        </w:tc>
        <w:tc>
          <w:tcPr>
            <w:tcW w:w="203" w:type="dxa"/>
            <w:tcBorders/>
            <w:shd w:fill="auto" w:val="clear"/>
            <w:vAlign w:val="bottom"/>
          </w:tcPr>
          <w:p>
            <w:pPr>
              <w:pStyle w:val="TableContents"/>
              <w:spacing w:before="0" w:after="0"/>
              <w:ind w:left="0" w:right="0" w:hanging="0"/>
              <w:rPr/>
            </w:pPr>
            <w:r>
              <w:rPr/>
              <w:t> </w:t>
            </w:r>
          </w:p>
        </w:tc>
        <w:tc>
          <w:tcPr>
            <w:tcW w:w="10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w:t>
            </w:r>
          </w:p>
        </w:tc>
        <w:tc>
          <w:tcPr>
            <w:tcW w:w="203"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w:t>
            </w:r>
          </w:p>
        </w:tc>
        <w:tc>
          <w:tcPr>
            <w:tcW w:w="203"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w:t>
            </w:r>
          </w:p>
        </w:tc>
        <w:tc>
          <w:tcPr>
            <w:tcW w:w="102" w:type="dxa"/>
            <w:tcBorders/>
            <w:shd w:fill="auto" w:val="clear"/>
            <w:vAlign w:val="bottom"/>
          </w:tcPr>
          <w:p>
            <w:pPr>
              <w:pStyle w:val="TableContents"/>
              <w:spacing w:before="0" w:after="0"/>
              <w:ind w:left="0" w:right="0" w:hanging="0"/>
              <w:rPr/>
            </w:pPr>
            <w:r>
              <w:rPr/>
              <w:t> </w:t>
            </w:r>
          </w:p>
        </w:tc>
      </w:tr>
      <w:tr>
        <w:trPr/>
        <w:tc>
          <w:tcPr>
            <w:tcW w:w="102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408"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32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$3.50 - $4.25</w:t>
            </w:r>
          </w:p>
        </w:tc>
        <w:tc>
          <w:tcPr>
            <w:tcW w:w="203" w:type="dxa"/>
            <w:tcBorders/>
            <w:shd w:fill="CCEEFF" w:val="clear"/>
            <w:vAlign w:val="bottom"/>
          </w:tcPr>
          <w:p>
            <w:pPr>
              <w:pStyle w:val="TableContents"/>
              <w:spacing w:before="0" w:after="0"/>
              <w:ind w:left="0" w:right="0" w:hanging="0"/>
              <w:rPr/>
            </w:pPr>
            <w:r>
              <w:rPr/>
              <w:t> </w:t>
            </w:r>
          </w:p>
        </w:tc>
        <w:tc>
          <w:tcPr>
            <w:tcW w:w="102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w:t>
            </w:r>
          </w:p>
        </w:tc>
        <w:tc>
          <w:tcPr>
            <w:tcW w:w="203" w:type="dxa"/>
            <w:tcBorders/>
            <w:shd w:fill="CCEEFF" w:val="clear"/>
            <w:vAlign w:val="bottom"/>
          </w:tcPr>
          <w:p>
            <w:pPr>
              <w:pStyle w:val="TableContents"/>
              <w:spacing w:before="0" w:after="0"/>
              <w:ind w:left="0" w:right="0" w:hanging="0"/>
              <w:rPr/>
            </w:pPr>
            <w:r>
              <w:rPr/>
              <w:t> </w:t>
            </w:r>
          </w:p>
        </w:tc>
        <w:tc>
          <w:tcPr>
            <w:tcW w:w="102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w:t>
            </w:r>
          </w:p>
        </w:tc>
        <w:tc>
          <w:tcPr>
            <w:tcW w:w="203" w:type="dxa"/>
            <w:tcBorders/>
            <w:shd w:fill="CCEEFF" w:val="clear"/>
            <w:vAlign w:val="bottom"/>
          </w:tcPr>
          <w:p>
            <w:pPr>
              <w:pStyle w:val="TableContents"/>
              <w:spacing w:before="0" w:after="0"/>
              <w:ind w:left="0" w:right="0" w:hanging="0"/>
              <w:rPr/>
            </w:pPr>
            <w:r>
              <w:rPr/>
              <w:t> </w:t>
            </w:r>
          </w:p>
        </w:tc>
        <w:tc>
          <w:tcPr>
            <w:tcW w:w="102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w:t>
            </w:r>
          </w:p>
        </w:tc>
        <w:tc>
          <w:tcPr>
            <w:tcW w:w="203" w:type="dxa"/>
            <w:tcBorders/>
            <w:shd w:fill="CCEEFF" w:val="clear"/>
            <w:vAlign w:val="bottom"/>
          </w:tcPr>
          <w:p>
            <w:pPr>
              <w:pStyle w:val="TableContents"/>
              <w:spacing w:before="0" w:after="0"/>
              <w:ind w:left="0" w:right="0" w:hanging="0"/>
              <w:rPr/>
            </w:pPr>
            <w:r>
              <w:rPr/>
              <w:t> </w:t>
            </w:r>
          </w:p>
        </w:tc>
        <w:tc>
          <w:tcPr>
            <w:tcW w:w="102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w:t>
            </w:r>
          </w:p>
        </w:tc>
        <w:tc>
          <w:tcPr>
            <w:tcW w:w="204" w:type="dxa"/>
            <w:tcBorders/>
            <w:shd w:fill="CCEEFF" w:val="clear"/>
            <w:vAlign w:val="bottom"/>
          </w:tcPr>
          <w:p>
            <w:pPr>
              <w:pStyle w:val="TableContents"/>
              <w:spacing w:before="0" w:after="0"/>
              <w:ind w:left="0" w:right="0" w:hanging="0"/>
              <w:rPr/>
            </w:pPr>
            <w:r>
              <w:rPr/>
              <w:t> </w:t>
            </w:r>
          </w:p>
        </w:tc>
        <w:tc>
          <w:tcPr>
            <w:tcW w:w="102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3" w:type="dxa"/>
            <w:tcBorders/>
            <w:shd w:fill="CCEEFF" w:val="clear"/>
            <w:vAlign w:val="bottom"/>
          </w:tcPr>
          <w:p>
            <w:pPr>
              <w:pStyle w:val="TableContents"/>
              <w:spacing w:before="0" w:after="0"/>
              <w:ind w:left="0" w:right="0" w:hanging="0"/>
              <w:rPr/>
            </w:pPr>
            <w:r>
              <w:rPr/>
              <w:t> </w:t>
            </w:r>
          </w:p>
        </w:tc>
        <w:tc>
          <w:tcPr>
            <w:tcW w:w="102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CCEEFF" w:val="clear"/>
            <w:vAlign w:val="bottom"/>
          </w:tcPr>
          <w:p>
            <w:pPr>
              <w:pStyle w:val="TableContents"/>
              <w:spacing w:before="0" w:after="0"/>
              <w:ind w:left="0" w:right="0" w:hanging="0"/>
              <w:rPr/>
            </w:pPr>
            <w:r>
              <w:rPr/>
              <w:t> </w:t>
            </w:r>
          </w:p>
        </w:tc>
      </w:tr>
      <w:tr>
        <w:trPr/>
        <w:tc>
          <w:tcPr>
            <w:tcW w:w="10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408"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(4) (5)  </w:t>
            </w:r>
          </w:p>
        </w:tc>
        <w:tc>
          <w:tcPr>
            <w:tcW w:w="1327" w:type="dxa"/>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102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3" w:type="dxa"/>
            <w:tcBorders/>
            <w:shd w:fill="auto" w:val="clear"/>
            <w:vAlign w:val="bottom"/>
          </w:tcPr>
          <w:p>
            <w:pPr>
              <w:pStyle w:val="TableContents"/>
              <w:spacing w:before="0" w:after="0"/>
              <w:ind w:left="0" w:right="0" w:hanging="0"/>
              <w:rPr/>
            </w:pPr>
            <w:r>
              <w:rPr/>
              <w:t> </w:t>
            </w:r>
          </w:p>
        </w:tc>
        <w:tc>
          <w:tcPr>
            <w:tcW w:w="10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w:t>
            </w:r>
          </w:p>
        </w:tc>
        <w:tc>
          <w:tcPr>
            <w:tcW w:w="203" w:type="dxa"/>
            <w:tcBorders/>
            <w:shd w:fill="auto" w:val="clear"/>
            <w:vAlign w:val="bottom"/>
          </w:tcPr>
          <w:p>
            <w:pPr>
              <w:pStyle w:val="TableContents"/>
              <w:spacing w:before="0" w:after="0"/>
              <w:ind w:left="0" w:right="0" w:hanging="0"/>
              <w:rPr/>
            </w:pPr>
            <w:r>
              <w:rPr/>
              <w:t> </w:t>
            </w:r>
          </w:p>
        </w:tc>
        <w:tc>
          <w:tcPr>
            <w:tcW w:w="102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3" w:type="dxa"/>
            <w:tcBorders/>
            <w:shd w:fill="auto" w:val="clear"/>
            <w:vAlign w:val="bottom"/>
          </w:tcPr>
          <w:p>
            <w:pPr>
              <w:pStyle w:val="TableContents"/>
              <w:spacing w:before="0" w:after="0"/>
              <w:ind w:left="0" w:right="0" w:hanging="0"/>
              <w:rPr/>
            </w:pPr>
            <w:r>
              <w:rPr/>
              <w:t> </w:t>
            </w:r>
          </w:p>
        </w:tc>
        <w:tc>
          <w:tcPr>
            <w:tcW w:w="10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w:t>
            </w:r>
          </w:p>
        </w:tc>
        <w:tc>
          <w:tcPr>
            <w:tcW w:w="204" w:type="dxa"/>
            <w:tcBorders/>
            <w:shd w:fill="auto" w:val="clear"/>
            <w:vAlign w:val="bottom"/>
          </w:tcPr>
          <w:p>
            <w:pPr>
              <w:pStyle w:val="TableContents"/>
              <w:spacing w:before="0" w:after="0"/>
              <w:ind w:left="0" w:right="0" w:hanging="0"/>
              <w:rPr/>
            </w:pPr>
            <w:r>
              <w:rPr/>
              <w:t> </w:t>
            </w:r>
          </w:p>
        </w:tc>
        <w:tc>
          <w:tcPr>
            <w:tcW w:w="10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w:t>
            </w:r>
          </w:p>
        </w:tc>
        <w:tc>
          <w:tcPr>
            <w:tcW w:w="203" w:type="dxa"/>
            <w:tcBorders/>
            <w:shd w:fill="auto" w:val="clear"/>
            <w:vAlign w:val="bottom"/>
          </w:tcPr>
          <w:p>
            <w:pPr>
              <w:pStyle w:val="TableContents"/>
              <w:spacing w:before="0" w:after="0"/>
              <w:ind w:left="0" w:right="0" w:hanging="0"/>
              <w:rPr/>
            </w:pPr>
            <w:r>
              <w:rPr/>
              <w:t> </w:t>
            </w:r>
          </w:p>
        </w:tc>
        <w:tc>
          <w:tcPr>
            <w:tcW w:w="10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w:t>
            </w:r>
          </w:p>
        </w:tc>
        <w:tc>
          <w:tcPr>
            <w:tcW w:w="10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Upon our February 2007 annualized distribution of $3.20, these LTIP awards satisfied all distribution requirements and will vest upon completion of the respective service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These LTIP awards have performance conditions requiring the attainment of an annualized distribution of between $3.50 and $4.50 and vest upon the later of a certain date or the attainment of such levels. If the performance conditions are not attained while the grantee remains employed by us, or the grantee does not continue to be employed for the requisite service period, these awards will be forfeited. For purposes of this disclosure, vesting dates are based on an estimate of future distribution levels and assume that all grantees remain employed by us through the vesting date.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These LTIP awards have performance conditions requiring the attainment of an annualized distribution of between $3.50 and $4.25.  For a majority of these LTIP awards, fifty percent will vest at specified dates regardless of whether the performance conditions are attained. For purposes of this disclosure, vesting dates are based on an estimate of future distribution levels and assume that all grantees remain employed by us through the vesting date.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Approximately 3 million of our approximately 5.3 million outstanding LTIP awards also include DERs, of which approximately 1 million are currently earned.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LTIP units outstanding do not include Class B units described below.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LTIP activity is summarized in the following table (in millions, except weighted average grant date fair values per unit):</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306"/>
        <w:gridCol w:w="212"/>
        <w:gridCol w:w="1433"/>
        <w:gridCol w:w="226"/>
        <w:gridCol w:w="245"/>
        <w:gridCol w:w="1652"/>
        <w:gridCol w:w="131"/>
      </w:tblGrid>
      <w:tr>
        <w:trPr/>
        <w:tc>
          <w:tcPr>
            <w:tcW w:w="6306"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433" w:type="dxa"/>
            <w:tcBorders/>
            <w:shd w:fill="auto" w:val="clear"/>
            <w:vAlign w:val="bottom"/>
          </w:tcPr>
          <w:p>
            <w:pPr>
              <w:pStyle w:val="TableContents"/>
              <w:spacing w:before="0" w:after="0"/>
              <w:ind w:left="0" w:right="0" w:hanging="0"/>
              <w:jc w:val="center"/>
              <w:rPr/>
            </w:pPr>
            <w:r>
              <w:rPr/>
              <w:t> </w:t>
            </w:r>
          </w:p>
        </w:tc>
        <w:tc>
          <w:tcPr>
            <w:tcW w:w="226" w:type="dxa"/>
            <w:tcBorders/>
            <w:shd w:fill="auto" w:val="clear"/>
            <w:vAlign w:val="bottom"/>
          </w:tcPr>
          <w:p>
            <w:pPr>
              <w:pStyle w:val="TableContents"/>
              <w:spacing w:before="0" w:after="0"/>
              <w:ind w:left="0" w:right="0" w:hanging="0"/>
              <w:jc w:val="center"/>
              <w:rPr/>
            </w:pPr>
            <w:r>
              <w:rPr/>
              <w:t> </w:t>
            </w:r>
          </w:p>
        </w:tc>
        <w:tc>
          <w:tcPr>
            <w:tcW w:w="189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 Average</w:t>
            </w:r>
          </w:p>
        </w:tc>
        <w:tc>
          <w:tcPr>
            <w:tcW w:w="131" w:type="dxa"/>
            <w:tcBorders/>
            <w:shd w:fill="auto" w:val="clear"/>
            <w:vAlign w:val="bottom"/>
          </w:tcPr>
          <w:p>
            <w:pPr>
              <w:pStyle w:val="TableContents"/>
              <w:spacing w:before="0" w:after="0"/>
              <w:ind w:left="0" w:right="0" w:hanging="0"/>
              <w:jc w:val="center"/>
              <w:rPr/>
            </w:pPr>
            <w:r>
              <w:rPr/>
              <w:t> </w:t>
            </w:r>
          </w:p>
        </w:tc>
      </w:tr>
      <w:tr>
        <w:trPr/>
        <w:tc>
          <w:tcPr>
            <w:tcW w:w="6306"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433" w:type="dxa"/>
            <w:tcBorders/>
            <w:shd w:fill="auto" w:val="clear"/>
            <w:vAlign w:val="bottom"/>
          </w:tcPr>
          <w:p>
            <w:pPr>
              <w:pStyle w:val="TableContents"/>
              <w:spacing w:before="0" w:after="0"/>
              <w:ind w:left="0" w:right="0" w:hanging="0"/>
              <w:jc w:val="center"/>
              <w:rPr/>
            </w:pPr>
            <w:r>
              <w:rPr/>
              <w:t> </w:t>
            </w:r>
          </w:p>
        </w:tc>
        <w:tc>
          <w:tcPr>
            <w:tcW w:w="226" w:type="dxa"/>
            <w:tcBorders/>
            <w:shd w:fill="auto" w:val="clear"/>
            <w:vAlign w:val="bottom"/>
          </w:tcPr>
          <w:p>
            <w:pPr>
              <w:pStyle w:val="TableContents"/>
              <w:spacing w:before="0" w:after="0"/>
              <w:ind w:left="0" w:right="0" w:hanging="0"/>
              <w:jc w:val="center"/>
              <w:rPr/>
            </w:pPr>
            <w:r>
              <w:rPr/>
              <w:t> </w:t>
            </w:r>
          </w:p>
        </w:tc>
        <w:tc>
          <w:tcPr>
            <w:tcW w:w="189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Grant Date</w:t>
            </w:r>
          </w:p>
        </w:tc>
        <w:tc>
          <w:tcPr>
            <w:tcW w:w="131" w:type="dxa"/>
            <w:tcBorders/>
            <w:shd w:fill="auto" w:val="clear"/>
            <w:vAlign w:val="bottom"/>
          </w:tcPr>
          <w:p>
            <w:pPr>
              <w:pStyle w:val="TableContents"/>
              <w:spacing w:before="0" w:after="0"/>
              <w:ind w:left="0" w:right="0" w:hanging="0"/>
              <w:jc w:val="center"/>
              <w:rPr/>
            </w:pPr>
            <w:r>
              <w:rPr/>
              <w:t> </w:t>
            </w:r>
          </w:p>
        </w:tc>
      </w:tr>
      <w:tr>
        <w:trPr/>
        <w:tc>
          <w:tcPr>
            <w:tcW w:w="6306"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43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226" w:type="dxa"/>
            <w:tcBorders/>
            <w:shd w:fill="auto" w:val="clear"/>
            <w:vAlign w:val="bottom"/>
          </w:tcPr>
          <w:p>
            <w:pPr>
              <w:pStyle w:val="TableContents"/>
              <w:spacing w:before="0" w:after="0"/>
              <w:ind w:left="0" w:right="0" w:hanging="0"/>
              <w:jc w:val="center"/>
              <w:rPr/>
            </w:pPr>
            <w:r>
              <w:rPr/>
              <w:t> </w:t>
            </w:r>
          </w:p>
        </w:tc>
        <w:tc>
          <w:tcPr>
            <w:tcW w:w="18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per Unit</w:t>
            </w:r>
          </w:p>
        </w:tc>
        <w:tc>
          <w:tcPr>
            <w:tcW w:w="131" w:type="dxa"/>
            <w:tcBorders/>
            <w:shd w:fill="auto" w:val="clear"/>
            <w:vAlign w:val="bottom"/>
          </w:tcPr>
          <w:p>
            <w:pPr>
              <w:pStyle w:val="TableContents"/>
              <w:spacing w:before="0" w:after="0"/>
              <w:ind w:left="0" w:right="0" w:hanging="0"/>
              <w:jc w:val="center"/>
              <w:rPr/>
            </w:pPr>
            <w:r>
              <w:rPr/>
              <w:t> </w:t>
            </w:r>
          </w:p>
        </w:tc>
      </w:tr>
      <w:tr>
        <w:trPr/>
        <w:tc>
          <w:tcPr>
            <w:tcW w:w="63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Outstanding, December 31, 2009</w:t>
            </w:r>
          </w:p>
        </w:tc>
        <w:tc>
          <w:tcPr>
            <w:tcW w:w="212" w:type="dxa"/>
            <w:tcBorders/>
            <w:shd w:fill="CCEEFF" w:val="clear"/>
            <w:vAlign w:val="bottom"/>
          </w:tcPr>
          <w:p>
            <w:pPr>
              <w:pStyle w:val="TableContents"/>
              <w:spacing w:before="0" w:after="0"/>
              <w:ind w:left="0" w:right="0" w:hanging="0"/>
              <w:rPr/>
            </w:pPr>
            <w:r>
              <w:rPr/>
              <w:t> </w:t>
            </w:r>
          </w:p>
        </w:tc>
        <w:tc>
          <w:tcPr>
            <w:tcW w:w="143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26" w:type="dxa"/>
            <w:tcBorders/>
            <w:shd w:fill="CCEEFF" w:val="clear"/>
            <w:vAlign w:val="bottom"/>
          </w:tcPr>
          <w:p>
            <w:pPr>
              <w:pStyle w:val="TableContents"/>
              <w:spacing w:before="0" w:after="0"/>
              <w:ind w:left="0" w:right="0" w:hanging="0"/>
              <w:rPr/>
            </w:pPr>
            <w:r>
              <w:rPr/>
              <w:t> </w:t>
            </w:r>
          </w:p>
        </w:tc>
        <w:tc>
          <w:tcPr>
            <w:tcW w:w="2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5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36.40</w:t>
            </w:r>
          </w:p>
        </w:tc>
        <w:tc>
          <w:tcPr>
            <w:tcW w:w="131" w:type="dxa"/>
            <w:tcBorders/>
            <w:shd w:fill="CCEEFF" w:val="clear"/>
            <w:vAlign w:val="bottom"/>
          </w:tcPr>
          <w:p>
            <w:pPr>
              <w:pStyle w:val="TableContents"/>
              <w:spacing w:before="0" w:after="0"/>
              <w:ind w:left="0" w:right="0" w:hanging="0"/>
              <w:rPr/>
            </w:pPr>
            <w:r>
              <w:rPr/>
              <w:t> </w:t>
            </w:r>
          </w:p>
        </w:tc>
      </w:tr>
      <w:tr>
        <w:trPr/>
        <w:tc>
          <w:tcPr>
            <w:tcW w:w="6306" w:type="dxa"/>
            <w:tcBorders/>
            <w:shd w:fill="auto" w:val="clear"/>
            <w:vAlign w:val="bottom"/>
          </w:tcPr>
          <w:p>
            <w:pPr>
              <w:pStyle w:val="TableContents"/>
              <w:spacing w:before="0" w:after="0"/>
              <w:ind w:left="0" w:right="0" w:hanging="0"/>
              <w:rPr/>
            </w:pPr>
            <w:r>
              <w:rPr>
                <w:rFonts w:ascii="Times New Roman" w:hAnsi="Times New Roman"/>
                <w:sz w:val="17"/>
              </w:rPr>
              <w:t xml:space="preserve">Granted </w:t>
            </w:r>
            <w:r>
              <w:rPr>
                <w:sz w:val="11"/>
              </w:rPr>
              <w:t>(1)</w:t>
            </w:r>
          </w:p>
        </w:tc>
        <w:tc>
          <w:tcPr>
            <w:tcW w:w="212" w:type="dxa"/>
            <w:tcBorders/>
            <w:shd w:fill="auto" w:val="clear"/>
            <w:vAlign w:val="bottom"/>
          </w:tcPr>
          <w:p>
            <w:pPr>
              <w:pStyle w:val="TableContents"/>
              <w:spacing w:before="0" w:after="0"/>
              <w:ind w:left="0" w:right="0" w:hanging="0"/>
              <w:rPr/>
            </w:pPr>
            <w:r>
              <w:rPr/>
              <w:t> </w:t>
            </w:r>
          </w:p>
        </w:tc>
        <w:tc>
          <w:tcPr>
            <w:tcW w:w="143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26" w:type="dxa"/>
            <w:tcBorders/>
            <w:shd w:fill="auto" w:val="clear"/>
            <w:vAlign w:val="bottom"/>
          </w:tcPr>
          <w:p>
            <w:pPr>
              <w:pStyle w:val="TableContents"/>
              <w:spacing w:before="0" w:after="0"/>
              <w:ind w:left="0" w:right="0" w:hanging="0"/>
              <w:rPr/>
            </w:pPr>
            <w:r>
              <w:rPr/>
              <w:t> </w:t>
            </w:r>
          </w:p>
        </w:tc>
        <w:tc>
          <w:tcPr>
            <w:tcW w:w="2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42.53</w:t>
            </w:r>
          </w:p>
        </w:tc>
        <w:tc>
          <w:tcPr>
            <w:tcW w:w="131" w:type="dxa"/>
            <w:tcBorders/>
            <w:shd w:fill="auto" w:val="clear"/>
            <w:vAlign w:val="bottom"/>
          </w:tcPr>
          <w:p>
            <w:pPr>
              <w:pStyle w:val="TableContents"/>
              <w:spacing w:before="0" w:after="0"/>
              <w:ind w:left="0" w:right="0" w:hanging="0"/>
              <w:rPr/>
            </w:pPr>
            <w:r>
              <w:rPr/>
              <w:t> </w:t>
            </w:r>
          </w:p>
        </w:tc>
      </w:tr>
      <w:tr>
        <w:trPr/>
        <w:tc>
          <w:tcPr>
            <w:tcW w:w="63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Vested</w:t>
            </w:r>
          </w:p>
        </w:tc>
        <w:tc>
          <w:tcPr>
            <w:tcW w:w="212" w:type="dxa"/>
            <w:tcBorders/>
            <w:shd w:fill="CCEEFF" w:val="clear"/>
            <w:vAlign w:val="bottom"/>
          </w:tcPr>
          <w:p>
            <w:pPr>
              <w:pStyle w:val="TableContents"/>
              <w:spacing w:before="0" w:after="0"/>
              <w:ind w:left="0" w:right="0" w:hanging="0"/>
              <w:rPr/>
            </w:pPr>
            <w:r>
              <w:rPr/>
              <w:t> </w:t>
            </w:r>
          </w:p>
        </w:tc>
        <w:tc>
          <w:tcPr>
            <w:tcW w:w="143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6" w:type="dxa"/>
            <w:tcBorders/>
            <w:shd w:fill="CCEEFF" w:val="clear"/>
            <w:vAlign w:val="bottom"/>
          </w:tcPr>
          <w:p>
            <w:pPr>
              <w:pStyle w:val="TableContents"/>
              <w:spacing w:before="0" w:after="0"/>
              <w:ind w:left="0" w:right="0" w:hanging="0"/>
              <w:rPr/>
            </w:pPr>
            <w:r>
              <w:rPr/>
              <w:t> </w:t>
            </w:r>
          </w:p>
        </w:tc>
        <w:tc>
          <w:tcPr>
            <w:tcW w:w="2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1" w:type="dxa"/>
            <w:tcBorders/>
            <w:shd w:fill="CCEEFF" w:val="clear"/>
            <w:vAlign w:val="bottom"/>
          </w:tcPr>
          <w:p>
            <w:pPr>
              <w:pStyle w:val="TableContents"/>
              <w:spacing w:before="0" w:after="0"/>
              <w:ind w:left="0" w:right="0" w:hanging="0"/>
              <w:rPr/>
            </w:pPr>
            <w:r>
              <w:rPr/>
              <w:t> </w:t>
            </w:r>
          </w:p>
        </w:tc>
      </w:tr>
      <w:tr>
        <w:trPr/>
        <w:tc>
          <w:tcPr>
            <w:tcW w:w="63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Cancelled or forfeited</w:t>
            </w:r>
          </w:p>
        </w:tc>
        <w:tc>
          <w:tcPr>
            <w:tcW w:w="212" w:type="dxa"/>
            <w:tcBorders/>
            <w:shd w:fill="auto" w:val="clear"/>
            <w:vAlign w:val="bottom"/>
          </w:tcPr>
          <w:p>
            <w:pPr>
              <w:pStyle w:val="TableContents"/>
              <w:spacing w:before="0" w:after="0"/>
              <w:ind w:left="0" w:right="0" w:hanging="0"/>
              <w:rPr/>
            </w:pPr>
            <w:r>
              <w:rPr/>
              <w:t> </w:t>
            </w:r>
          </w:p>
        </w:tc>
        <w:tc>
          <w:tcPr>
            <w:tcW w:w="143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31.54</w:t>
            </w:r>
          </w:p>
        </w:tc>
        <w:tc>
          <w:tcPr>
            <w:tcW w:w="131" w:type="dxa"/>
            <w:tcBorders/>
            <w:shd w:fill="auto" w:val="clear"/>
            <w:vAlign w:val="bottom"/>
          </w:tcPr>
          <w:p>
            <w:pPr>
              <w:pStyle w:val="TableContents"/>
              <w:spacing w:before="0" w:after="0"/>
              <w:ind w:left="0" w:right="0" w:hanging="0"/>
              <w:rPr/>
            </w:pPr>
            <w:r>
              <w:rPr/>
              <w:t> </w:t>
            </w:r>
          </w:p>
        </w:tc>
      </w:tr>
      <w:tr>
        <w:trPr/>
        <w:tc>
          <w:tcPr>
            <w:tcW w:w="63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Outstanding, March 31, 2010</w:t>
            </w:r>
          </w:p>
        </w:tc>
        <w:tc>
          <w:tcPr>
            <w:tcW w:w="212" w:type="dxa"/>
            <w:tcBorders/>
            <w:shd w:fill="CCEEFF" w:val="clear"/>
            <w:vAlign w:val="bottom"/>
          </w:tcPr>
          <w:p>
            <w:pPr>
              <w:pStyle w:val="TableContents"/>
              <w:spacing w:before="0" w:after="0"/>
              <w:ind w:left="0" w:right="0" w:hanging="0"/>
              <w:rPr/>
            </w:pPr>
            <w:r>
              <w:rPr/>
              <w:t> </w:t>
            </w:r>
          </w:p>
        </w:tc>
        <w:tc>
          <w:tcPr>
            <w:tcW w:w="143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26" w:type="dxa"/>
            <w:tcBorders/>
            <w:shd w:fill="CCEEFF" w:val="clear"/>
            <w:vAlign w:val="bottom"/>
          </w:tcPr>
          <w:p>
            <w:pPr>
              <w:pStyle w:val="TableContents"/>
              <w:spacing w:before="0" w:after="0"/>
              <w:ind w:left="0" w:right="0" w:hanging="0"/>
              <w:rPr/>
            </w:pPr>
            <w:r>
              <w:rPr/>
              <w:t> </w:t>
            </w:r>
          </w:p>
        </w:tc>
        <w:tc>
          <w:tcPr>
            <w:tcW w:w="2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38.18</w:t>
            </w:r>
          </w:p>
        </w:tc>
        <w:tc>
          <w:tcPr>
            <w:tcW w:w="13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approximately 1 million equity classified awards.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accrued liability at March 31, 2010 related to all outstanding liability classified LTIP awards and DERs is approximately $104 million, which includes an accrual associated with our assessment that an annualized distribution of $3.90 is probable of occurring. We have not deemed a distribution of more than $3.90 to be probable. At December 31, 2009, the accrued liability was approximately $87 million.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Class B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For further discussion of the Class B units, see Note 10 to our Consolidated Financial Statements included in Part IV of our 2009 Annual Report on Form 10-K. The following table contains a summary of Class B unit awards that were (i) reserved for future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31" w:name="PB_13_155505_5335"/>
      <w:bookmarkEnd w:id="3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grants (ii) outstanding and (iii) earned as of and for the three months ended March 31, 2010 and as of December 31, 2009:</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528"/>
        <w:gridCol w:w="173"/>
        <w:gridCol w:w="1595"/>
        <w:gridCol w:w="190"/>
        <w:gridCol w:w="1517"/>
        <w:gridCol w:w="173"/>
        <w:gridCol w:w="1816"/>
        <w:gridCol w:w="112"/>
        <w:gridCol w:w="112"/>
        <w:gridCol w:w="444"/>
        <w:gridCol w:w="1426"/>
        <w:gridCol w:w="119"/>
      </w:tblGrid>
      <w:tr>
        <w:trPr/>
        <w:tc>
          <w:tcPr>
            <w:tcW w:w="2528"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159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Reserved for</w:t>
              <w:br/>
              <w:t>Future Grants</w:t>
            </w:r>
          </w:p>
        </w:tc>
        <w:tc>
          <w:tcPr>
            <w:tcW w:w="190" w:type="dxa"/>
            <w:tcBorders/>
            <w:shd w:fill="auto" w:val="clear"/>
            <w:vAlign w:val="bottom"/>
          </w:tcPr>
          <w:p>
            <w:pPr>
              <w:pStyle w:val="TableContents"/>
              <w:spacing w:before="0" w:after="0"/>
              <w:ind w:left="0" w:right="0" w:hanging="0"/>
              <w:jc w:val="center"/>
              <w:rPr/>
            </w:pPr>
            <w:r>
              <w:rPr/>
              <w:t> </w:t>
            </w:r>
          </w:p>
        </w:tc>
        <w:tc>
          <w:tcPr>
            <w:tcW w:w="151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Outstanding</w:t>
            </w:r>
          </w:p>
        </w:tc>
        <w:tc>
          <w:tcPr>
            <w:tcW w:w="173" w:type="dxa"/>
            <w:tcBorders/>
            <w:shd w:fill="auto" w:val="clear"/>
            <w:vAlign w:val="bottom"/>
          </w:tcPr>
          <w:p>
            <w:pPr>
              <w:pStyle w:val="TableContents"/>
              <w:spacing w:before="0" w:after="0"/>
              <w:ind w:left="0" w:right="0" w:hanging="0"/>
              <w:jc w:val="center"/>
              <w:rPr/>
            </w:pPr>
            <w:r>
              <w:rPr/>
              <w:t> </w:t>
            </w:r>
          </w:p>
        </w:tc>
        <w:tc>
          <w:tcPr>
            <w:tcW w:w="181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Outstanding Units</w:t>
              <w:br/>
              <w:t>Earned</w:t>
            </w:r>
          </w:p>
        </w:tc>
        <w:tc>
          <w:tcPr>
            <w:tcW w:w="112"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jc w:val="center"/>
              <w:rPr/>
            </w:pPr>
            <w:r>
              <w:rPr/>
              <w:t> </w:t>
            </w:r>
          </w:p>
        </w:tc>
        <w:tc>
          <w:tcPr>
            <w:tcW w:w="18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Grant Date</w:t>
            </w:r>
            <w:r>
              <w:rPr>
                <w:b/>
                <w:sz w:val="13"/>
              </w:rPr>
              <w:br/>
              <w:t>Fair Value Of</w:t>
              <w:br/>
              <w:t>Outstanding Class B</w:t>
              <w:br/>
              <w:t>Units </w:t>
            </w:r>
            <w:r>
              <w:rPr>
                <w:b/>
                <w:sz w:val="8"/>
              </w:rPr>
              <w:t>(1)</w:t>
            </w:r>
          </w:p>
        </w:tc>
        <w:tc>
          <w:tcPr>
            <w:tcW w:w="119" w:type="dxa"/>
            <w:tcBorders/>
            <w:shd w:fill="auto" w:val="clear"/>
            <w:vAlign w:val="bottom"/>
          </w:tcPr>
          <w:p>
            <w:pPr>
              <w:pStyle w:val="TableContents"/>
              <w:spacing w:before="0" w:after="0"/>
              <w:ind w:left="0" w:right="0" w:hanging="0"/>
              <w:jc w:val="center"/>
              <w:rPr/>
            </w:pPr>
            <w:r>
              <w:rPr/>
              <w:t> </w:t>
            </w:r>
          </w:p>
        </w:tc>
      </w:tr>
      <w:tr>
        <w:trPr/>
        <w:tc>
          <w:tcPr>
            <w:tcW w:w="2528"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1595" w:type="dxa"/>
            <w:tcBorders/>
            <w:shd w:fill="auto" w:val="clear"/>
            <w:vAlign w:val="bottom"/>
          </w:tcPr>
          <w:p>
            <w:pPr>
              <w:pStyle w:val="TableContents"/>
              <w:spacing w:before="0" w:after="0"/>
              <w:ind w:left="0" w:right="0" w:hanging="0"/>
              <w:jc w:val="center"/>
              <w:rPr/>
            </w:pPr>
            <w:r>
              <w:rPr/>
              <w:t> </w:t>
            </w:r>
          </w:p>
        </w:tc>
        <w:tc>
          <w:tcPr>
            <w:tcW w:w="190" w:type="dxa"/>
            <w:tcBorders/>
            <w:shd w:fill="auto" w:val="clear"/>
            <w:vAlign w:val="bottom"/>
          </w:tcPr>
          <w:p>
            <w:pPr>
              <w:pStyle w:val="TableContents"/>
              <w:spacing w:before="0" w:after="0"/>
              <w:ind w:left="0" w:right="0" w:hanging="0"/>
              <w:jc w:val="center"/>
              <w:rPr/>
            </w:pPr>
            <w:r>
              <w:rPr/>
              <w:t> </w:t>
            </w:r>
          </w:p>
        </w:tc>
        <w:tc>
          <w:tcPr>
            <w:tcW w:w="1517" w:type="dxa"/>
            <w:tcBorders/>
            <w:shd w:fill="auto" w:val="clear"/>
            <w:vAlign w:val="bottom"/>
          </w:tcPr>
          <w:p>
            <w:pPr>
              <w:pStyle w:val="TableContents"/>
              <w:spacing w:before="0" w:after="0"/>
              <w:ind w:left="0" w:right="0" w:hanging="0"/>
              <w:jc w:val="center"/>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1816" w:type="dxa"/>
            <w:tcBorders/>
            <w:shd w:fill="auto" w:val="clear"/>
            <w:vAlign w:val="bottom"/>
          </w:tcPr>
          <w:p>
            <w:pPr>
              <w:pStyle w:val="TableContents"/>
              <w:spacing w:before="0" w:after="0"/>
              <w:ind w:left="0" w:right="0" w:hanging="0"/>
              <w:jc w:val="center"/>
              <w:rPr/>
            </w:pPr>
            <w:r>
              <w:rPr/>
              <w:t> </w:t>
            </w:r>
          </w:p>
        </w:tc>
        <w:tc>
          <w:tcPr>
            <w:tcW w:w="112" w:type="dxa"/>
            <w:tcBorders>
              <w:right w:val="single" w:sz="8" w:space="0" w:color="000000"/>
            </w:tcBorders>
            <w:shd w:fill="auto" w:val="clear"/>
            <w:tcMar>
              <w:right w:w="28" w:type="dxa"/>
            </w:tcM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jc w:val="center"/>
              <w:rPr/>
            </w:pPr>
            <w:r>
              <w:rPr/>
              <w:t> </w:t>
            </w:r>
          </w:p>
        </w:tc>
        <w:tc>
          <w:tcPr>
            <w:tcW w:w="187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19" w:type="dxa"/>
            <w:tcBorders/>
            <w:shd w:fill="auto" w:val="clear"/>
            <w:vAlign w:val="bottom"/>
          </w:tcPr>
          <w:p>
            <w:pPr>
              <w:pStyle w:val="TableContents"/>
              <w:spacing w:before="0" w:after="0"/>
              <w:ind w:left="0" w:right="0" w:hanging="0"/>
              <w:jc w:val="center"/>
              <w:rPr/>
            </w:pPr>
            <w:r>
              <w:rPr/>
              <w:t> </w:t>
            </w:r>
          </w:p>
        </w:tc>
      </w:tr>
      <w:tr>
        <w:trPr/>
        <w:tc>
          <w:tcPr>
            <w:tcW w:w="25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December 31, 2009</w:t>
            </w:r>
          </w:p>
        </w:tc>
        <w:tc>
          <w:tcPr>
            <w:tcW w:w="173" w:type="dxa"/>
            <w:tcBorders/>
            <w:shd w:fill="CCEEFF" w:val="clear"/>
            <w:vAlign w:val="bottom"/>
          </w:tcPr>
          <w:p>
            <w:pPr>
              <w:pStyle w:val="TableContents"/>
              <w:spacing w:before="0" w:after="0"/>
              <w:ind w:left="0" w:right="0" w:hanging="0"/>
              <w:rPr/>
            </w:pPr>
            <w:r>
              <w:rPr/>
              <w:t> </w:t>
            </w:r>
          </w:p>
        </w:tc>
        <w:tc>
          <w:tcPr>
            <w:tcW w:w="159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34,500</w:t>
            </w:r>
          </w:p>
        </w:tc>
        <w:tc>
          <w:tcPr>
            <w:tcW w:w="190" w:type="dxa"/>
            <w:tcBorders/>
            <w:shd w:fill="CCEEFF" w:val="clear"/>
            <w:vAlign w:val="bottom"/>
          </w:tcPr>
          <w:p>
            <w:pPr>
              <w:pStyle w:val="TableContents"/>
              <w:spacing w:before="0" w:after="0"/>
              <w:ind w:left="0" w:right="0" w:hanging="0"/>
              <w:rPr/>
            </w:pPr>
            <w:r>
              <w:rPr/>
              <w:t> </w:t>
            </w:r>
          </w:p>
        </w:tc>
        <w:tc>
          <w:tcPr>
            <w:tcW w:w="15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165,500</w:t>
            </w:r>
          </w:p>
        </w:tc>
        <w:tc>
          <w:tcPr>
            <w:tcW w:w="173" w:type="dxa"/>
            <w:tcBorders/>
            <w:shd w:fill="CCEEFF" w:val="clear"/>
            <w:vAlign w:val="bottom"/>
          </w:tcPr>
          <w:p>
            <w:pPr>
              <w:pStyle w:val="TableContents"/>
              <w:spacing w:before="0" w:after="0"/>
              <w:ind w:left="0" w:right="0" w:hanging="0"/>
              <w:rPr/>
            </w:pPr>
            <w:r>
              <w:rPr/>
              <w:t> </w:t>
            </w:r>
          </w:p>
        </w:tc>
        <w:tc>
          <w:tcPr>
            <w:tcW w:w="18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38,500</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4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19" w:type="dxa"/>
            <w:tcBorders/>
            <w:shd w:fill="CCEEFF" w:val="clear"/>
            <w:vAlign w:val="bottom"/>
          </w:tcPr>
          <w:p>
            <w:pPr>
              <w:pStyle w:val="TableContents"/>
              <w:spacing w:before="0" w:after="0"/>
              <w:ind w:left="0" w:right="0" w:hanging="0"/>
              <w:rPr/>
            </w:pPr>
            <w:r>
              <w:rPr/>
              <w:t> </w:t>
            </w:r>
          </w:p>
        </w:tc>
      </w:tr>
      <w:tr>
        <w:trPr/>
        <w:tc>
          <w:tcPr>
            <w:tcW w:w="25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Class B unit issuance</w:t>
            </w:r>
          </w:p>
        </w:tc>
        <w:tc>
          <w:tcPr>
            <w:tcW w:w="173" w:type="dxa"/>
            <w:tcBorders/>
            <w:shd w:fill="auto" w:val="clear"/>
            <w:vAlign w:val="bottom"/>
          </w:tcPr>
          <w:p>
            <w:pPr>
              <w:pStyle w:val="TableContents"/>
              <w:spacing w:before="0" w:after="0"/>
              <w:ind w:left="0" w:right="0" w:hanging="0"/>
              <w:rPr/>
            </w:pPr>
            <w:r>
              <w:rPr/>
              <w:t> </w:t>
            </w:r>
          </w:p>
        </w:tc>
        <w:tc>
          <w:tcPr>
            <w:tcW w:w="159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(3,000</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3,000</w:t>
            </w:r>
          </w:p>
        </w:tc>
        <w:tc>
          <w:tcPr>
            <w:tcW w:w="173" w:type="dxa"/>
            <w:tcBorders/>
            <w:shd w:fill="auto" w:val="clear"/>
            <w:vAlign w:val="bottom"/>
          </w:tcPr>
          <w:p>
            <w:pPr>
              <w:pStyle w:val="TableContents"/>
              <w:spacing w:before="0" w:after="0"/>
              <w:ind w:left="0" w:right="0" w:hanging="0"/>
              <w:rPr/>
            </w:pPr>
            <w:r>
              <w:rPr/>
              <w:t> </w:t>
            </w:r>
          </w:p>
        </w:tc>
        <w:tc>
          <w:tcPr>
            <w:tcW w:w="18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18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auto" w:val="clear"/>
            <w:vAlign w:val="bottom"/>
          </w:tcPr>
          <w:p>
            <w:pPr>
              <w:pStyle w:val="TableContents"/>
              <w:spacing w:before="0" w:after="0"/>
              <w:ind w:left="0" w:right="0" w:hanging="0"/>
              <w:rPr/>
            </w:pPr>
            <w:r>
              <w:rPr/>
              <w:t> </w:t>
            </w:r>
          </w:p>
        </w:tc>
      </w:tr>
      <w:tr>
        <w:trPr/>
        <w:tc>
          <w:tcPr>
            <w:tcW w:w="25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Class B units earned</w:t>
            </w:r>
          </w:p>
        </w:tc>
        <w:tc>
          <w:tcPr>
            <w:tcW w:w="173" w:type="dxa"/>
            <w:tcBorders/>
            <w:shd w:fill="CCEEFF" w:val="clear"/>
            <w:vAlign w:val="bottom"/>
          </w:tcPr>
          <w:p>
            <w:pPr>
              <w:pStyle w:val="TableContents"/>
              <w:spacing w:before="0" w:after="0"/>
              <w:ind w:left="0" w:right="0" w:hanging="0"/>
              <w:rPr/>
            </w:pPr>
            <w:r>
              <w:rPr/>
              <w:t> </w:t>
            </w:r>
          </w:p>
        </w:tc>
        <w:tc>
          <w:tcPr>
            <w:tcW w:w="159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51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CCEEFF" w:val="clear"/>
            <w:vAlign w:val="bottom"/>
          </w:tcPr>
          <w:p>
            <w:pPr>
              <w:pStyle w:val="TableContents"/>
              <w:spacing w:before="0" w:after="0"/>
              <w:ind w:left="0" w:right="0" w:hanging="0"/>
              <w:rPr/>
            </w:pPr>
            <w:r>
              <w:rPr/>
              <w:t> </w:t>
            </w:r>
          </w:p>
        </w:tc>
        <w:tc>
          <w:tcPr>
            <w:tcW w:w="181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18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CCEEFF" w:val="clear"/>
            <w:vAlign w:val="bottom"/>
          </w:tcPr>
          <w:p>
            <w:pPr>
              <w:pStyle w:val="TableContents"/>
              <w:spacing w:before="0" w:after="0"/>
              <w:ind w:left="0" w:right="0" w:hanging="0"/>
              <w:rPr/>
            </w:pPr>
            <w:r>
              <w:rPr/>
              <w:t> </w:t>
            </w:r>
          </w:p>
        </w:tc>
      </w:tr>
      <w:tr>
        <w:trPr/>
        <w:tc>
          <w:tcPr>
            <w:tcW w:w="25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March 31, 2010</w:t>
            </w:r>
          </w:p>
        </w:tc>
        <w:tc>
          <w:tcPr>
            <w:tcW w:w="173" w:type="dxa"/>
            <w:tcBorders/>
            <w:shd w:fill="auto" w:val="clear"/>
            <w:vAlign w:val="bottom"/>
          </w:tcPr>
          <w:p>
            <w:pPr>
              <w:pStyle w:val="TableContents"/>
              <w:spacing w:before="0" w:after="0"/>
              <w:ind w:left="0" w:right="0" w:hanging="0"/>
              <w:rPr/>
            </w:pPr>
            <w:r>
              <w:rPr/>
              <w:t> </w:t>
            </w:r>
          </w:p>
        </w:tc>
        <w:tc>
          <w:tcPr>
            <w:tcW w:w="159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31,500</w:t>
            </w:r>
          </w:p>
        </w:tc>
        <w:tc>
          <w:tcPr>
            <w:tcW w:w="190" w:type="dxa"/>
            <w:tcBorders/>
            <w:shd w:fill="auto" w:val="clear"/>
            <w:vAlign w:val="bottom"/>
          </w:tcPr>
          <w:p>
            <w:pPr>
              <w:pStyle w:val="TableContents"/>
              <w:spacing w:before="0" w:after="0"/>
              <w:ind w:left="0" w:right="0" w:hanging="0"/>
              <w:rPr/>
            </w:pPr>
            <w:r>
              <w:rPr/>
              <w:t> </w:t>
            </w:r>
          </w:p>
        </w:tc>
        <w:tc>
          <w:tcPr>
            <w:tcW w:w="151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168,500</w:t>
            </w:r>
          </w:p>
        </w:tc>
        <w:tc>
          <w:tcPr>
            <w:tcW w:w="173" w:type="dxa"/>
            <w:tcBorders/>
            <w:shd w:fill="auto" w:val="clear"/>
            <w:vAlign w:val="bottom"/>
          </w:tcPr>
          <w:p>
            <w:pPr>
              <w:pStyle w:val="TableContents"/>
              <w:spacing w:before="0" w:after="0"/>
              <w:ind w:left="0" w:right="0" w:hanging="0"/>
              <w:rPr/>
            </w:pPr>
            <w:r>
              <w:rPr/>
              <w:t> </w:t>
            </w:r>
          </w:p>
        </w:tc>
        <w:tc>
          <w:tcPr>
            <w:tcW w:w="18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38,500</w:t>
            </w:r>
          </w:p>
        </w:tc>
        <w:tc>
          <w:tcPr>
            <w:tcW w:w="11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44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1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Of the grant date fair value, approximately $1 million was recognized as expense during the three months ended March 31, 2010.</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Other Consolidated Equity Compensation Information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refer to our LTIP Plans and the Class B units collectively as Equity compensation plans. The table below summarizes the expense recognized and the value of vesting (settled both in units and cash) related to our equity compensation plans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464"/>
        <w:gridCol w:w="210"/>
        <w:gridCol w:w="218"/>
        <w:gridCol w:w="1252"/>
        <w:gridCol w:w="210"/>
        <w:gridCol w:w="218"/>
        <w:gridCol w:w="1197"/>
        <w:gridCol w:w="210"/>
        <w:gridCol w:w="217"/>
        <w:gridCol w:w="1252"/>
        <w:gridCol w:w="210"/>
        <w:gridCol w:w="218"/>
        <w:gridCol w:w="1197"/>
        <w:gridCol w:w="132"/>
      </w:tblGrid>
      <w:tr>
        <w:trPr/>
        <w:tc>
          <w:tcPr>
            <w:tcW w:w="3464"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309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0" w:type="dxa"/>
            <w:tcBorders/>
            <w:shd w:fill="auto" w:val="clear"/>
            <w:vAlign w:val="bottom"/>
          </w:tcPr>
          <w:p>
            <w:pPr>
              <w:pStyle w:val="TableContents"/>
              <w:spacing w:before="0" w:after="0"/>
              <w:ind w:left="0" w:right="0" w:hanging="0"/>
              <w:jc w:val="center"/>
              <w:rPr/>
            </w:pPr>
            <w:r>
              <w:rPr/>
              <w:t> </w:t>
            </w:r>
          </w:p>
        </w:tc>
        <w:tc>
          <w:tcPr>
            <w:tcW w:w="309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32" w:type="dxa"/>
            <w:tcBorders/>
            <w:shd w:fill="auto" w:val="clear"/>
            <w:vAlign w:val="bottom"/>
          </w:tcPr>
          <w:p>
            <w:pPr>
              <w:pStyle w:val="TableContents"/>
              <w:spacing w:before="0" w:after="0"/>
              <w:ind w:left="0" w:right="0" w:hanging="0"/>
              <w:jc w:val="center"/>
              <w:rPr/>
            </w:pPr>
            <w:r>
              <w:rPr/>
              <w:t> </w:t>
            </w:r>
          </w:p>
        </w:tc>
      </w:tr>
      <w:tr>
        <w:trPr/>
        <w:tc>
          <w:tcPr>
            <w:tcW w:w="3464"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309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210" w:type="dxa"/>
            <w:tcBorders/>
            <w:shd w:fill="auto" w:val="clear"/>
            <w:vAlign w:val="bottom"/>
          </w:tcPr>
          <w:p>
            <w:pPr>
              <w:pStyle w:val="TableContents"/>
              <w:spacing w:before="0" w:after="0"/>
              <w:ind w:left="0" w:right="0" w:hanging="0"/>
              <w:jc w:val="center"/>
              <w:rPr/>
            </w:pPr>
            <w:r>
              <w:rPr/>
              <w:t> </w:t>
            </w:r>
          </w:p>
        </w:tc>
        <w:tc>
          <w:tcPr>
            <w:tcW w:w="309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32" w:type="dxa"/>
            <w:tcBorders/>
            <w:shd w:fill="auto" w:val="clear"/>
            <w:vAlign w:val="bottom"/>
          </w:tcPr>
          <w:p>
            <w:pPr>
              <w:pStyle w:val="TableContents"/>
              <w:spacing w:before="0" w:after="0"/>
              <w:ind w:left="0" w:right="0" w:hanging="0"/>
              <w:jc w:val="center"/>
              <w:rPr/>
            </w:pPr>
            <w:r>
              <w:rPr/>
              <w:t> </w:t>
            </w:r>
          </w:p>
        </w:tc>
      </w:tr>
      <w:tr>
        <w:trPr/>
        <w:tc>
          <w:tcPr>
            <w:tcW w:w="3464"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309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0" w:type="dxa"/>
            <w:tcBorders/>
            <w:shd w:fill="auto" w:val="clear"/>
            <w:vAlign w:val="bottom"/>
          </w:tcPr>
          <w:p>
            <w:pPr>
              <w:pStyle w:val="TableContents"/>
              <w:spacing w:before="0" w:after="0"/>
              <w:ind w:left="0" w:right="0" w:hanging="0"/>
              <w:jc w:val="center"/>
              <w:rPr/>
            </w:pPr>
            <w:r>
              <w:rPr/>
              <w:t> </w:t>
            </w:r>
          </w:p>
        </w:tc>
        <w:tc>
          <w:tcPr>
            <w:tcW w:w="309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32" w:type="dxa"/>
            <w:tcBorders/>
            <w:shd w:fill="auto" w:val="clear"/>
            <w:vAlign w:val="bottom"/>
          </w:tcPr>
          <w:p>
            <w:pPr>
              <w:pStyle w:val="TableContents"/>
              <w:spacing w:before="0" w:after="0"/>
              <w:ind w:left="0" w:right="0" w:hanging="0"/>
              <w:jc w:val="center"/>
              <w:rPr/>
            </w:pPr>
            <w:r>
              <w:rPr/>
              <w:t> </w:t>
            </w:r>
          </w:p>
        </w:tc>
      </w:tr>
      <w:tr>
        <w:trPr/>
        <w:tc>
          <w:tcPr>
            <w:tcW w:w="3464"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4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Awards</w:t>
            </w:r>
          </w:p>
        </w:tc>
        <w:tc>
          <w:tcPr>
            <w:tcW w:w="210" w:type="dxa"/>
            <w:tcBorders/>
            <w:shd w:fill="auto" w:val="clear"/>
            <w:vAlign w:val="bottom"/>
          </w:tcPr>
          <w:p>
            <w:pPr>
              <w:pStyle w:val="TableContents"/>
              <w:spacing w:before="0" w:after="0"/>
              <w:ind w:left="0" w:right="0" w:hanging="0"/>
              <w:jc w:val="center"/>
              <w:rPr/>
            </w:pPr>
            <w:r>
              <w:rPr/>
              <w:t> </w:t>
            </w:r>
          </w:p>
        </w:tc>
        <w:tc>
          <w:tcPr>
            <w:tcW w:w="141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Equity Awards</w:t>
            </w:r>
          </w:p>
        </w:tc>
        <w:tc>
          <w:tcPr>
            <w:tcW w:w="210" w:type="dxa"/>
            <w:tcBorders/>
            <w:shd w:fill="auto" w:val="clear"/>
            <w:vAlign w:val="bottom"/>
          </w:tcPr>
          <w:p>
            <w:pPr>
              <w:pStyle w:val="TableContents"/>
              <w:spacing w:before="0" w:after="0"/>
              <w:ind w:left="0" w:right="0" w:hanging="0"/>
              <w:jc w:val="center"/>
              <w:rPr/>
            </w:pPr>
            <w:r>
              <w:rPr/>
              <w:t> </w:t>
            </w:r>
          </w:p>
        </w:tc>
        <w:tc>
          <w:tcPr>
            <w:tcW w:w="14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Awards</w:t>
            </w:r>
          </w:p>
        </w:tc>
        <w:tc>
          <w:tcPr>
            <w:tcW w:w="210" w:type="dxa"/>
            <w:tcBorders/>
            <w:shd w:fill="auto" w:val="clear"/>
            <w:vAlign w:val="bottom"/>
          </w:tcPr>
          <w:p>
            <w:pPr>
              <w:pStyle w:val="TableContents"/>
              <w:spacing w:before="0" w:after="0"/>
              <w:ind w:left="0" w:right="0" w:hanging="0"/>
              <w:jc w:val="center"/>
              <w:rPr/>
            </w:pPr>
            <w:r>
              <w:rPr/>
              <w:t> </w:t>
            </w:r>
          </w:p>
        </w:tc>
        <w:tc>
          <w:tcPr>
            <w:tcW w:w="141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Equity Awards</w:t>
            </w:r>
          </w:p>
        </w:tc>
        <w:tc>
          <w:tcPr>
            <w:tcW w:w="132" w:type="dxa"/>
            <w:tcBorders/>
            <w:shd w:fill="auto" w:val="clear"/>
            <w:vAlign w:val="bottom"/>
          </w:tcPr>
          <w:p>
            <w:pPr>
              <w:pStyle w:val="TableContents"/>
              <w:spacing w:before="0" w:after="0"/>
              <w:ind w:left="0" w:right="0" w:hanging="0"/>
              <w:jc w:val="center"/>
              <w:rPr/>
            </w:pPr>
            <w:r>
              <w:rPr/>
              <w:t> </w:t>
            </w:r>
          </w:p>
        </w:tc>
      </w:tr>
      <w:tr>
        <w:trPr/>
        <w:tc>
          <w:tcPr>
            <w:tcW w:w="34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10" w:type="dxa"/>
            <w:tcBorders/>
            <w:shd w:fill="CCEEFF" w:val="cle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0" w:type="dxa"/>
            <w:tcBorders/>
            <w:shd w:fill="CCEEFF" w:val="cle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0" w:type="dxa"/>
            <w:tcBorders/>
            <w:shd w:fill="CCEEFF" w:val="clear"/>
            <w:vAlign w:val="bottom"/>
          </w:tcPr>
          <w:p>
            <w:pPr>
              <w:pStyle w:val="TableContents"/>
              <w:spacing w:before="0" w:after="0"/>
              <w:ind w:left="0" w:right="0" w:hanging="0"/>
              <w:rPr/>
            </w:pPr>
            <w:r>
              <w:rPr/>
              <w:t> </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0" w:type="dxa"/>
            <w:tcBorders/>
            <w:shd w:fill="CCEEFF" w:val="cle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2" w:type="dxa"/>
            <w:tcBorders/>
            <w:shd w:fill="CCEEFF" w:val="clear"/>
            <w:vAlign w:val="bottom"/>
          </w:tcPr>
          <w:p>
            <w:pPr>
              <w:pStyle w:val="TableContents"/>
              <w:spacing w:before="0" w:after="0"/>
              <w:ind w:left="0" w:right="0" w:hanging="0"/>
              <w:rPr/>
            </w:pPr>
            <w:r>
              <w:rPr/>
              <w:t> </w:t>
            </w:r>
          </w:p>
        </w:tc>
      </w:tr>
      <w:tr>
        <w:trPr/>
        <w:tc>
          <w:tcPr>
            <w:tcW w:w="34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LTIP unit vestings</w:t>
            </w:r>
          </w:p>
        </w:tc>
        <w:tc>
          <w:tcPr>
            <w:tcW w:w="210"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2" w:type="dxa"/>
            <w:tcBorders/>
            <w:shd w:fill="auto" w:val="clear"/>
            <w:vAlign w:val="bottom"/>
          </w:tcPr>
          <w:p>
            <w:pPr>
              <w:pStyle w:val="TableContents"/>
              <w:spacing w:before="0" w:after="0"/>
              <w:ind w:left="0" w:right="0" w:hanging="0"/>
              <w:rPr/>
            </w:pPr>
            <w:r>
              <w:rPr/>
              <w:t> </w:t>
            </w:r>
          </w:p>
        </w:tc>
      </w:tr>
      <w:tr>
        <w:trPr/>
        <w:tc>
          <w:tcPr>
            <w:tcW w:w="34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LTIP cash settled vestings</w:t>
            </w:r>
          </w:p>
        </w:tc>
        <w:tc>
          <w:tcPr>
            <w:tcW w:w="210" w:type="dxa"/>
            <w:tcBorders/>
            <w:shd w:fill="CCEEFF" w:val="cle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shd w:fill="CCEEFF" w:val="cle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shd w:fill="CCEEFF" w:val="clear"/>
            <w:vAlign w:val="bottom"/>
          </w:tcPr>
          <w:p>
            <w:pPr>
              <w:pStyle w:val="TableContents"/>
              <w:spacing w:before="0" w:after="0"/>
              <w:ind w:left="0" w:right="0" w:hanging="0"/>
              <w:rPr/>
            </w:pPr>
            <w:r>
              <w:rPr/>
              <w:t> </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shd w:fill="CCEEFF" w:val="cle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2" w:type="dxa"/>
            <w:tcBorders/>
            <w:shd w:fill="CCEEFF" w:val="clear"/>
            <w:vAlign w:val="bottom"/>
          </w:tcPr>
          <w:p>
            <w:pPr>
              <w:pStyle w:val="TableContents"/>
              <w:spacing w:before="0" w:after="0"/>
              <w:ind w:left="0" w:right="0" w:hanging="0"/>
              <w:rPr/>
            </w:pPr>
            <w:r>
              <w:rPr/>
              <w:t> </w:t>
            </w:r>
          </w:p>
        </w:tc>
      </w:tr>
      <w:tr>
        <w:trPr/>
        <w:tc>
          <w:tcPr>
            <w:tcW w:w="34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DER cash payments</w:t>
            </w:r>
          </w:p>
        </w:tc>
        <w:tc>
          <w:tcPr>
            <w:tcW w:w="210"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0"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0"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Based on the March 31, 2010 fair value measurement and probability assessment regarding future distributions, we expect to recognize approximately $68 million of additional expense over the life of our outstanding awards related to the remaining unrecognized fair value. For our liability classified awards, this estimate is based on the closing market price of our units of $56.90 at March 31, 2010. For our equity classified awards, this estimate is based on the closing price of our units as of the grant date. Actual amounts may differ materially as a result of a change in the market price of our units and/or probability assessment regarding future distributions. We estimate that the remaining fair value will be recognized in expense as shown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39"/>
        <w:gridCol w:w="227"/>
        <w:gridCol w:w="489"/>
        <w:gridCol w:w="2407"/>
        <w:gridCol w:w="143"/>
      </w:tblGrid>
      <w:tr>
        <w:trPr/>
        <w:tc>
          <w:tcPr>
            <w:tcW w:w="6939" w:type="dxa"/>
            <w:tcBorders/>
            <w:shd w:fill="auto" w:val="clear"/>
            <w:vAlign w:val="bottom"/>
          </w:tcPr>
          <w:p>
            <w:pPr>
              <w:pStyle w:val="TableContents"/>
              <w:spacing w:before="0" w:after="0"/>
              <w:ind w:left="0" w:right="0" w:hanging="0"/>
              <w:rPr/>
            </w:pPr>
            <w:r>
              <w:rPr/>
              <w:t> </w:t>
            </w:r>
          </w:p>
        </w:tc>
        <w:tc>
          <w:tcPr>
            <w:tcW w:w="227" w:type="dxa"/>
            <w:tcBorders/>
            <w:shd w:fill="auto" w:val="clear"/>
            <w:vAlign w:val="bottom"/>
          </w:tcPr>
          <w:p>
            <w:pPr>
              <w:pStyle w:val="TableContents"/>
              <w:spacing w:before="0" w:after="0"/>
              <w:ind w:left="0" w:right="0" w:hanging="0"/>
              <w:jc w:val="center"/>
              <w:rPr/>
            </w:pPr>
            <w:r>
              <w:rPr/>
              <w:t> </w:t>
            </w:r>
          </w:p>
        </w:tc>
        <w:tc>
          <w:tcPr>
            <w:tcW w:w="289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Equity Compensation</w:t>
            </w:r>
          </w:p>
        </w:tc>
        <w:tc>
          <w:tcPr>
            <w:tcW w:w="143" w:type="dxa"/>
            <w:tcBorders/>
            <w:shd w:fill="auto" w:val="clear"/>
            <w:vAlign w:val="bottom"/>
          </w:tcPr>
          <w:p>
            <w:pPr>
              <w:pStyle w:val="TableContents"/>
              <w:spacing w:before="0" w:after="0"/>
              <w:ind w:left="0" w:right="0" w:hanging="0"/>
              <w:jc w:val="center"/>
              <w:rPr/>
            </w:pPr>
            <w:r>
              <w:rPr/>
              <w:t> </w:t>
            </w:r>
          </w:p>
        </w:tc>
      </w:tr>
      <w:tr>
        <w:trPr/>
        <w:tc>
          <w:tcPr>
            <w:tcW w:w="6939" w:type="dxa"/>
            <w:tcBorders/>
            <w:shd w:fill="auto" w:val="clear"/>
            <w:vAlign w:val="bottom"/>
          </w:tcPr>
          <w:p>
            <w:pPr>
              <w:pStyle w:val="TableContents"/>
              <w:spacing w:before="0" w:after="0"/>
              <w:ind w:left="0" w:right="0" w:hanging="0"/>
              <w:rPr/>
            </w:pPr>
            <w:r>
              <w:rPr/>
              <w:t> </w:t>
            </w:r>
          </w:p>
        </w:tc>
        <w:tc>
          <w:tcPr>
            <w:tcW w:w="227" w:type="dxa"/>
            <w:tcBorders/>
            <w:shd w:fill="auto" w:val="clear"/>
            <w:vAlign w:val="bottom"/>
          </w:tcPr>
          <w:p>
            <w:pPr>
              <w:pStyle w:val="TableContents"/>
              <w:spacing w:before="0" w:after="0"/>
              <w:ind w:left="0" w:right="0" w:hanging="0"/>
              <w:jc w:val="center"/>
              <w:rPr/>
            </w:pPr>
            <w:r>
              <w:rPr/>
              <w:t> </w:t>
            </w:r>
          </w:p>
        </w:tc>
        <w:tc>
          <w:tcPr>
            <w:tcW w:w="289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Plans Remaining Fair Value</w:t>
            </w:r>
          </w:p>
        </w:tc>
        <w:tc>
          <w:tcPr>
            <w:tcW w:w="143" w:type="dxa"/>
            <w:tcBorders/>
            <w:shd w:fill="auto" w:val="clear"/>
            <w:vAlign w:val="bottom"/>
          </w:tcPr>
          <w:p>
            <w:pPr>
              <w:pStyle w:val="TableContents"/>
              <w:spacing w:before="0" w:after="0"/>
              <w:ind w:left="0" w:right="0" w:hanging="0"/>
              <w:jc w:val="center"/>
              <w:rPr/>
            </w:pPr>
            <w:r>
              <w:rPr/>
              <w:t> </w:t>
            </w:r>
          </w:p>
        </w:tc>
      </w:tr>
      <w:tr>
        <w:trPr/>
        <w:tc>
          <w:tcPr>
            <w:tcW w:w="6939"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Year</w:t>
            </w:r>
          </w:p>
        </w:tc>
        <w:tc>
          <w:tcPr>
            <w:tcW w:w="227" w:type="dxa"/>
            <w:tcBorders/>
            <w:shd w:fill="auto" w:val="clear"/>
            <w:vAlign w:val="bottom"/>
          </w:tcPr>
          <w:p>
            <w:pPr>
              <w:pStyle w:val="TableContents"/>
              <w:spacing w:before="0" w:after="0"/>
              <w:ind w:left="0" w:right="0" w:hanging="0"/>
              <w:jc w:val="center"/>
              <w:rPr/>
            </w:pPr>
            <w:r>
              <w:rPr/>
              <w:t> </w:t>
            </w:r>
          </w:p>
        </w:tc>
        <w:tc>
          <w:tcPr>
            <w:tcW w:w="289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Amortization </w:t>
            </w:r>
            <w:r>
              <w:rPr>
                <w:b/>
                <w:sz w:val="8"/>
              </w:rPr>
              <w:t>(1) (2)</w:t>
            </w:r>
          </w:p>
        </w:tc>
        <w:tc>
          <w:tcPr>
            <w:tcW w:w="143" w:type="dxa"/>
            <w:tcBorders/>
            <w:shd w:fill="auto" w:val="clear"/>
            <w:vAlign w:val="bottom"/>
          </w:tcPr>
          <w:p>
            <w:pPr>
              <w:pStyle w:val="TableContents"/>
              <w:spacing w:before="0" w:after="0"/>
              <w:ind w:left="0" w:right="0" w:hanging="0"/>
              <w:jc w:val="center"/>
              <w:rPr/>
            </w:pPr>
            <w:r>
              <w:rPr/>
              <w:t> </w:t>
            </w:r>
          </w:p>
        </w:tc>
      </w:tr>
      <w:tr>
        <w:trPr/>
        <w:tc>
          <w:tcPr>
            <w:tcW w:w="6939" w:type="dxa"/>
            <w:tcBorders/>
            <w:shd w:fill="CCEEFF" w:val="clear"/>
            <w:vAlign w:val="bottom"/>
          </w:tcPr>
          <w:p>
            <w:pPr>
              <w:pStyle w:val="TableContents"/>
              <w:spacing w:before="0" w:after="0"/>
              <w:ind w:left="0" w:right="0" w:hanging="0"/>
              <w:rPr/>
            </w:pPr>
            <w:r>
              <w:rPr>
                <w:rFonts w:ascii="Times New Roman" w:hAnsi="Times New Roman"/>
                <w:sz w:val="17"/>
              </w:rPr>
              <w:t xml:space="preserve">2010 </w:t>
            </w:r>
            <w:r>
              <w:rPr>
                <w:sz w:val="11"/>
              </w:rPr>
              <w:t>(3)</w:t>
            </w:r>
          </w:p>
        </w:tc>
        <w:tc>
          <w:tcPr>
            <w:tcW w:w="227" w:type="dxa"/>
            <w:tcBorders/>
            <w:shd w:fill="CCEEFF" w:val="clear"/>
            <w:vAlign w:val="bottom"/>
          </w:tcPr>
          <w:p>
            <w:pPr>
              <w:pStyle w:val="TableContents"/>
              <w:spacing w:before="0" w:after="0"/>
              <w:ind w:left="0" w:right="0" w:hanging="0"/>
              <w:rPr/>
            </w:pPr>
            <w:r>
              <w:rPr/>
              <w:t> </w:t>
            </w:r>
          </w:p>
        </w:tc>
        <w:tc>
          <w:tcPr>
            <w:tcW w:w="4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43" w:type="dxa"/>
            <w:tcBorders/>
            <w:shd w:fill="CCEEFF" w:val="clear"/>
            <w:vAlign w:val="bottom"/>
          </w:tcPr>
          <w:p>
            <w:pPr>
              <w:pStyle w:val="TableContents"/>
              <w:spacing w:before="0" w:after="0"/>
              <w:ind w:left="0" w:right="0" w:hanging="0"/>
              <w:rPr/>
            </w:pPr>
            <w:r>
              <w:rPr/>
              <w:t> </w:t>
            </w:r>
          </w:p>
        </w:tc>
      </w:tr>
      <w:tr>
        <w:trPr/>
        <w:tc>
          <w:tcPr>
            <w:tcW w:w="69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2011</w:t>
            </w:r>
          </w:p>
        </w:tc>
        <w:tc>
          <w:tcPr>
            <w:tcW w:w="227" w:type="dxa"/>
            <w:tcBorders/>
            <w:shd w:fill="auto" w:val="clear"/>
            <w:vAlign w:val="bottom"/>
          </w:tcPr>
          <w:p>
            <w:pPr>
              <w:pStyle w:val="TableContents"/>
              <w:spacing w:before="0" w:after="0"/>
              <w:ind w:left="0" w:right="0" w:hanging="0"/>
              <w:rPr/>
            </w:pPr>
            <w:r>
              <w:rPr/>
              <w:t> </w:t>
            </w:r>
          </w:p>
        </w:tc>
        <w:tc>
          <w:tcPr>
            <w:tcW w:w="28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43" w:type="dxa"/>
            <w:tcBorders/>
            <w:shd w:fill="auto" w:val="clear"/>
            <w:vAlign w:val="bottom"/>
          </w:tcPr>
          <w:p>
            <w:pPr>
              <w:pStyle w:val="TableContents"/>
              <w:spacing w:before="0" w:after="0"/>
              <w:ind w:left="0" w:right="0" w:hanging="0"/>
              <w:rPr/>
            </w:pPr>
            <w:r>
              <w:rPr/>
              <w:t> </w:t>
            </w:r>
          </w:p>
        </w:tc>
      </w:tr>
      <w:tr>
        <w:trPr/>
        <w:tc>
          <w:tcPr>
            <w:tcW w:w="69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2012</w:t>
            </w:r>
          </w:p>
        </w:tc>
        <w:tc>
          <w:tcPr>
            <w:tcW w:w="227" w:type="dxa"/>
            <w:tcBorders/>
            <w:shd w:fill="CCEEFF" w:val="clear"/>
            <w:vAlign w:val="bottom"/>
          </w:tcPr>
          <w:p>
            <w:pPr>
              <w:pStyle w:val="TableContents"/>
              <w:spacing w:before="0" w:after="0"/>
              <w:ind w:left="0" w:right="0" w:hanging="0"/>
              <w:rPr/>
            </w:pPr>
            <w:r>
              <w:rPr/>
              <w:t> </w:t>
            </w:r>
          </w:p>
        </w:tc>
        <w:tc>
          <w:tcPr>
            <w:tcW w:w="2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43" w:type="dxa"/>
            <w:tcBorders/>
            <w:shd w:fill="CCEEFF" w:val="clear"/>
            <w:vAlign w:val="bottom"/>
          </w:tcPr>
          <w:p>
            <w:pPr>
              <w:pStyle w:val="TableContents"/>
              <w:spacing w:before="0" w:after="0"/>
              <w:ind w:left="0" w:right="0" w:hanging="0"/>
              <w:rPr/>
            </w:pPr>
            <w:r>
              <w:rPr/>
              <w:t> </w:t>
            </w:r>
          </w:p>
        </w:tc>
      </w:tr>
      <w:tr>
        <w:trPr/>
        <w:tc>
          <w:tcPr>
            <w:tcW w:w="69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2013</w:t>
            </w:r>
          </w:p>
        </w:tc>
        <w:tc>
          <w:tcPr>
            <w:tcW w:w="227" w:type="dxa"/>
            <w:tcBorders/>
            <w:shd w:fill="auto" w:val="clear"/>
            <w:vAlign w:val="bottom"/>
          </w:tcPr>
          <w:p>
            <w:pPr>
              <w:pStyle w:val="TableContents"/>
              <w:spacing w:before="0" w:after="0"/>
              <w:ind w:left="0" w:right="0" w:hanging="0"/>
              <w:rPr/>
            </w:pPr>
            <w:r>
              <w:rPr/>
              <w:t> </w:t>
            </w:r>
          </w:p>
        </w:tc>
        <w:tc>
          <w:tcPr>
            <w:tcW w:w="28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43" w:type="dxa"/>
            <w:tcBorders/>
            <w:shd w:fill="auto" w:val="clear"/>
            <w:vAlign w:val="bottom"/>
          </w:tcPr>
          <w:p>
            <w:pPr>
              <w:pStyle w:val="TableContents"/>
              <w:spacing w:before="0" w:after="0"/>
              <w:ind w:left="0" w:right="0" w:hanging="0"/>
              <w:rPr/>
            </w:pPr>
            <w:r>
              <w:rPr/>
              <w:t> </w:t>
            </w:r>
          </w:p>
        </w:tc>
      </w:tr>
      <w:tr>
        <w:trPr/>
        <w:tc>
          <w:tcPr>
            <w:tcW w:w="69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27" w:type="dxa"/>
            <w:tcBorders/>
            <w:shd w:fill="CCEEFF" w:val="clear"/>
            <w:vAlign w:val="bottom"/>
          </w:tcPr>
          <w:p>
            <w:pPr>
              <w:pStyle w:val="TableContents"/>
              <w:spacing w:before="0" w:after="0"/>
              <w:ind w:left="0" w:right="0" w:hanging="0"/>
              <w:rPr/>
            </w:pPr>
            <w:r>
              <w:rPr/>
              <w:t> </w:t>
            </w:r>
          </w:p>
        </w:tc>
        <w:tc>
          <w:tcPr>
            <w:tcW w:w="4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4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Amounts do not include fair value associated with awards containing performance conditions that are not considered to be probable of occurring at March 31, 2010.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32" w:name="PB_14_160204_5796"/>
      <w:bookmarkEnd w:id="3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Includes unamortized fair value associated with Class B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Includes equity compensation plan fair value amortization for the remaining nine months of 2010.</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9Derivatives and Risk Management Activities</w:t>
      </w:r>
      <w:bookmarkStart w:id="33" w:name="Note10derivativesAndRiskManagemen_175156"/>
      <w:bookmarkEnd w:id="33"/>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identify the risks that underlie our core business activities and use risk management strategies to mitigate those risks when we determine that there is value in doing so.  We use various derivative instruments to (i) manage our exposure to commodity price risk as well as to optimize our profits, (ii) manage our exposure to interest rate risk and (iii) manage our exposure to currency exchange rate risk. Our policy is to use derivative instruments only for risk management purposes.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foreign currency risk management policies and procedures are designed to monitor our positions and ensure that those positions are consistent with our objectives and approved strategies.  Our policy is to formally document all relationships between hedging instruments and hedged items, as well as our risk management objectives and strategies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  A discussion of our derivative activities by risk category follows.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Commodity Price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core business activities contain certain commodity price-related risks that we manage in various ways, including the use of derivative instruments.  Our policy is (i) to purchase only product for which we have a market, (ii) to structure our sales contracts so that price fluctuations do not materially affect the segment profit we earn, and (iii) not to acquire and hold physical inventory, futures contracts or other derivative products for the purpose of speculating on outright commodity price changes.  Although we seek to maintain a position that is substantially balanced within our supply and logistics activities, we purchase crude oil, refined products and LPG from thousands of locations and may experience net unbalanced positions as a result of production, transportation and delivery variances, as well as logistical issues associated with inclement weather conditions and other uncontrollable events that occur within each month. In connection with our efforts to maintain a balanced position, specifically authorized personnel can purchase or sell an aggregate limit of up to 810,000 barrels of crude oil, refined products and LPG relative to the volumes originally scheduled for such month, based on interim information.  The purpose of these purchases and sales is to manage risk as opposed to establishing a risk position. When unscheduled physical inventory builds or draws do occur, they are monitored constantly and managed to a balanced position over a reasonable period of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material commodity related risks inherent in our business activities can be summarized into the following general categories: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Commodity Purchases and Sales</w:t>
      </w:r>
      <w:r>
        <w:rPr>
          <w:rFonts w:ascii="Times New Roman" w:hAnsi="Times New Roman"/>
        </w:rPr>
        <w:t xml:space="preserve"> </w:t>
      </w:r>
      <w:r>
        <w:rPr>
          <w:rFonts w:ascii="Times New Roman" w:hAnsi="Times New Roman"/>
          <w:sz w:val="17"/>
        </w:rPr>
        <w:t> In the normal course of our supply and logistics operations, we purchase and sell crude oil, LPG, and refined products.  We use derivatives to manage the associated risks and to optimize profits.  As of March 31, 2010, material net derivative positions related to these activities included: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approximate 222,000 barrels per day net long position (total of 6.7 million barrels) associated with our crude oil activities, which was unwound ratably during April 2010 to match monthly average pricing.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approximate 29,900 barrels per day (total of 19.8 million barrels) net short spread position which hedges a portion of our anticipated crude oil lease gathering purchases through January 2012. These derivatives protect our margin on future floating price crude oil purchase commitments.  These derivatives in the aggregate do not result in exposure to outright price movements.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net short spread position averaging approximately 3,400 barrels per day (total of 2.1 million barrels) of calendar spread call options for the period April 2010 through January 2012. These derivatives in the aggregate do not result in exposure to outright price movements.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average of approximately 3,000 barrels per day (total of 1.1 million barrels) of butane/WTI spread positions, which hedge specific butane sales contracts that are priced as a fixed percentage of WTI and continue through March 2011.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34" w:name="PB_15_160219_2897"/>
      <w:bookmarkEnd w:id="3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Approximately 18,400 barrels per day on average (total of 5.0 million barrels) of crude oil basis differential hedges through December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Storage Capacity Utilization</w:t>
      </w:r>
      <w:r>
        <w:rPr>
          <w:rFonts w:ascii="Times New Roman" w:hAnsi="Times New Roman"/>
        </w:rPr>
        <w:t xml:space="preserve"> </w:t>
      </w:r>
      <w:r>
        <w:rPr>
          <w:rFonts w:ascii="Times New Roman" w:hAnsi="Times New Roman"/>
          <w:sz w:val="17"/>
        </w:rPr>
        <w:t> We own approximately 59 million barrels of crude oil, LPG and refined products storage capacity that is not used in our transportation operations.  This storage may be leased to third parties or utilized in our own supply and logistics activities, including for the storage of inventory in a contango market. For capacity allocated to our supply and logistics operations, we have utilization risk if the market structure is backwardated. As of March 31, 2010, we used derivatives to manage the risk of not utilizing approximately 2.6 million barrels per month of storage capacity through 2011.  These positions are a combination of calendar spread options and NYMEX futures contracts.  These positions involve no outright price exposure, but instead represent potential offsetting purchases and sales between time periods (first month versus second month for example).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Inventory Storage </w:t>
      </w:r>
      <w:r>
        <w:rPr>
          <w:rFonts w:ascii="Times New Roman" w:hAnsi="Times New Roman"/>
        </w:rPr>
        <w:t xml:space="preserve"> </w:t>
      </w:r>
      <w:r>
        <w:rPr>
          <w:rFonts w:ascii="Times New Roman" w:hAnsi="Times New Roman"/>
          <w:sz w:val="17"/>
        </w:rPr>
        <w:t>At times, we elect to purchase and store crude oil, LPG and refined products inventory in conjunction with our supply and logistics activities.  These activities primarily relate to the seasonal storage of LPG inventories and contango market storage activities.  When we purchase and store barrels, we enter into physical sales contracts or use derivatives to mitigate price risk associated with the inventory.  As of March 31, 2010, we had approximately 8.9 million barrels of inventory hedged with derivatives.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We also purchase foreign cargoes of crude oil and may enter into derivatives to mitigate various price risks associated with the purchase and ultimate sale of foreign crude inventory.  As of March 31, 2010, we had approximately 1.5 million barrels of crude oil derivatives</w:t>
      </w:r>
      <w:r>
        <w:rPr>
          <w:rFonts w:ascii="Times New Roman" w:hAnsi="Times New Roman"/>
        </w:rPr>
        <w:t xml:space="preserve"> </w:t>
      </w:r>
      <w:r>
        <w:rPr>
          <w:rFonts w:ascii="Times New Roman" w:hAnsi="Times New Roman"/>
          <w:sz w:val="17"/>
        </w:rPr>
        <w:t>hedging the anticipated sale of foreign crude inventory and 2.9 million barrels of crude oil spread positions hedging the anticipated purchase of foreign crude inventory.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Pipeline Loss Allowance Oil</w:t>
      </w:r>
      <w:r>
        <w:rPr>
          <w:rFonts w:ascii="Times New Roman" w:hAnsi="Times New Roman"/>
        </w:rPr>
        <w:t xml:space="preserve"> </w:t>
      </w:r>
      <w:r>
        <w:rPr>
          <w:rFonts w:ascii="Times New Roman" w:hAnsi="Times New Roman"/>
          <w:sz w:val="17"/>
        </w:rPr>
        <w:t> As is common in the pipeline transportation industry, our tariffs incorporate a loss allowance factor that is intended to, among other things, offset losses due to evaporation, measurement and other losses in transit.  We utilize derivative instruments to hedge a portion of the anticipated sales of the allowance oil that is to be collected under our tariffs.  As of March 31, 2010, we had entered into a net short position consisting of crude oil futures and swaps to manage the risk associated with the anticipated sale of an average of approximately 2,300 barrels per day (total of 2.3 million barrels) from  April 2010 through December 2012.  In addition, we had a long put option position of approximately 1 million barrels through December 2012 and a net long call option position of approximately 1.5 million barrels through December 2011, which provide upside price participation.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Diluent Purchases</w:t>
      </w:r>
      <w:r>
        <w:rPr>
          <w:rFonts w:ascii="Times New Roman" w:hAnsi="Times New Roman"/>
        </w:rPr>
        <w:t xml:space="preserve"> </w:t>
      </w:r>
      <w:r>
        <w:rPr>
          <w:rFonts w:ascii="Times New Roman" w:hAnsi="Times New Roman"/>
          <w:sz w:val="17"/>
        </w:rPr>
        <w:t> We use diluent in our Canadian crude oil pipeline operations and have used derivative instruments to hedge the anticipated forward purchases of diluent and diluent inventory.  As of March 31, 2010, we had an average of 1,300 barrels per day of natural gasoline/WTI spread positions (approximately 1 million barrels) that run through mid-2011 and an average of 3,300 barrels per day of short crude oil futures (approximately 0.3 million barrels) to hedge condensate through the second quarter of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Natural Gas Purchases</w:t>
      </w:r>
      <w:r>
        <w:rPr>
          <w:rFonts w:ascii="Times New Roman" w:hAnsi="Times New Roman"/>
        </w:rPr>
        <w:t xml:space="preserve"> </w:t>
      </w:r>
      <w:r>
        <w:rPr>
          <w:rFonts w:ascii="Times New Roman" w:hAnsi="Times New Roman"/>
          <w:sz w:val="17"/>
        </w:rPr>
        <w:t>  Our gas storage facilities require minimum levels of natural gas (base gas) to operate.  For our natural gas storage facilities that are under construction, we anticipate purchasing base gas in future periods as construction is completed.  We use derivatives to hedge such anticipated purchases of natural gas.  As of March 31, 2010, we have a net long position of approximately 2 Bcf consisting of natural gas futures contracts through August 2011 and natural gas call options for approximately 1 Bcf through August 2011.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derivative instruments we use to manage our commodity price risk consist primarily of futures, options and swaps traded on the NYMEX and ICE and in over-the-counter transactions.  Over-the-counter transactions include commodity swap and option contracts.  All of our commodity derivatives that qualify for hedge accounting are designated as cash flow hedges. Therefore, the corresponding changes in fair value for the effective portion of the hedges are deferred into AOCI and recognized in revenues or purchases and related costs in the periods during which the underlying physical transactions occur. We have determined that substantially all of our physical purchase and sale agreements qualify for the NPNS exclusion and thus are not subject to the accounting treatment for derivative instruments and hedging activities as set forth in FASB guidance. Physical commodity contracts that meet the definition of a derivative but are ineligible, or not designated, for the NPNS scope exception are recorded on the balance sheet as assets or liabilities at their fair value, with the changes in fair value recorded net in revenues.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Rate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interest rate derivatives to hedge interest rate risk associated with anticipated debt issuances and, in certain cases, outstanding debt instruments.  The derivative instruments we use to manage this risk consist primarily of interest rate swaps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bookmarkStart w:id="35" w:name="PB_16_160233_3020"/>
      <w:bookmarkEnd w:id="3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treasury locks.  As of March 31, 2010, AOCI includes deferred losses of $8 million that relate to terminated interest rate swaps and treasury locks that were designated for hedge accounting.  These terminated interest rate derivatives were cash-settled in connection with the issuance and refinancing of debt agreements. The deferred loss related to these instruments is being amortized to interest expense over the original terms of the forecasted debt instruments.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March 31, 2010, we had four outstanding interest rate swaps by which we receive fixed interest payments and pay floating-rate interest payments based on three-month LIBOR plus an average spread of 2.42% on a semi-annual basis.  The swaps have an aggregate notional amount of $300 million with fixed rates of 4.25%.  Two of the swaps terminate in 2011 and two of the swaps terminate in 2012.</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Currency Exchange Rate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foreign currency derivatives to hedge foreign currency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primarily include foreign currency exchange contracts, forwards and options.  As of March 31, 2010, AOCI includes net deferred gains of $15 million that relate to open and settled forward exchange contracts that were designated for hedge accounting.  These forward exchange contracts hedge the cash flow variability associated with CAD-denominated interest payments on a CAD-denominated intercompany note as a result of changes in the foreign exchange rate.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March 31, 2010, our outstanding foreign currency derivatives also include derivatives used to hedge CAD-denominated crude oil purchases and sales.  We may from time to time hedge the commodity price risk associated with a CAD-denominated commodity transaction with a USD-denominated commodity derivative.  In conjunction with entering into the commodity derivative, we enter into a foreign currency derivative to hedge the resulting foreign currency risk.  These foreign currency derivatives are generally short-term in nature and are not designated for hedge accounting.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March 31, 2010, our open foreign exchange derivatives included forward exchange contracts that exchange CAD for USD on a net basis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275"/>
        <w:gridCol w:w="214"/>
        <w:gridCol w:w="114"/>
        <w:gridCol w:w="1900"/>
        <w:gridCol w:w="214"/>
        <w:gridCol w:w="114"/>
        <w:gridCol w:w="1900"/>
        <w:gridCol w:w="214"/>
        <w:gridCol w:w="2147"/>
        <w:gridCol w:w="113"/>
      </w:tblGrid>
      <w:tr>
        <w:trPr/>
        <w:tc>
          <w:tcPr>
            <w:tcW w:w="3275"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01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CAD</w:t>
            </w:r>
          </w:p>
        </w:tc>
        <w:tc>
          <w:tcPr>
            <w:tcW w:w="214" w:type="dxa"/>
            <w:tcBorders/>
            <w:shd w:fill="auto" w:val="clear"/>
            <w:vAlign w:val="bottom"/>
          </w:tcPr>
          <w:p>
            <w:pPr>
              <w:pStyle w:val="TableContents"/>
              <w:spacing w:before="0" w:after="0"/>
              <w:ind w:left="0" w:right="0" w:hanging="0"/>
              <w:jc w:val="center"/>
              <w:rPr/>
            </w:pPr>
            <w:r>
              <w:rPr/>
              <w:t> </w:t>
            </w:r>
          </w:p>
        </w:tc>
        <w:tc>
          <w:tcPr>
            <w:tcW w:w="201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USD</w:t>
            </w:r>
          </w:p>
        </w:tc>
        <w:tc>
          <w:tcPr>
            <w:tcW w:w="214" w:type="dxa"/>
            <w:tcBorders/>
            <w:shd w:fill="auto" w:val="clear"/>
            <w:vAlign w:val="bottom"/>
          </w:tcPr>
          <w:p>
            <w:pPr>
              <w:pStyle w:val="TableContents"/>
              <w:spacing w:before="0" w:after="0"/>
              <w:ind w:left="0" w:right="0" w:hanging="0"/>
              <w:jc w:val="center"/>
              <w:rPr/>
            </w:pPr>
            <w:r>
              <w:rPr/>
              <w:t> </w:t>
            </w:r>
          </w:p>
        </w:tc>
        <w:tc>
          <w:tcPr>
            <w:tcW w:w="214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Exchange Rate</w:t>
            </w:r>
          </w:p>
        </w:tc>
        <w:tc>
          <w:tcPr>
            <w:tcW w:w="113" w:type="dxa"/>
            <w:tcBorders/>
            <w:shd w:fill="auto" w:val="clear"/>
            <w:vAlign w:val="bottom"/>
          </w:tcPr>
          <w:p>
            <w:pPr>
              <w:pStyle w:val="TableContents"/>
              <w:spacing w:before="0" w:after="0"/>
              <w:ind w:left="0" w:right="0" w:hanging="0"/>
              <w:jc w:val="center"/>
              <w:rPr/>
            </w:pPr>
            <w:r>
              <w:rPr/>
              <w:t> </w:t>
            </w:r>
          </w:p>
        </w:tc>
      </w:tr>
      <w:tr>
        <w:trPr/>
        <w:tc>
          <w:tcPr>
            <w:tcW w:w="32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2010</w:t>
            </w:r>
          </w:p>
        </w:tc>
        <w:tc>
          <w:tcPr>
            <w:tcW w:w="214"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0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4"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0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14" w:type="dxa"/>
            <w:tcBorders/>
            <w:shd w:fill="CCEEFF" w:val="clear"/>
            <w:vAlign w:val="bottom"/>
          </w:tcPr>
          <w:p>
            <w:pPr>
              <w:pStyle w:val="TableContents"/>
              <w:spacing w:before="0" w:after="0"/>
              <w:ind w:left="0" w:right="0" w:hanging="0"/>
              <w:rPr/>
            </w:pPr>
            <w:r>
              <w:rPr/>
              <w:t> </w:t>
            </w:r>
          </w:p>
        </w:tc>
        <w:tc>
          <w:tcPr>
            <w:tcW w:w="214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CAD $1.14 to USD $1.00</w:t>
            </w:r>
          </w:p>
        </w:tc>
        <w:tc>
          <w:tcPr>
            <w:tcW w:w="113" w:type="dxa"/>
            <w:tcBorders/>
            <w:shd w:fill="CCEEFF" w:val="clear"/>
            <w:vAlign w:val="bottom"/>
          </w:tcPr>
          <w:p>
            <w:pPr>
              <w:pStyle w:val="TableContents"/>
              <w:spacing w:before="0" w:after="0"/>
              <w:ind w:left="0" w:right="0" w:hanging="0"/>
              <w:rPr/>
            </w:pPr>
            <w:r>
              <w:rPr/>
              <w:t> </w:t>
            </w:r>
          </w:p>
        </w:tc>
      </w:tr>
      <w:tr>
        <w:trPr/>
        <w:tc>
          <w:tcPr>
            <w:tcW w:w="32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2011</w:t>
            </w:r>
          </w:p>
        </w:tc>
        <w:tc>
          <w:tcPr>
            <w:tcW w:w="214"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4"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4" w:type="dxa"/>
            <w:tcBorders/>
            <w:shd w:fill="auto" w:val="clear"/>
            <w:vAlign w:val="bottom"/>
          </w:tcPr>
          <w:p>
            <w:pPr>
              <w:pStyle w:val="TableContents"/>
              <w:spacing w:before="0" w:after="0"/>
              <w:ind w:left="0" w:right="0" w:hanging="0"/>
              <w:rPr/>
            </w:pPr>
            <w:r>
              <w:rPr/>
              <w:t> </w:t>
            </w:r>
          </w:p>
        </w:tc>
        <w:tc>
          <w:tcPr>
            <w:tcW w:w="2147"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CAD $1.01 to USD $1.00</w:t>
            </w:r>
          </w:p>
        </w:tc>
        <w:tc>
          <w:tcPr>
            <w:tcW w:w="113" w:type="dxa"/>
            <w:tcBorders/>
            <w:shd w:fill="auto" w:val="clear"/>
            <w:vAlign w:val="bottom"/>
          </w:tcPr>
          <w:p>
            <w:pPr>
              <w:pStyle w:val="TableContents"/>
              <w:spacing w:before="0" w:after="0"/>
              <w:ind w:left="0" w:right="0" w:hanging="0"/>
              <w:rPr/>
            </w:pPr>
            <w:r>
              <w:rPr/>
              <w:t> </w:t>
            </w:r>
          </w:p>
        </w:tc>
      </w:tr>
      <w:tr>
        <w:trPr/>
        <w:tc>
          <w:tcPr>
            <w:tcW w:w="32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2012</w:t>
            </w:r>
          </w:p>
        </w:tc>
        <w:tc>
          <w:tcPr>
            <w:tcW w:w="214"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4"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4" w:type="dxa"/>
            <w:tcBorders/>
            <w:shd w:fill="CCEEFF" w:val="clear"/>
            <w:vAlign w:val="bottom"/>
          </w:tcPr>
          <w:p>
            <w:pPr>
              <w:pStyle w:val="TableContents"/>
              <w:spacing w:before="0" w:after="0"/>
              <w:ind w:left="0" w:right="0" w:hanging="0"/>
              <w:rPr/>
            </w:pPr>
            <w:r>
              <w:rPr/>
              <w:t> </w:t>
            </w:r>
          </w:p>
        </w:tc>
        <w:tc>
          <w:tcPr>
            <w:tcW w:w="214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CAD $1.01 to USD $1.00</w:t>
            </w:r>
          </w:p>
        </w:tc>
        <w:tc>
          <w:tcPr>
            <w:tcW w:w="113" w:type="dxa"/>
            <w:tcBorders/>
            <w:shd w:fill="CCEEFF" w:val="clear"/>
            <w:vAlign w:val="bottom"/>
          </w:tcPr>
          <w:p>
            <w:pPr>
              <w:pStyle w:val="TableContents"/>
              <w:spacing w:before="0" w:after="0"/>
              <w:ind w:left="0" w:right="0" w:hanging="0"/>
              <w:rPr/>
            </w:pPr>
            <w:r>
              <w:rPr/>
              <w:t> </w:t>
            </w:r>
          </w:p>
        </w:tc>
      </w:tr>
      <w:tr>
        <w:trPr/>
        <w:tc>
          <w:tcPr>
            <w:tcW w:w="32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2013</w:t>
            </w:r>
          </w:p>
        </w:tc>
        <w:tc>
          <w:tcPr>
            <w:tcW w:w="214"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4"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4" w:type="dxa"/>
            <w:tcBorders/>
            <w:shd w:fill="auto" w:val="clear"/>
            <w:vAlign w:val="bottom"/>
          </w:tcPr>
          <w:p>
            <w:pPr>
              <w:pStyle w:val="TableContents"/>
              <w:spacing w:before="0" w:after="0"/>
              <w:ind w:left="0" w:right="0" w:hanging="0"/>
              <w:rPr/>
            </w:pPr>
            <w:r>
              <w:rPr/>
              <w:t> </w:t>
            </w:r>
          </w:p>
        </w:tc>
        <w:tc>
          <w:tcPr>
            <w:tcW w:w="2147"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CAD $1.00 to USD $1.00</w:t>
            </w:r>
          </w:p>
        </w:tc>
        <w:tc>
          <w:tcPr>
            <w:tcW w:w="11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These financial instruments are placed with large, highly rated financial institutions.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Summary of Financial Impact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majority of our derivative activity is related to our commodity price risk hedging activities. All of our commodity derivatives that qualify for hedge accounting are designated as cash flow hedges. Therefore, the corresponding changes in fair value for the effective portion of the hedges are deferred to AOCI and recognized in earnings in the periods during which the underlying physical transactions impact earnings. Derivatives that do not qualify for hedge accounting and the portion of cash flow hedges that is not highly effective in offsetting changes in cash flows of the hedged items are recognized in earnings each period. Cash settlements associated with our derivative activities are reflected as operating cash flows in our consolidated statements of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summary of the impact of our derivative activities recognized in earnings for the three months ended March 31, 2010 is as follows (in millions):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bookmarkStart w:id="36" w:name="PB_17_163523_5335"/>
      <w:bookmarkEnd w:id="3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Three Months Ended March 31, 2010:</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202"/>
        <w:gridCol w:w="181"/>
        <w:gridCol w:w="2964"/>
        <w:gridCol w:w="112"/>
        <w:gridCol w:w="235"/>
        <w:gridCol w:w="604"/>
        <w:gridCol w:w="127"/>
        <w:gridCol w:w="257"/>
        <w:gridCol w:w="704"/>
        <w:gridCol w:w="127"/>
        <w:gridCol w:w="254"/>
        <w:gridCol w:w="1025"/>
        <w:gridCol w:w="127"/>
        <w:gridCol w:w="169"/>
        <w:gridCol w:w="499"/>
        <w:gridCol w:w="618"/>
      </w:tblGrid>
      <w:tr>
        <w:trPr/>
        <w:tc>
          <w:tcPr>
            <w:tcW w:w="2202"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2964"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jc w:val="center"/>
              <w:rPr/>
            </w:pPr>
            <w:r>
              <w:rPr/>
              <w:t> </w:t>
            </w:r>
          </w:p>
        </w:tc>
        <w:tc>
          <w:tcPr>
            <w:tcW w:w="192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 Cash Flow</w:t>
            </w:r>
          </w:p>
        </w:tc>
        <w:tc>
          <w:tcPr>
            <w:tcW w:w="127" w:type="dxa"/>
            <w:tcBorders/>
            <w:shd w:fill="auto" w:val="clear"/>
            <w:vAlign w:val="bottom"/>
          </w:tcPr>
          <w:p>
            <w:pPr>
              <w:pStyle w:val="TableContents"/>
              <w:spacing w:before="0" w:after="0"/>
              <w:ind w:left="0" w:right="0" w:hanging="0"/>
              <w:jc w:val="center"/>
              <w:rPr/>
            </w:pPr>
            <w:r>
              <w:rPr/>
              <w:t> </w:t>
            </w:r>
          </w:p>
        </w:tc>
        <w:tc>
          <w:tcPr>
            <w:tcW w:w="1279" w:type="dxa"/>
            <w:gridSpan w:val="2"/>
            <w:tcBorders/>
            <w:shd w:fill="auto" w:val="clear"/>
            <w:vAlign w:val="bottom"/>
          </w:tcPr>
          <w:p>
            <w:pPr>
              <w:pStyle w:val="TableContents"/>
              <w:spacing w:before="0" w:after="0"/>
              <w:ind w:left="0" w:right="0" w:hanging="0"/>
              <w:jc w:val="center"/>
              <w:rPr/>
            </w:pPr>
            <w:r>
              <w:rPr/>
              <w:t> </w:t>
            </w:r>
          </w:p>
        </w:tc>
        <w:tc>
          <w:tcPr>
            <w:tcW w:w="127" w:type="dxa"/>
            <w:tcBorders/>
            <w:shd w:fill="auto" w:val="clear"/>
            <w:vAlign w:val="bottom"/>
          </w:tcPr>
          <w:p>
            <w:pPr>
              <w:pStyle w:val="TableContents"/>
              <w:spacing w:before="0" w:after="0"/>
              <w:ind w:left="0" w:right="0" w:hanging="0"/>
              <w:jc w:val="center"/>
              <w:rPr/>
            </w:pPr>
            <w:r>
              <w:rPr/>
              <w:t> </w:t>
            </w:r>
          </w:p>
        </w:tc>
        <w:tc>
          <w:tcPr>
            <w:tcW w:w="668" w:type="dxa"/>
            <w:gridSpan w:val="2"/>
            <w:tcBorders/>
            <w:shd w:fill="auto" w:val="clear"/>
            <w:vAlign w:val="bottom"/>
          </w:tcPr>
          <w:p>
            <w:pPr>
              <w:pStyle w:val="TableContents"/>
              <w:spacing w:before="0" w:after="0"/>
              <w:ind w:left="0" w:right="0" w:hanging="0"/>
              <w:jc w:val="center"/>
              <w:rPr/>
            </w:pPr>
            <w:r>
              <w:rPr/>
              <w:t> </w:t>
            </w:r>
          </w:p>
        </w:tc>
        <w:tc>
          <w:tcPr>
            <w:tcW w:w="618" w:type="dxa"/>
            <w:tcBorders/>
            <w:shd w:fill="auto" w:val="clear"/>
            <w:vAlign w:val="bottom"/>
          </w:tcPr>
          <w:p>
            <w:pPr>
              <w:pStyle w:val="TableContents"/>
              <w:spacing w:before="0" w:after="0"/>
              <w:ind w:left="0" w:right="0" w:hanging="0"/>
              <w:jc w:val="center"/>
              <w:rPr/>
            </w:pPr>
            <w:r>
              <w:rPr/>
              <w:t> </w:t>
            </w:r>
          </w:p>
        </w:tc>
      </w:tr>
      <w:tr>
        <w:trPr/>
        <w:tc>
          <w:tcPr>
            <w:tcW w:w="2202"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2964"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jc w:val="center"/>
              <w:rPr/>
            </w:pPr>
            <w:r>
              <w:rPr/>
              <w:t> </w:t>
            </w:r>
          </w:p>
        </w:tc>
        <w:tc>
          <w:tcPr>
            <w:tcW w:w="192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Hedging Relationships</w:t>
            </w:r>
          </w:p>
        </w:tc>
        <w:tc>
          <w:tcPr>
            <w:tcW w:w="127" w:type="dxa"/>
            <w:tcBorders/>
            <w:shd w:fill="auto" w:val="clear"/>
            <w:vAlign w:val="bottom"/>
          </w:tcPr>
          <w:p>
            <w:pPr>
              <w:pStyle w:val="TableContents"/>
              <w:spacing w:before="0" w:after="0"/>
              <w:ind w:left="0" w:right="0" w:hanging="0"/>
              <w:jc w:val="center"/>
              <w:rPr/>
            </w:pPr>
            <w:r>
              <w:rPr/>
              <w:t> </w:t>
            </w:r>
          </w:p>
        </w:tc>
        <w:tc>
          <w:tcPr>
            <w:tcW w:w="127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Not</w:t>
            </w:r>
          </w:p>
        </w:tc>
        <w:tc>
          <w:tcPr>
            <w:tcW w:w="127" w:type="dxa"/>
            <w:tcBorders/>
            <w:shd w:fill="auto" w:val="clear"/>
            <w:vAlign w:val="bottom"/>
          </w:tcPr>
          <w:p>
            <w:pPr>
              <w:pStyle w:val="TableContents"/>
              <w:spacing w:before="0" w:after="0"/>
              <w:ind w:left="0" w:right="0" w:hanging="0"/>
              <w:jc w:val="center"/>
              <w:rPr/>
            </w:pPr>
            <w:r>
              <w:rPr/>
              <w:t> </w:t>
            </w:r>
          </w:p>
        </w:tc>
        <w:tc>
          <w:tcPr>
            <w:tcW w:w="668" w:type="dxa"/>
            <w:gridSpan w:val="2"/>
            <w:tcBorders/>
            <w:shd w:fill="auto" w:val="clear"/>
            <w:vAlign w:val="bottom"/>
          </w:tcPr>
          <w:p>
            <w:pPr>
              <w:pStyle w:val="TableContents"/>
              <w:spacing w:before="0" w:after="0"/>
              <w:ind w:left="0" w:right="0" w:hanging="0"/>
              <w:jc w:val="center"/>
              <w:rPr/>
            </w:pPr>
            <w:r>
              <w:rPr/>
              <w:t> </w:t>
            </w:r>
          </w:p>
        </w:tc>
        <w:tc>
          <w:tcPr>
            <w:tcW w:w="618" w:type="dxa"/>
            <w:tcBorders/>
            <w:shd w:fill="auto" w:val="clear"/>
            <w:vAlign w:val="bottom"/>
          </w:tcPr>
          <w:p>
            <w:pPr>
              <w:pStyle w:val="TableContents"/>
              <w:spacing w:before="0" w:after="0"/>
              <w:ind w:left="0" w:right="0" w:hanging="0"/>
              <w:jc w:val="center"/>
              <w:rPr/>
            </w:pPr>
            <w:r>
              <w:rPr/>
              <w:t> </w:t>
            </w:r>
          </w:p>
        </w:tc>
      </w:tr>
      <w:tr>
        <w:trPr/>
        <w:tc>
          <w:tcPr>
            <w:tcW w:w="2202"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2964"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jc w:val="center"/>
              <w:rPr/>
            </w:pPr>
            <w:r>
              <w:rPr/>
              <w:t> </w:t>
            </w:r>
          </w:p>
        </w:tc>
        <w:tc>
          <w:tcPr>
            <w:tcW w:w="83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AOCI</w:t>
            </w:r>
          </w:p>
        </w:tc>
        <w:tc>
          <w:tcPr>
            <w:tcW w:w="12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61"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Ineffective</w:t>
            </w:r>
          </w:p>
        </w:tc>
        <w:tc>
          <w:tcPr>
            <w:tcW w:w="127" w:type="dxa"/>
            <w:tcBorders/>
            <w:shd w:fill="auto" w:val="clear"/>
            <w:vAlign w:val="bottom"/>
          </w:tcPr>
          <w:p>
            <w:pPr>
              <w:pStyle w:val="TableContents"/>
              <w:spacing w:before="0" w:after="0"/>
              <w:ind w:left="0" w:right="0" w:hanging="0"/>
              <w:jc w:val="center"/>
              <w:rPr/>
            </w:pPr>
            <w:r>
              <w:rPr/>
              <w:t> </w:t>
            </w:r>
          </w:p>
        </w:tc>
        <w:tc>
          <w:tcPr>
            <w:tcW w:w="127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Designated</w:t>
            </w:r>
          </w:p>
        </w:tc>
        <w:tc>
          <w:tcPr>
            <w:tcW w:w="127" w:type="dxa"/>
            <w:tcBorders/>
            <w:shd w:fill="auto" w:val="clear"/>
            <w:vAlign w:val="bottom"/>
          </w:tcPr>
          <w:p>
            <w:pPr>
              <w:pStyle w:val="TableContents"/>
              <w:spacing w:before="0" w:after="0"/>
              <w:ind w:left="0" w:right="0" w:hanging="0"/>
              <w:jc w:val="center"/>
              <w:rPr/>
            </w:pPr>
            <w:r>
              <w:rPr/>
              <w:t> </w:t>
            </w:r>
          </w:p>
        </w:tc>
        <w:tc>
          <w:tcPr>
            <w:tcW w:w="668" w:type="dxa"/>
            <w:gridSpan w:val="2"/>
            <w:tcBorders/>
            <w:shd w:fill="auto" w:val="clear"/>
            <w:vAlign w:val="bottom"/>
          </w:tcPr>
          <w:p>
            <w:pPr>
              <w:pStyle w:val="TableContents"/>
              <w:spacing w:before="0" w:after="0"/>
              <w:ind w:left="0" w:right="0" w:hanging="0"/>
              <w:jc w:val="center"/>
              <w:rPr/>
            </w:pPr>
            <w:r>
              <w:rPr/>
              <w:t> </w:t>
            </w:r>
          </w:p>
        </w:tc>
        <w:tc>
          <w:tcPr>
            <w:tcW w:w="618" w:type="dxa"/>
            <w:tcBorders/>
            <w:shd w:fill="auto" w:val="clear"/>
            <w:vAlign w:val="bottom"/>
          </w:tcPr>
          <w:p>
            <w:pPr>
              <w:pStyle w:val="TableContents"/>
              <w:spacing w:before="0" w:after="0"/>
              <w:ind w:left="0" w:right="0" w:hanging="0"/>
              <w:jc w:val="center"/>
              <w:rPr/>
            </w:pPr>
            <w:r>
              <w:rPr/>
              <w:t> </w:t>
            </w:r>
          </w:p>
        </w:tc>
      </w:tr>
      <w:tr>
        <w:trPr/>
        <w:tc>
          <w:tcPr>
            <w:tcW w:w="2202"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296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 of gain/(loss)</w:t>
            </w:r>
          </w:p>
        </w:tc>
        <w:tc>
          <w:tcPr>
            <w:tcW w:w="112" w:type="dxa"/>
            <w:tcBorders/>
            <w:shd w:fill="auto" w:val="clear"/>
            <w:vAlign w:val="bottom"/>
          </w:tcPr>
          <w:p>
            <w:pPr>
              <w:pStyle w:val="TableContents"/>
              <w:spacing w:before="0" w:after="0"/>
              <w:ind w:left="0" w:right="0" w:hanging="0"/>
              <w:jc w:val="center"/>
              <w:rPr/>
            </w:pPr>
            <w:r>
              <w:rPr/>
              <w:t> </w:t>
            </w:r>
          </w:p>
        </w:tc>
        <w:tc>
          <w:tcPr>
            <w:tcW w:w="83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Reclass </w:t>
            </w:r>
            <w:r>
              <w:rPr>
                <w:b/>
                <w:sz w:val="8"/>
              </w:rPr>
              <w:t>(1)</w:t>
            </w:r>
          </w:p>
        </w:tc>
        <w:tc>
          <w:tcPr>
            <w:tcW w:w="127" w:type="dxa"/>
            <w:tcBorders/>
            <w:shd w:fill="auto" w:val="clear"/>
            <w:vAlign w:val="bottom"/>
          </w:tcPr>
          <w:p>
            <w:pPr>
              <w:pStyle w:val="TableContents"/>
              <w:spacing w:before="0" w:after="0"/>
              <w:ind w:left="0" w:right="0" w:hanging="0"/>
              <w:jc w:val="center"/>
              <w:rPr/>
            </w:pPr>
            <w:r>
              <w:rPr/>
              <w:t> </w:t>
            </w:r>
          </w:p>
        </w:tc>
        <w:tc>
          <w:tcPr>
            <w:tcW w:w="9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Portion </w:t>
            </w:r>
            <w:r>
              <w:rPr>
                <w:b/>
                <w:sz w:val="8"/>
              </w:rPr>
              <w:t>(2)</w:t>
            </w:r>
          </w:p>
        </w:tc>
        <w:tc>
          <w:tcPr>
            <w:tcW w:w="127" w:type="dxa"/>
            <w:tcBorders/>
            <w:shd w:fill="auto" w:val="clear"/>
            <w:vAlign w:val="bottom"/>
          </w:tcPr>
          <w:p>
            <w:pPr>
              <w:pStyle w:val="TableContents"/>
              <w:spacing w:before="0" w:after="0"/>
              <w:ind w:left="0" w:right="0" w:hanging="0"/>
              <w:jc w:val="center"/>
              <w:rPr/>
            </w:pPr>
            <w:r>
              <w:rPr/>
              <w:t> </w:t>
            </w:r>
          </w:p>
        </w:tc>
        <w:tc>
          <w:tcPr>
            <w:tcW w:w="12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as a Hedge </w:t>
            </w:r>
            <w:r>
              <w:rPr>
                <w:b/>
                <w:sz w:val="8"/>
              </w:rPr>
              <w:t>(3)</w:t>
            </w:r>
          </w:p>
        </w:tc>
        <w:tc>
          <w:tcPr>
            <w:tcW w:w="127" w:type="dxa"/>
            <w:tcBorders/>
            <w:shd w:fill="auto" w:val="clear"/>
            <w:vAlign w:val="bottom"/>
          </w:tcPr>
          <w:p>
            <w:pPr>
              <w:pStyle w:val="TableContents"/>
              <w:spacing w:before="0" w:after="0"/>
              <w:ind w:left="0" w:right="0" w:hanging="0"/>
              <w:jc w:val="center"/>
              <w:rPr/>
            </w:pPr>
            <w:r>
              <w:rPr/>
              <w:t> </w:t>
            </w:r>
          </w:p>
        </w:tc>
        <w:tc>
          <w:tcPr>
            <w:tcW w:w="6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618" w:type="dxa"/>
            <w:tcBorders/>
            <w:shd w:fill="auto" w:val="clear"/>
            <w:vAlign w:val="bottom"/>
          </w:tcPr>
          <w:p>
            <w:pPr>
              <w:pStyle w:val="TableContents"/>
              <w:spacing w:before="0" w:after="0"/>
              <w:ind w:left="0" w:right="0" w:hanging="0"/>
              <w:jc w:val="center"/>
              <w:rPr/>
            </w:pPr>
            <w:r>
              <w:rPr/>
              <w:t> </w:t>
            </w:r>
          </w:p>
        </w:tc>
      </w:tr>
      <w:tr>
        <w:trPr/>
        <w:tc>
          <w:tcPr>
            <w:tcW w:w="2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81" w:type="dxa"/>
            <w:tcBorders/>
            <w:shd w:fill="CCEEFF" w:val="clear"/>
            <w:vAlign w:val="bottom"/>
          </w:tcPr>
          <w:p>
            <w:pPr>
              <w:pStyle w:val="TableContents"/>
              <w:spacing w:before="0" w:after="0"/>
              <w:ind w:left="0" w:right="0" w:hanging="0"/>
              <w:rPr/>
            </w:pPr>
            <w:r>
              <w:rPr/>
              <w:t> </w:t>
            </w:r>
          </w:p>
        </w:tc>
        <w:tc>
          <w:tcPr>
            <w:tcW w:w="29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12" w:type="dxa"/>
            <w:tcBorders/>
            <w:shd w:fill="CCEEFF" w:val="clear"/>
            <w:vAlign w:val="bottom"/>
          </w:tcPr>
          <w:p>
            <w:pPr>
              <w:pStyle w:val="TableContents"/>
              <w:spacing w:before="0" w:after="0"/>
              <w:ind w:left="0" w:right="0" w:hanging="0"/>
              <w:rPr/>
            </w:pPr>
            <w:r>
              <w:rPr/>
              <w:t> </w:t>
            </w:r>
          </w:p>
        </w:tc>
        <w:tc>
          <w:tcPr>
            <w:tcW w:w="2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27" w:type="dxa"/>
            <w:tcBorders/>
            <w:shd w:fill="CCEEFF" w:val="clear"/>
            <w:vAlign w:val="bottom"/>
          </w:tcPr>
          <w:p>
            <w:pPr>
              <w:pStyle w:val="TableContents"/>
              <w:spacing w:before="0" w:after="0"/>
              <w:ind w:left="0" w:right="0" w:hanging="0"/>
              <w:rPr/>
            </w:pPr>
            <w:r>
              <w:rPr/>
              <w:t> </w:t>
            </w:r>
          </w:p>
        </w:tc>
        <w:tc>
          <w:tcPr>
            <w:tcW w:w="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618" w:type="dxa"/>
            <w:tcBorders/>
            <w:shd w:fill="CCEEFF" w:val="clear"/>
            <w:vAlign w:val="bottom"/>
          </w:tcPr>
          <w:p>
            <w:pPr>
              <w:pStyle w:val="TableContents"/>
              <w:spacing w:before="0" w:after="0"/>
              <w:ind w:left="0" w:right="0" w:hanging="0"/>
              <w:rPr/>
            </w:pPr>
            <w:r>
              <w:rPr/>
              <w:t> </w:t>
            </w:r>
          </w:p>
        </w:tc>
      </w:tr>
      <w:tr>
        <w:trPr/>
        <w:tc>
          <w:tcPr>
            <w:tcW w:w="2202"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2964"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839"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961"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668" w:type="dxa"/>
            <w:gridSpan w:val="2"/>
            <w:tcBorders/>
            <w:shd w:fill="auto" w:val="clear"/>
            <w:vAlign w:val="bottom"/>
          </w:tcPr>
          <w:p>
            <w:pPr>
              <w:pStyle w:val="TableContents"/>
              <w:spacing w:before="0" w:after="0"/>
              <w:ind w:left="0" w:right="0" w:hanging="0"/>
              <w:jc w:val="right"/>
              <w:rPr/>
            </w:pPr>
            <w:r>
              <w:rPr/>
              <w:t> </w:t>
            </w:r>
          </w:p>
        </w:tc>
        <w:tc>
          <w:tcPr>
            <w:tcW w:w="618" w:type="dxa"/>
            <w:tcBorders/>
            <w:shd w:fill="auto" w:val="clear"/>
            <w:vAlign w:val="bottom"/>
          </w:tcPr>
          <w:p>
            <w:pPr>
              <w:pStyle w:val="TableContents"/>
              <w:spacing w:before="0" w:after="0"/>
              <w:ind w:left="0" w:right="0" w:hanging="0"/>
              <w:rPr/>
            </w:pPr>
            <w:r>
              <w:rPr/>
              <w:t> </w:t>
            </w:r>
          </w:p>
        </w:tc>
      </w:tr>
      <w:tr>
        <w:trPr/>
        <w:tc>
          <w:tcPr>
            <w:tcW w:w="2202"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pPr>
            <w:r>
              <w:rPr/>
              <w:t> </w:t>
            </w:r>
          </w:p>
        </w:tc>
        <w:tc>
          <w:tcPr>
            <w:tcW w:w="29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segment revenues</w:t>
            </w:r>
          </w:p>
        </w:tc>
        <w:tc>
          <w:tcPr>
            <w:tcW w:w="112" w:type="dxa"/>
            <w:tcBorders/>
            <w:shd w:fill="CCEEFF" w:val="clear"/>
            <w:vAlign w:val="bottom"/>
          </w:tcPr>
          <w:p>
            <w:pPr>
              <w:pStyle w:val="TableContents"/>
              <w:spacing w:before="0" w:after="0"/>
              <w:ind w:left="0" w:right="0" w:hanging="0"/>
              <w:rPr/>
            </w:pPr>
            <w:r>
              <w:rPr/>
              <w:t> </w:t>
            </w:r>
          </w:p>
        </w:tc>
        <w:tc>
          <w:tcPr>
            <w:tcW w:w="8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7" w:type="dxa"/>
            <w:tcBorders/>
            <w:shd w:fill="CCEEFF" w:val="clear"/>
            <w:vAlign w:val="bottom"/>
          </w:tcPr>
          <w:p>
            <w:pPr>
              <w:pStyle w:val="TableContents"/>
              <w:spacing w:before="0" w:after="0"/>
              <w:ind w:left="0" w:right="0" w:hanging="0"/>
              <w:rPr/>
            </w:pPr>
            <w:r>
              <w:rPr/>
              <w:t> </w:t>
            </w:r>
          </w:p>
        </w:tc>
        <w:tc>
          <w:tcPr>
            <w:tcW w:w="9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6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618" w:type="dxa"/>
            <w:tcBorders/>
            <w:shd w:fill="CCEEFF" w:val="clear"/>
            <w:vAlign w:val="bottom"/>
          </w:tcPr>
          <w:p>
            <w:pPr>
              <w:pStyle w:val="TableContents"/>
              <w:spacing w:before="0" w:after="0"/>
              <w:ind w:left="0" w:right="0" w:hanging="0"/>
              <w:rPr/>
            </w:pPr>
            <w:r>
              <w:rPr/>
              <w:t> </w:t>
            </w:r>
          </w:p>
        </w:tc>
      </w:tr>
      <w:tr>
        <w:trPr/>
        <w:tc>
          <w:tcPr>
            <w:tcW w:w="2202"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2964"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839"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961"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668" w:type="dxa"/>
            <w:gridSpan w:val="2"/>
            <w:tcBorders/>
            <w:shd w:fill="auto" w:val="clear"/>
            <w:vAlign w:val="bottom"/>
          </w:tcPr>
          <w:p>
            <w:pPr>
              <w:pStyle w:val="TableContents"/>
              <w:spacing w:before="0" w:after="0"/>
              <w:ind w:left="0" w:right="0" w:hanging="0"/>
              <w:jc w:val="right"/>
              <w:rPr/>
            </w:pPr>
            <w:r>
              <w:rPr/>
              <w:t> </w:t>
            </w:r>
          </w:p>
        </w:tc>
        <w:tc>
          <w:tcPr>
            <w:tcW w:w="618" w:type="dxa"/>
            <w:tcBorders/>
            <w:shd w:fill="auto" w:val="clear"/>
            <w:vAlign w:val="bottom"/>
          </w:tcPr>
          <w:p>
            <w:pPr>
              <w:pStyle w:val="TableContents"/>
              <w:spacing w:before="0" w:after="0"/>
              <w:ind w:left="0" w:right="0" w:hanging="0"/>
              <w:rPr/>
            </w:pPr>
            <w:r>
              <w:rPr/>
              <w:t> </w:t>
            </w:r>
          </w:p>
        </w:tc>
      </w:tr>
      <w:tr>
        <w:trPr/>
        <w:tc>
          <w:tcPr>
            <w:tcW w:w="2202"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pPr>
            <w:r>
              <w:rPr/>
              <w:t> </w:t>
            </w:r>
          </w:p>
        </w:tc>
        <w:tc>
          <w:tcPr>
            <w:tcW w:w="29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112" w:type="dxa"/>
            <w:tcBorders/>
            <w:shd w:fill="CCEEFF" w:val="clear"/>
            <w:vAlign w:val="bottom"/>
          </w:tcPr>
          <w:p>
            <w:pPr>
              <w:pStyle w:val="TableContents"/>
              <w:spacing w:before="0" w:after="0"/>
              <w:ind w:left="0" w:right="0" w:hanging="0"/>
              <w:rPr/>
            </w:pPr>
            <w:r>
              <w:rPr/>
              <w:t> </w:t>
            </w:r>
          </w:p>
        </w:tc>
        <w:tc>
          <w:tcPr>
            <w:tcW w:w="8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7" w:type="dxa"/>
            <w:tcBorders/>
            <w:shd w:fill="CCEEFF" w:val="clear"/>
            <w:vAlign w:val="bottom"/>
          </w:tcPr>
          <w:p>
            <w:pPr>
              <w:pStyle w:val="TableContents"/>
              <w:spacing w:before="0" w:after="0"/>
              <w:ind w:left="0" w:right="0" w:hanging="0"/>
              <w:rPr/>
            </w:pPr>
            <w:r>
              <w:rPr/>
              <w:t> </w:t>
            </w:r>
          </w:p>
        </w:tc>
        <w:tc>
          <w:tcPr>
            <w:tcW w:w="6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18" w:type="dxa"/>
            <w:tcBorders/>
            <w:shd w:fill="CCEEFF" w:val="clear"/>
            <w:vAlign w:val="bottom"/>
          </w:tcPr>
          <w:p>
            <w:pPr>
              <w:pStyle w:val="TableContents"/>
              <w:spacing w:before="0" w:after="0"/>
              <w:ind w:left="0" w:right="0" w:hanging="0"/>
              <w:rPr/>
            </w:pPr>
            <w:r>
              <w:rPr/>
              <w:t> </w:t>
            </w:r>
          </w:p>
        </w:tc>
      </w:tr>
      <w:tr>
        <w:trPr/>
        <w:tc>
          <w:tcPr>
            <w:tcW w:w="2202"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2964"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839"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961"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668" w:type="dxa"/>
            <w:gridSpan w:val="2"/>
            <w:tcBorders/>
            <w:shd w:fill="auto" w:val="clear"/>
            <w:vAlign w:val="bottom"/>
          </w:tcPr>
          <w:p>
            <w:pPr>
              <w:pStyle w:val="TableContents"/>
              <w:spacing w:before="0" w:after="0"/>
              <w:ind w:left="0" w:right="0" w:hanging="0"/>
              <w:jc w:val="right"/>
              <w:rPr/>
            </w:pPr>
            <w:r>
              <w:rPr/>
              <w:t> </w:t>
            </w:r>
          </w:p>
        </w:tc>
        <w:tc>
          <w:tcPr>
            <w:tcW w:w="618" w:type="dxa"/>
            <w:tcBorders/>
            <w:shd w:fill="auto" w:val="clear"/>
            <w:vAlign w:val="bottom"/>
          </w:tcPr>
          <w:p>
            <w:pPr>
              <w:pStyle w:val="TableContents"/>
              <w:spacing w:before="0" w:after="0"/>
              <w:ind w:left="0" w:right="0" w:hanging="0"/>
              <w:rPr/>
            </w:pPr>
            <w:r>
              <w:rPr/>
              <w:t> </w:t>
            </w:r>
          </w:p>
        </w:tc>
      </w:tr>
      <w:tr>
        <w:trPr/>
        <w:tc>
          <w:tcPr>
            <w:tcW w:w="2202"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pPr>
            <w:r>
              <w:rPr/>
              <w:t> </w:t>
            </w:r>
          </w:p>
        </w:tc>
        <w:tc>
          <w:tcPr>
            <w:tcW w:w="29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112" w:type="dxa"/>
            <w:tcBorders/>
            <w:shd w:fill="CCEEFF" w:val="clear"/>
            <w:vAlign w:val="bottom"/>
          </w:tcPr>
          <w:p>
            <w:pPr>
              <w:pStyle w:val="TableContents"/>
              <w:spacing w:before="0" w:after="0"/>
              <w:ind w:left="0" w:right="0" w:hanging="0"/>
              <w:rPr/>
            </w:pPr>
            <w:r>
              <w:rPr/>
              <w:t> </w:t>
            </w:r>
          </w:p>
        </w:tc>
        <w:tc>
          <w:tcPr>
            <w:tcW w:w="8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7" w:type="dxa"/>
            <w:tcBorders/>
            <w:shd w:fill="CCEEFF" w:val="clear"/>
            <w:vAlign w:val="bottom"/>
          </w:tcPr>
          <w:p>
            <w:pPr>
              <w:pStyle w:val="TableContents"/>
              <w:spacing w:before="0" w:after="0"/>
              <w:ind w:left="0" w:right="0" w:hanging="0"/>
              <w:rPr/>
            </w:pPr>
            <w:r>
              <w:rPr/>
              <w:t> </w:t>
            </w:r>
          </w:p>
        </w:tc>
        <w:tc>
          <w:tcPr>
            <w:tcW w:w="9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6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202"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2964"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839"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961"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668" w:type="dxa"/>
            <w:gridSpan w:val="2"/>
            <w:tcBorders/>
            <w:shd w:fill="auto" w:val="clear"/>
            <w:vAlign w:val="bottom"/>
          </w:tcPr>
          <w:p>
            <w:pPr>
              <w:pStyle w:val="TableContents"/>
              <w:spacing w:before="0" w:after="0"/>
              <w:ind w:left="0" w:right="0" w:hanging="0"/>
              <w:jc w:val="right"/>
              <w:rPr/>
            </w:pPr>
            <w:r>
              <w:rPr/>
              <w:t> </w:t>
            </w:r>
          </w:p>
        </w:tc>
        <w:tc>
          <w:tcPr>
            <w:tcW w:w="618" w:type="dxa"/>
            <w:tcBorders/>
            <w:shd w:fill="auto" w:val="clear"/>
            <w:vAlign w:val="bottom"/>
          </w:tcPr>
          <w:p>
            <w:pPr>
              <w:pStyle w:val="TableContents"/>
              <w:spacing w:before="0" w:after="0"/>
              <w:ind w:left="0" w:right="0" w:hanging="0"/>
              <w:rPr/>
            </w:pPr>
            <w:r>
              <w:rPr/>
              <w:t> </w:t>
            </w:r>
          </w:p>
        </w:tc>
      </w:tr>
      <w:tr>
        <w:trPr/>
        <w:tc>
          <w:tcPr>
            <w:tcW w:w="2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81" w:type="dxa"/>
            <w:tcBorders/>
            <w:shd w:fill="CCEEFF" w:val="clear"/>
            <w:vAlign w:val="bottom"/>
          </w:tcPr>
          <w:p>
            <w:pPr>
              <w:pStyle w:val="TableContents"/>
              <w:spacing w:before="0" w:after="0"/>
              <w:ind w:left="0" w:right="0" w:hanging="0"/>
              <w:rPr/>
            </w:pPr>
            <w:r>
              <w:rPr/>
              <w:t> </w:t>
            </w:r>
          </w:p>
        </w:tc>
        <w:tc>
          <w:tcPr>
            <w:tcW w:w="29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12" w:type="dxa"/>
            <w:tcBorders/>
            <w:shd w:fill="CCEEFF" w:val="clear"/>
            <w:vAlign w:val="bottom"/>
          </w:tcPr>
          <w:p>
            <w:pPr>
              <w:pStyle w:val="TableContents"/>
              <w:spacing w:before="0" w:after="0"/>
              <w:ind w:left="0" w:right="0" w:hanging="0"/>
              <w:rPr/>
            </w:pPr>
            <w:r>
              <w:rPr/>
              <w:t> </w:t>
            </w:r>
          </w:p>
        </w:tc>
        <w:tc>
          <w:tcPr>
            <w:tcW w:w="8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9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6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18" w:type="dxa"/>
            <w:tcBorders/>
            <w:shd w:fill="CCEEFF" w:val="clear"/>
            <w:vAlign w:val="bottom"/>
          </w:tcPr>
          <w:p>
            <w:pPr>
              <w:pStyle w:val="TableContents"/>
              <w:spacing w:before="0" w:after="0"/>
              <w:ind w:left="0" w:right="0" w:hanging="0"/>
              <w:rPr/>
            </w:pPr>
            <w:r>
              <w:rPr/>
              <w:t> </w:t>
            </w:r>
          </w:p>
        </w:tc>
      </w:tr>
      <w:tr>
        <w:trPr/>
        <w:tc>
          <w:tcPr>
            <w:tcW w:w="2202"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2964"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839"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961"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668" w:type="dxa"/>
            <w:gridSpan w:val="2"/>
            <w:tcBorders/>
            <w:shd w:fill="auto" w:val="clear"/>
            <w:vAlign w:val="bottom"/>
          </w:tcPr>
          <w:p>
            <w:pPr>
              <w:pStyle w:val="TableContents"/>
              <w:spacing w:before="0" w:after="0"/>
              <w:ind w:left="0" w:right="0" w:hanging="0"/>
              <w:jc w:val="right"/>
              <w:rPr/>
            </w:pPr>
            <w:r>
              <w:rPr/>
              <w:t> </w:t>
            </w:r>
          </w:p>
        </w:tc>
        <w:tc>
          <w:tcPr>
            <w:tcW w:w="618" w:type="dxa"/>
            <w:tcBorders/>
            <w:shd w:fill="auto" w:val="clear"/>
            <w:vAlign w:val="bottom"/>
          </w:tcPr>
          <w:p>
            <w:pPr>
              <w:pStyle w:val="TableContents"/>
              <w:spacing w:before="0" w:after="0"/>
              <w:ind w:left="0" w:right="0" w:hanging="0"/>
              <w:rPr/>
            </w:pPr>
            <w:r>
              <w:rPr/>
              <w:t> </w:t>
            </w:r>
          </w:p>
        </w:tc>
      </w:tr>
      <w:tr>
        <w:trPr/>
        <w:tc>
          <w:tcPr>
            <w:tcW w:w="2202"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pPr>
            <w:r>
              <w:rPr/>
              <w:t> </w:t>
            </w:r>
          </w:p>
        </w:tc>
        <w:tc>
          <w:tcPr>
            <w:tcW w:w="29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12" w:type="dxa"/>
            <w:tcBorders/>
            <w:shd w:fill="CCEEFF" w:val="clear"/>
            <w:vAlign w:val="bottom"/>
          </w:tcPr>
          <w:p>
            <w:pPr>
              <w:pStyle w:val="TableContents"/>
              <w:spacing w:before="0" w:after="0"/>
              <w:ind w:left="0" w:right="0" w:hanging="0"/>
              <w:rPr/>
            </w:pPr>
            <w:r>
              <w:rPr/>
              <w:t> </w:t>
            </w:r>
          </w:p>
        </w:tc>
        <w:tc>
          <w:tcPr>
            <w:tcW w:w="8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9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7" w:type="dxa"/>
            <w:tcBorders/>
            <w:shd w:fill="CCEEFF" w:val="clear"/>
            <w:vAlign w:val="bottom"/>
          </w:tcPr>
          <w:p>
            <w:pPr>
              <w:pStyle w:val="TableContents"/>
              <w:spacing w:before="0" w:after="0"/>
              <w:ind w:left="0" w:right="0" w:hanging="0"/>
              <w:rPr/>
            </w:pPr>
            <w:r>
              <w:rPr/>
              <w:t> </w:t>
            </w:r>
          </w:p>
        </w:tc>
        <w:tc>
          <w:tcPr>
            <w:tcW w:w="6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618" w:type="dxa"/>
            <w:tcBorders/>
            <w:shd w:fill="CCEEFF" w:val="clear"/>
            <w:vAlign w:val="bottom"/>
          </w:tcPr>
          <w:p>
            <w:pPr>
              <w:pStyle w:val="TableContents"/>
              <w:spacing w:before="0" w:after="0"/>
              <w:ind w:left="0" w:right="0" w:hanging="0"/>
              <w:rPr/>
            </w:pPr>
            <w:r>
              <w:rPr/>
              <w:t> </w:t>
            </w:r>
          </w:p>
        </w:tc>
      </w:tr>
      <w:tr>
        <w:trPr/>
        <w:tc>
          <w:tcPr>
            <w:tcW w:w="2202"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2964"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839"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961"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668" w:type="dxa"/>
            <w:gridSpan w:val="2"/>
            <w:tcBorders/>
            <w:shd w:fill="auto" w:val="clear"/>
            <w:vAlign w:val="bottom"/>
          </w:tcPr>
          <w:p>
            <w:pPr>
              <w:pStyle w:val="TableContents"/>
              <w:spacing w:before="0" w:after="0"/>
              <w:ind w:left="0" w:right="0" w:hanging="0"/>
              <w:jc w:val="right"/>
              <w:rPr/>
            </w:pPr>
            <w:r>
              <w:rPr/>
              <w:t> </w:t>
            </w:r>
          </w:p>
        </w:tc>
        <w:tc>
          <w:tcPr>
            <w:tcW w:w="618" w:type="dxa"/>
            <w:tcBorders/>
            <w:shd w:fill="auto" w:val="clear"/>
            <w:vAlign w:val="bottom"/>
          </w:tcPr>
          <w:p>
            <w:pPr>
              <w:pStyle w:val="TableContents"/>
              <w:spacing w:before="0" w:after="0"/>
              <w:ind w:left="0" w:right="0" w:hanging="0"/>
              <w:rPr/>
            </w:pPr>
            <w:r>
              <w:rPr/>
              <w:t> </w:t>
            </w:r>
          </w:p>
        </w:tc>
      </w:tr>
      <w:tr>
        <w:trPr/>
        <w:tc>
          <w:tcPr>
            <w:tcW w:w="2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exchange derivatives</w:t>
            </w:r>
          </w:p>
        </w:tc>
        <w:tc>
          <w:tcPr>
            <w:tcW w:w="181" w:type="dxa"/>
            <w:tcBorders/>
            <w:shd w:fill="CCEEFF" w:val="clear"/>
            <w:vAlign w:val="bottom"/>
          </w:tcPr>
          <w:p>
            <w:pPr>
              <w:pStyle w:val="TableContents"/>
              <w:spacing w:before="0" w:after="0"/>
              <w:ind w:left="0" w:right="0" w:hanging="0"/>
              <w:rPr/>
            </w:pPr>
            <w:r>
              <w:rPr/>
              <w:t> </w:t>
            </w:r>
          </w:p>
        </w:tc>
        <w:tc>
          <w:tcPr>
            <w:tcW w:w="29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12" w:type="dxa"/>
            <w:tcBorders/>
            <w:shd w:fill="CCEEFF" w:val="clear"/>
            <w:vAlign w:val="bottom"/>
          </w:tcPr>
          <w:p>
            <w:pPr>
              <w:pStyle w:val="TableContents"/>
              <w:spacing w:before="0" w:after="0"/>
              <w:ind w:left="0" w:right="0" w:hanging="0"/>
              <w:rPr/>
            </w:pPr>
            <w:r>
              <w:rPr/>
              <w:t> </w:t>
            </w:r>
          </w:p>
        </w:tc>
        <w:tc>
          <w:tcPr>
            <w:tcW w:w="8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9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6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18" w:type="dxa"/>
            <w:tcBorders/>
            <w:shd w:fill="CCEEFF" w:val="clear"/>
            <w:vAlign w:val="bottom"/>
          </w:tcPr>
          <w:p>
            <w:pPr>
              <w:pStyle w:val="TableContents"/>
              <w:spacing w:before="0" w:after="0"/>
              <w:ind w:left="0" w:right="0" w:hanging="0"/>
              <w:rPr/>
            </w:pPr>
            <w:r>
              <w:rPr/>
              <w:t> </w:t>
            </w:r>
          </w:p>
        </w:tc>
      </w:tr>
      <w:tr>
        <w:trPr/>
        <w:tc>
          <w:tcPr>
            <w:tcW w:w="2202"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2964"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839"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961"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668" w:type="dxa"/>
            <w:gridSpan w:val="2"/>
            <w:tcBorders/>
            <w:shd w:fill="auto" w:val="clear"/>
            <w:vAlign w:val="bottom"/>
          </w:tcPr>
          <w:p>
            <w:pPr>
              <w:pStyle w:val="TableContents"/>
              <w:spacing w:before="0" w:after="0"/>
              <w:ind w:left="0" w:right="0" w:hanging="0"/>
              <w:jc w:val="right"/>
              <w:rPr/>
            </w:pPr>
            <w:r>
              <w:rPr/>
              <w:t> </w:t>
            </w:r>
          </w:p>
        </w:tc>
        <w:tc>
          <w:tcPr>
            <w:tcW w:w="618" w:type="dxa"/>
            <w:tcBorders/>
            <w:shd w:fill="auto" w:val="clear"/>
            <w:vAlign w:val="bottom"/>
          </w:tcPr>
          <w:p>
            <w:pPr>
              <w:pStyle w:val="TableContents"/>
              <w:spacing w:before="0" w:after="0"/>
              <w:ind w:left="0" w:right="0" w:hanging="0"/>
              <w:rPr/>
            </w:pPr>
            <w:r>
              <w:rPr/>
              <w:t> </w:t>
            </w:r>
          </w:p>
        </w:tc>
      </w:tr>
      <w:tr>
        <w:trPr/>
        <w:tc>
          <w:tcPr>
            <w:tcW w:w="2202"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pPr>
            <w:r>
              <w:rPr/>
              <w:t> </w:t>
            </w:r>
          </w:p>
        </w:tc>
        <w:tc>
          <w:tcPr>
            <w:tcW w:w="29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112" w:type="dxa"/>
            <w:tcBorders/>
            <w:shd w:fill="CCEEFF" w:val="clear"/>
            <w:vAlign w:val="bottom"/>
          </w:tcPr>
          <w:p>
            <w:pPr>
              <w:pStyle w:val="TableContents"/>
              <w:spacing w:before="0" w:after="0"/>
              <w:ind w:left="0" w:right="0" w:hanging="0"/>
              <w:rPr/>
            </w:pPr>
            <w:r>
              <w:rPr/>
              <w:t> </w:t>
            </w:r>
          </w:p>
        </w:tc>
        <w:tc>
          <w:tcPr>
            <w:tcW w:w="8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9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7" w:type="dxa"/>
            <w:tcBorders/>
            <w:shd w:fill="CCEEFF" w:val="clear"/>
            <w:vAlign w:val="bottom"/>
          </w:tcPr>
          <w:p>
            <w:pPr>
              <w:pStyle w:val="TableContents"/>
              <w:spacing w:before="0" w:after="0"/>
              <w:ind w:left="0" w:right="0" w:hanging="0"/>
              <w:rPr/>
            </w:pPr>
            <w:r>
              <w:rPr/>
              <w:t> </w:t>
            </w:r>
          </w:p>
        </w:tc>
        <w:tc>
          <w:tcPr>
            <w:tcW w:w="6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618" w:type="dxa"/>
            <w:tcBorders/>
            <w:shd w:fill="CCEEFF" w:val="clear"/>
            <w:vAlign w:val="bottom"/>
          </w:tcPr>
          <w:p>
            <w:pPr>
              <w:pStyle w:val="TableContents"/>
              <w:spacing w:before="0" w:after="0"/>
              <w:ind w:left="0" w:right="0" w:hanging="0"/>
              <w:rPr/>
            </w:pPr>
            <w:r>
              <w:rPr/>
              <w:t> </w:t>
            </w:r>
          </w:p>
        </w:tc>
      </w:tr>
      <w:tr>
        <w:trPr/>
        <w:tc>
          <w:tcPr>
            <w:tcW w:w="2202"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2964"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839"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961"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668" w:type="dxa"/>
            <w:gridSpan w:val="2"/>
            <w:tcBorders/>
            <w:shd w:fill="auto" w:val="clear"/>
            <w:vAlign w:val="bottom"/>
          </w:tcPr>
          <w:p>
            <w:pPr>
              <w:pStyle w:val="TableContents"/>
              <w:spacing w:before="0" w:after="0"/>
              <w:ind w:left="0" w:right="0" w:hanging="0"/>
              <w:jc w:val="right"/>
              <w:rPr/>
            </w:pPr>
            <w:r>
              <w:rPr/>
              <w:t> </w:t>
            </w:r>
          </w:p>
        </w:tc>
        <w:tc>
          <w:tcPr>
            <w:tcW w:w="618" w:type="dxa"/>
            <w:tcBorders/>
            <w:shd w:fill="auto" w:val="clear"/>
            <w:vAlign w:val="bottom"/>
          </w:tcPr>
          <w:p>
            <w:pPr>
              <w:pStyle w:val="TableContents"/>
              <w:spacing w:before="0" w:after="0"/>
              <w:ind w:left="0" w:right="0" w:hanging="0"/>
              <w:rPr/>
            </w:pPr>
            <w:r>
              <w:rPr/>
              <w:t> </w:t>
            </w:r>
          </w:p>
        </w:tc>
      </w:tr>
      <w:tr>
        <w:trPr/>
        <w:tc>
          <w:tcPr>
            <w:tcW w:w="2202"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pPr>
            <w:r>
              <w:rPr/>
              <w:t> </w:t>
            </w:r>
          </w:p>
        </w:tc>
        <w:tc>
          <w:tcPr>
            <w:tcW w:w="29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12" w:type="dxa"/>
            <w:tcBorders/>
            <w:shd w:fill="CCEEFF" w:val="clear"/>
            <w:vAlign w:val="bottom"/>
          </w:tcPr>
          <w:p>
            <w:pPr>
              <w:pStyle w:val="TableContents"/>
              <w:spacing w:before="0" w:after="0"/>
              <w:ind w:left="0" w:right="0" w:hanging="0"/>
              <w:rPr/>
            </w:pPr>
            <w:r>
              <w:rPr/>
              <w:t> </w:t>
            </w:r>
          </w:p>
        </w:tc>
        <w:tc>
          <w:tcPr>
            <w:tcW w:w="8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9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12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6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202"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2964"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839"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961"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668" w:type="dxa"/>
            <w:gridSpan w:val="2"/>
            <w:tcBorders/>
            <w:shd w:fill="auto" w:val="clear"/>
            <w:vAlign w:val="bottom"/>
          </w:tcPr>
          <w:p>
            <w:pPr>
              <w:pStyle w:val="TableContents"/>
              <w:spacing w:before="0" w:after="0"/>
              <w:ind w:left="0" w:right="0" w:hanging="0"/>
              <w:jc w:val="right"/>
              <w:rPr/>
            </w:pPr>
            <w:r>
              <w:rPr/>
              <w:t> </w:t>
            </w:r>
          </w:p>
        </w:tc>
        <w:tc>
          <w:tcPr>
            <w:tcW w:w="618" w:type="dxa"/>
            <w:tcBorders/>
            <w:shd w:fill="auto" w:val="clear"/>
            <w:vAlign w:val="bottom"/>
          </w:tcPr>
          <w:p>
            <w:pPr>
              <w:pStyle w:val="TableContents"/>
              <w:spacing w:before="0" w:after="0"/>
              <w:ind w:left="0" w:right="0" w:hanging="0"/>
              <w:rPr/>
            </w:pPr>
            <w:r>
              <w:rPr/>
              <w:t> </w:t>
            </w:r>
          </w:p>
        </w:tc>
      </w:tr>
      <w:tr>
        <w:trPr/>
        <w:tc>
          <w:tcPr>
            <w:tcW w:w="5347" w:type="dxa"/>
            <w:gridSpan w:val="3"/>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 Gain/(Loss) on Derivatives Recognized in Income</w:t>
            </w:r>
          </w:p>
        </w:tc>
        <w:tc>
          <w:tcPr>
            <w:tcW w:w="112" w:type="dxa"/>
            <w:tcBorders/>
            <w:shd w:fill="CCEEFF" w:val="clear"/>
            <w:vAlign w:val="bottom"/>
          </w:tcPr>
          <w:p>
            <w:pPr>
              <w:pStyle w:val="TableContents"/>
              <w:spacing w:before="0" w:after="0"/>
              <w:ind w:left="0" w:right="0" w:hanging="0"/>
              <w:rPr/>
            </w:pPr>
            <w:r>
              <w:rPr/>
              <w:t> </w:t>
            </w:r>
          </w:p>
        </w:tc>
        <w:tc>
          <w:tcPr>
            <w:tcW w:w="2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0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(14</w:t>
            </w:r>
          </w:p>
        </w:tc>
        <w:tc>
          <w:tcPr>
            <w:tcW w:w="12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2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0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w:t>
            </w:r>
          </w:p>
        </w:tc>
        <w:tc>
          <w:tcPr>
            <w:tcW w:w="12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2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02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w:t>
            </w:r>
          </w:p>
        </w:tc>
        <w:tc>
          <w:tcPr>
            <w:tcW w:w="127" w:type="dxa"/>
            <w:tcBorders/>
            <w:shd w:fill="CCEEFF" w:val="clear"/>
            <w:vAlign w:val="bottom"/>
          </w:tcPr>
          <w:p>
            <w:pPr>
              <w:pStyle w:val="TableContents"/>
              <w:spacing w:before="0" w:after="0"/>
              <w:ind w:left="0" w:right="0" w:hanging="0"/>
              <w:rPr/>
            </w:pPr>
            <w:r>
              <w:rPr/>
              <w:t> </w:t>
            </w:r>
          </w:p>
        </w:tc>
        <w:tc>
          <w:tcPr>
            <w:tcW w:w="16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4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w:t>
            </w:r>
          </w:p>
        </w:tc>
        <w:tc>
          <w:tcPr>
            <w:tcW w:w="618"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Amounts represent derivative gains and losses that were reclassed from AOCI to earnings during the period to coincide with earnings impact of the respective hedged transaction.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Amounts represent the ineffective portion of the fair value of our unrealized cash flow hedges that were recognized in earnings during the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Includes realized and  unrealized gains or losses for derivatives not designated for hedge accounting during the period.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bookmarkStart w:id="37" w:name="PB_18_164629_5796"/>
      <w:bookmarkEnd w:id="3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 summary of the impact of our derivative activities recognized in earnings for the three months ended March 31, 2009 is as follows (in millions):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Three Months Ended March 31, 2009:</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192"/>
        <w:gridCol w:w="180"/>
        <w:gridCol w:w="2950"/>
        <w:gridCol w:w="112"/>
        <w:gridCol w:w="213"/>
        <w:gridCol w:w="624"/>
        <w:gridCol w:w="127"/>
        <w:gridCol w:w="258"/>
        <w:gridCol w:w="702"/>
        <w:gridCol w:w="127"/>
        <w:gridCol w:w="225"/>
        <w:gridCol w:w="1051"/>
        <w:gridCol w:w="127"/>
        <w:gridCol w:w="149"/>
        <w:gridCol w:w="556"/>
        <w:gridCol w:w="612"/>
      </w:tblGrid>
      <w:tr>
        <w:trPr/>
        <w:tc>
          <w:tcPr>
            <w:tcW w:w="2192"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2950"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jc w:val="center"/>
              <w:rPr/>
            </w:pPr>
            <w:r>
              <w:rPr/>
              <w:t> </w:t>
            </w:r>
          </w:p>
        </w:tc>
        <w:tc>
          <w:tcPr>
            <w:tcW w:w="192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 Cash Flow</w:t>
            </w:r>
          </w:p>
        </w:tc>
        <w:tc>
          <w:tcPr>
            <w:tcW w:w="127" w:type="dxa"/>
            <w:tcBorders/>
            <w:shd w:fill="auto" w:val="clear"/>
            <w:vAlign w:val="bottom"/>
          </w:tcPr>
          <w:p>
            <w:pPr>
              <w:pStyle w:val="TableContents"/>
              <w:spacing w:before="0" w:after="0"/>
              <w:ind w:left="0" w:right="0" w:hanging="0"/>
              <w:jc w:val="center"/>
              <w:rPr/>
            </w:pPr>
            <w:r>
              <w:rPr/>
              <w:t> </w:t>
            </w:r>
          </w:p>
        </w:tc>
        <w:tc>
          <w:tcPr>
            <w:tcW w:w="1276" w:type="dxa"/>
            <w:gridSpan w:val="2"/>
            <w:tcBorders/>
            <w:shd w:fill="auto" w:val="clear"/>
            <w:vAlign w:val="bottom"/>
          </w:tcPr>
          <w:p>
            <w:pPr>
              <w:pStyle w:val="TableContents"/>
              <w:spacing w:before="0" w:after="0"/>
              <w:ind w:left="0" w:right="0" w:hanging="0"/>
              <w:jc w:val="center"/>
              <w:rPr/>
            </w:pPr>
            <w:r>
              <w:rPr/>
              <w:t> </w:t>
            </w:r>
          </w:p>
        </w:tc>
        <w:tc>
          <w:tcPr>
            <w:tcW w:w="127" w:type="dxa"/>
            <w:tcBorders/>
            <w:shd w:fill="auto" w:val="clear"/>
            <w:vAlign w:val="bottom"/>
          </w:tcPr>
          <w:p>
            <w:pPr>
              <w:pStyle w:val="TableContents"/>
              <w:spacing w:before="0" w:after="0"/>
              <w:ind w:left="0" w:right="0" w:hanging="0"/>
              <w:jc w:val="center"/>
              <w:rPr/>
            </w:pPr>
            <w:r>
              <w:rPr/>
              <w:t> </w:t>
            </w:r>
          </w:p>
        </w:tc>
        <w:tc>
          <w:tcPr>
            <w:tcW w:w="705" w:type="dxa"/>
            <w:gridSpan w:val="2"/>
            <w:tcBorders/>
            <w:shd w:fill="auto" w:val="clear"/>
            <w:vAlign w:val="bottom"/>
          </w:tcPr>
          <w:p>
            <w:pPr>
              <w:pStyle w:val="TableContents"/>
              <w:spacing w:before="0" w:after="0"/>
              <w:ind w:left="0" w:right="0" w:hanging="0"/>
              <w:jc w:val="center"/>
              <w:rPr/>
            </w:pPr>
            <w:r>
              <w:rPr/>
              <w:t> </w:t>
            </w:r>
          </w:p>
        </w:tc>
        <w:tc>
          <w:tcPr>
            <w:tcW w:w="612" w:type="dxa"/>
            <w:tcBorders/>
            <w:shd w:fill="auto" w:val="clear"/>
            <w:vAlign w:val="bottom"/>
          </w:tcPr>
          <w:p>
            <w:pPr>
              <w:pStyle w:val="TableContents"/>
              <w:spacing w:before="0" w:after="0"/>
              <w:ind w:left="0" w:right="0" w:hanging="0"/>
              <w:jc w:val="center"/>
              <w:rPr/>
            </w:pPr>
            <w:r>
              <w:rPr/>
              <w:t> </w:t>
            </w:r>
          </w:p>
        </w:tc>
      </w:tr>
      <w:tr>
        <w:trPr/>
        <w:tc>
          <w:tcPr>
            <w:tcW w:w="2192"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2950"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jc w:val="center"/>
              <w:rPr/>
            </w:pPr>
            <w:r>
              <w:rPr/>
              <w:t> </w:t>
            </w:r>
          </w:p>
        </w:tc>
        <w:tc>
          <w:tcPr>
            <w:tcW w:w="192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Hedging Relationships</w:t>
            </w:r>
          </w:p>
        </w:tc>
        <w:tc>
          <w:tcPr>
            <w:tcW w:w="127" w:type="dxa"/>
            <w:tcBorders/>
            <w:shd w:fill="auto" w:val="clear"/>
            <w:vAlign w:val="bottom"/>
          </w:tcPr>
          <w:p>
            <w:pPr>
              <w:pStyle w:val="TableContents"/>
              <w:spacing w:before="0" w:after="0"/>
              <w:ind w:left="0" w:right="0" w:hanging="0"/>
              <w:jc w:val="center"/>
              <w:rPr/>
            </w:pPr>
            <w:r>
              <w:rPr/>
              <w:t> </w:t>
            </w:r>
          </w:p>
        </w:tc>
        <w:tc>
          <w:tcPr>
            <w:tcW w:w="127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Not</w:t>
            </w:r>
          </w:p>
        </w:tc>
        <w:tc>
          <w:tcPr>
            <w:tcW w:w="127" w:type="dxa"/>
            <w:tcBorders/>
            <w:shd w:fill="auto" w:val="clear"/>
            <w:vAlign w:val="bottom"/>
          </w:tcPr>
          <w:p>
            <w:pPr>
              <w:pStyle w:val="TableContents"/>
              <w:spacing w:before="0" w:after="0"/>
              <w:ind w:left="0" w:right="0" w:hanging="0"/>
              <w:jc w:val="center"/>
              <w:rPr/>
            </w:pPr>
            <w:r>
              <w:rPr/>
              <w:t> </w:t>
            </w:r>
          </w:p>
        </w:tc>
        <w:tc>
          <w:tcPr>
            <w:tcW w:w="705" w:type="dxa"/>
            <w:gridSpan w:val="2"/>
            <w:tcBorders/>
            <w:shd w:fill="auto" w:val="clear"/>
            <w:vAlign w:val="bottom"/>
          </w:tcPr>
          <w:p>
            <w:pPr>
              <w:pStyle w:val="TableContents"/>
              <w:spacing w:before="0" w:after="0"/>
              <w:ind w:left="0" w:right="0" w:hanging="0"/>
              <w:jc w:val="center"/>
              <w:rPr/>
            </w:pPr>
            <w:r>
              <w:rPr/>
              <w:t> </w:t>
            </w:r>
          </w:p>
        </w:tc>
        <w:tc>
          <w:tcPr>
            <w:tcW w:w="612" w:type="dxa"/>
            <w:tcBorders/>
            <w:shd w:fill="auto" w:val="clear"/>
            <w:vAlign w:val="bottom"/>
          </w:tcPr>
          <w:p>
            <w:pPr>
              <w:pStyle w:val="TableContents"/>
              <w:spacing w:before="0" w:after="0"/>
              <w:ind w:left="0" w:right="0" w:hanging="0"/>
              <w:jc w:val="center"/>
              <w:rPr/>
            </w:pPr>
            <w:r>
              <w:rPr/>
              <w:t> </w:t>
            </w:r>
          </w:p>
        </w:tc>
      </w:tr>
      <w:tr>
        <w:trPr/>
        <w:tc>
          <w:tcPr>
            <w:tcW w:w="2192"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2950"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jc w:val="center"/>
              <w:rPr/>
            </w:pPr>
            <w:r>
              <w:rPr/>
              <w:t> </w:t>
            </w:r>
          </w:p>
        </w:tc>
        <w:tc>
          <w:tcPr>
            <w:tcW w:w="83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AOCI</w:t>
            </w:r>
          </w:p>
        </w:tc>
        <w:tc>
          <w:tcPr>
            <w:tcW w:w="12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6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Ineffective</w:t>
            </w:r>
          </w:p>
        </w:tc>
        <w:tc>
          <w:tcPr>
            <w:tcW w:w="127" w:type="dxa"/>
            <w:tcBorders/>
            <w:shd w:fill="auto" w:val="clear"/>
            <w:vAlign w:val="bottom"/>
          </w:tcPr>
          <w:p>
            <w:pPr>
              <w:pStyle w:val="TableContents"/>
              <w:spacing w:before="0" w:after="0"/>
              <w:ind w:left="0" w:right="0" w:hanging="0"/>
              <w:jc w:val="center"/>
              <w:rPr/>
            </w:pPr>
            <w:r>
              <w:rPr/>
              <w:t> </w:t>
            </w:r>
          </w:p>
        </w:tc>
        <w:tc>
          <w:tcPr>
            <w:tcW w:w="127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Designated</w:t>
            </w:r>
          </w:p>
        </w:tc>
        <w:tc>
          <w:tcPr>
            <w:tcW w:w="127" w:type="dxa"/>
            <w:tcBorders/>
            <w:shd w:fill="auto" w:val="clear"/>
            <w:vAlign w:val="bottom"/>
          </w:tcPr>
          <w:p>
            <w:pPr>
              <w:pStyle w:val="TableContents"/>
              <w:spacing w:before="0" w:after="0"/>
              <w:ind w:left="0" w:right="0" w:hanging="0"/>
              <w:jc w:val="center"/>
              <w:rPr/>
            </w:pPr>
            <w:r>
              <w:rPr/>
              <w:t> </w:t>
            </w:r>
          </w:p>
        </w:tc>
        <w:tc>
          <w:tcPr>
            <w:tcW w:w="705" w:type="dxa"/>
            <w:gridSpan w:val="2"/>
            <w:tcBorders/>
            <w:shd w:fill="auto" w:val="clear"/>
            <w:vAlign w:val="bottom"/>
          </w:tcPr>
          <w:p>
            <w:pPr>
              <w:pStyle w:val="TableContents"/>
              <w:spacing w:before="0" w:after="0"/>
              <w:ind w:left="0" w:right="0" w:hanging="0"/>
              <w:jc w:val="center"/>
              <w:rPr/>
            </w:pPr>
            <w:r>
              <w:rPr/>
              <w:t> </w:t>
            </w:r>
          </w:p>
        </w:tc>
        <w:tc>
          <w:tcPr>
            <w:tcW w:w="612" w:type="dxa"/>
            <w:tcBorders/>
            <w:shd w:fill="auto" w:val="clear"/>
            <w:vAlign w:val="bottom"/>
          </w:tcPr>
          <w:p>
            <w:pPr>
              <w:pStyle w:val="TableContents"/>
              <w:spacing w:before="0" w:after="0"/>
              <w:ind w:left="0" w:right="0" w:hanging="0"/>
              <w:jc w:val="center"/>
              <w:rPr/>
            </w:pPr>
            <w:r>
              <w:rPr/>
              <w:t> </w:t>
            </w:r>
          </w:p>
        </w:tc>
      </w:tr>
      <w:tr>
        <w:trPr/>
        <w:tc>
          <w:tcPr>
            <w:tcW w:w="2192"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295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 of gain/(loss)</w:t>
            </w:r>
          </w:p>
        </w:tc>
        <w:tc>
          <w:tcPr>
            <w:tcW w:w="112" w:type="dxa"/>
            <w:tcBorders/>
            <w:shd w:fill="auto" w:val="clear"/>
            <w:vAlign w:val="bottom"/>
          </w:tcPr>
          <w:p>
            <w:pPr>
              <w:pStyle w:val="TableContents"/>
              <w:spacing w:before="0" w:after="0"/>
              <w:ind w:left="0" w:right="0" w:hanging="0"/>
              <w:jc w:val="center"/>
              <w:rPr/>
            </w:pPr>
            <w:r>
              <w:rPr/>
              <w:t> </w:t>
            </w:r>
          </w:p>
        </w:tc>
        <w:tc>
          <w:tcPr>
            <w:tcW w:w="83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Reclass </w:t>
            </w:r>
            <w:r>
              <w:rPr>
                <w:b/>
                <w:sz w:val="8"/>
              </w:rPr>
              <w:t>(1)</w:t>
            </w:r>
          </w:p>
        </w:tc>
        <w:tc>
          <w:tcPr>
            <w:tcW w:w="127" w:type="dxa"/>
            <w:tcBorders/>
            <w:shd w:fill="auto" w:val="clear"/>
            <w:vAlign w:val="bottom"/>
          </w:tcPr>
          <w:p>
            <w:pPr>
              <w:pStyle w:val="TableContents"/>
              <w:spacing w:before="0" w:after="0"/>
              <w:ind w:left="0" w:right="0" w:hanging="0"/>
              <w:jc w:val="center"/>
              <w:rPr/>
            </w:pPr>
            <w:r>
              <w:rPr/>
              <w:t> </w:t>
            </w:r>
          </w:p>
        </w:tc>
        <w:tc>
          <w:tcPr>
            <w:tcW w:w="9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Portion </w:t>
            </w:r>
            <w:r>
              <w:rPr>
                <w:b/>
                <w:sz w:val="8"/>
              </w:rPr>
              <w:t>(2)</w:t>
            </w:r>
          </w:p>
        </w:tc>
        <w:tc>
          <w:tcPr>
            <w:tcW w:w="127" w:type="dxa"/>
            <w:tcBorders/>
            <w:shd w:fill="auto" w:val="clear"/>
            <w:vAlign w:val="bottom"/>
          </w:tcPr>
          <w:p>
            <w:pPr>
              <w:pStyle w:val="TableContents"/>
              <w:spacing w:before="0" w:after="0"/>
              <w:ind w:left="0" w:right="0" w:hanging="0"/>
              <w:jc w:val="center"/>
              <w:rPr/>
            </w:pPr>
            <w:r>
              <w:rPr/>
              <w:t> </w:t>
            </w:r>
          </w:p>
        </w:tc>
        <w:tc>
          <w:tcPr>
            <w:tcW w:w="12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as a Hedge </w:t>
            </w:r>
            <w:r>
              <w:rPr>
                <w:b/>
                <w:sz w:val="8"/>
              </w:rPr>
              <w:t>(3)</w:t>
            </w:r>
          </w:p>
        </w:tc>
        <w:tc>
          <w:tcPr>
            <w:tcW w:w="127" w:type="dxa"/>
            <w:tcBorders/>
            <w:shd w:fill="auto" w:val="clear"/>
            <w:vAlign w:val="bottom"/>
          </w:tcPr>
          <w:p>
            <w:pPr>
              <w:pStyle w:val="TableContents"/>
              <w:spacing w:before="0" w:after="0"/>
              <w:ind w:left="0" w:right="0" w:hanging="0"/>
              <w:jc w:val="center"/>
              <w:rPr/>
            </w:pPr>
            <w:r>
              <w:rPr/>
              <w:t> </w:t>
            </w:r>
          </w:p>
        </w:tc>
        <w:tc>
          <w:tcPr>
            <w:tcW w:w="7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612" w:type="dxa"/>
            <w:tcBorders/>
            <w:shd w:fill="auto" w:val="clear"/>
            <w:vAlign w:val="bottom"/>
          </w:tcPr>
          <w:p>
            <w:pPr>
              <w:pStyle w:val="TableContents"/>
              <w:spacing w:before="0" w:after="0"/>
              <w:ind w:left="0" w:right="0" w:hanging="0"/>
              <w:jc w:val="center"/>
              <w:rPr/>
            </w:pPr>
            <w:r>
              <w:rPr/>
              <w:t> </w:t>
            </w:r>
          </w:p>
        </w:tc>
      </w:tr>
      <w:tr>
        <w:trPr/>
        <w:tc>
          <w:tcPr>
            <w:tcW w:w="21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80" w:type="dxa"/>
            <w:tcBorders/>
            <w:shd w:fill="CCEEFF" w:val="clear"/>
            <w:vAlign w:val="bottom"/>
          </w:tcPr>
          <w:p>
            <w:pPr>
              <w:pStyle w:val="TableContents"/>
              <w:spacing w:before="0" w:after="0"/>
              <w:ind w:left="0" w:right="0" w:hanging="0"/>
              <w:rPr/>
            </w:pPr>
            <w:r>
              <w:rPr/>
              <w:t> </w:t>
            </w:r>
          </w:p>
        </w:tc>
        <w:tc>
          <w:tcPr>
            <w:tcW w:w="29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12"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27" w:type="dxa"/>
            <w:tcBorders/>
            <w:shd w:fill="CCEEFF" w:val="clear"/>
            <w:vAlign w:val="bottom"/>
          </w:tcPr>
          <w:p>
            <w:pPr>
              <w:pStyle w:val="TableContents"/>
              <w:spacing w:before="0" w:after="0"/>
              <w:ind w:left="0" w:right="0" w:hanging="0"/>
              <w:rPr/>
            </w:pPr>
            <w:r>
              <w:rPr/>
              <w:t> </w:t>
            </w:r>
          </w:p>
        </w:tc>
        <w:tc>
          <w:tcPr>
            <w:tcW w:w="2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612" w:type="dxa"/>
            <w:tcBorders/>
            <w:shd w:fill="CCEEFF" w:val="clear"/>
            <w:vAlign w:val="bottom"/>
          </w:tcPr>
          <w:p>
            <w:pPr>
              <w:pStyle w:val="TableContents"/>
              <w:spacing w:before="0" w:after="0"/>
              <w:ind w:left="0" w:right="0" w:hanging="0"/>
              <w:rPr/>
            </w:pPr>
            <w:r>
              <w:rPr/>
              <w:t> </w:t>
            </w:r>
          </w:p>
        </w:tc>
      </w:tr>
      <w:tr>
        <w:trPr/>
        <w:tc>
          <w:tcPr>
            <w:tcW w:w="2192"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2950"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837"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960"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pPr>
            <w:r>
              <w:rPr/>
              <w:t> </w:t>
            </w:r>
          </w:p>
        </w:tc>
        <w:tc>
          <w:tcPr>
            <w:tcW w:w="612" w:type="dxa"/>
            <w:tcBorders/>
            <w:shd w:fill="auto" w:val="clear"/>
            <w:vAlign w:val="bottom"/>
          </w:tcPr>
          <w:p>
            <w:pPr>
              <w:pStyle w:val="TableContents"/>
              <w:spacing w:before="0" w:after="0"/>
              <w:ind w:left="0" w:right="0" w:hanging="0"/>
              <w:rPr/>
            </w:pPr>
            <w:r>
              <w:rPr/>
              <w:t> </w:t>
            </w:r>
          </w:p>
        </w:tc>
      </w:tr>
      <w:tr>
        <w:trPr/>
        <w:tc>
          <w:tcPr>
            <w:tcW w:w="2192"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pPr>
            <w:r>
              <w:rPr/>
              <w:t> </w:t>
            </w:r>
          </w:p>
        </w:tc>
        <w:tc>
          <w:tcPr>
            <w:tcW w:w="29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segment revenues</w:t>
            </w:r>
          </w:p>
        </w:tc>
        <w:tc>
          <w:tcPr>
            <w:tcW w:w="112" w:type="dxa"/>
            <w:tcBorders/>
            <w:shd w:fill="CCEEFF" w:val="clear"/>
            <w:vAlign w:val="bottom"/>
          </w:tcPr>
          <w:p>
            <w:pPr>
              <w:pStyle w:val="TableContents"/>
              <w:spacing w:before="0" w:after="0"/>
              <w:ind w:left="0" w:right="0" w:hanging="0"/>
              <w:rPr/>
            </w:pPr>
            <w:r>
              <w:rPr/>
              <w:t> </w:t>
            </w:r>
          </w:p>
        </w:tc>
        <w:tc>
          <w:tcPr>
            <w:tcW w:w="8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7" w:type="dxa"/>
            <w:tcBorders/>
            <w:shd w:fill="CCEEFF" w:val="clear"/>
            <w:vAlign w:val="bottom"/>
          </w:tcPr>
          <w:p>
            <w:pPr>
              <w:pStyle w:val="TableContents"/>
              <w:spacing w:before="0" w:after="0"/>
              <w:ind w:left="0" w:right="0" w:hanging="0"/>
              <w:rPr/>
            </w:pPr>
            <w:r>
              <w:rPr/>
              <w:t> </w:t>
            </w:r>
          </w:p>
        </w:tc>
        <w:tc>
          <w:tcPr>
            <w:tcW w:w="9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612" w:type="dxa"/>
            <w:tcBorders/>
            <w:shd w:fill="CCEEFF" w:val="clear"/>
            <w:vAlign w:val="bottom"/>
          </w:tcPr>
          <w:p>
            <w:pPr>
              <w:pStyle w:val="TableContents"/>
              <w:spacing w:before="0" w:after="0"/>
              <w:ind w:left="0" w:right="0" w:hanging="0"/>
              <w:rPr/>
            </w:pPr>
            <w:r>
              <w:rPr/>
              <w:t> </w:t>
            </w:r>
          </w:p>
        </w:tc>
      </w:tr>
      <w:tr>
        <w:trPr/>
        <w:tc>
          <w:tcPr>
            <w:tcW w:w="2192"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2950"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837"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960"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pPr>
            <w:r>
              <w:rPr/>
              <w:t> </w:t>
            </w:r>
          </w:p>
        </w:tc>
        <w:tc>
          <w:tcPr>
            <w:tcW w:w="612" w:type="dxa"/>
            <w:tcBorders/>
            <w:shd w:fill="auto" w:val="clear"/>
            <w:vAlign w:val="bottom"/>
          </w:tcPr>
          <w:p>
            <w:pPr>
              <w:pStyle w:val="TableContents"/>
              <w:spacing w:before="0" w:after="0"/>
              <w:ind w:left="0" w:right="0" w:hanging="0"/>
              <w:rPr/>
            </w:pPr>
            <w:r>
              <w:rPr/>
              <w:t> </w:t>
            </w:r>
          </w:p>
        </w:tc>
      </w:tr>
      <w:tr>
        <w:trPr/>
        <w:tc>
          <w:tcPr>
            <w:tcW w:w="2192"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pPr>
            <w:r>
              <w:rPr/>
              <w:t> </w:t>
            </w:r>
          </w:p>
        </w:tc>
        <w:tc>
          <w:tcPr>
            <w:tcW w:w="29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112" w:type="dxa"/>
            <w:tcBorders/>
            <w:shd w:fill="CCEEFF" w:val="clear"/>
            <w:vAlign w:val="bottom"/>
          </w:tcPr>
          <w:p>
            <w:pPr>
              <w:pStyle w:val="TableContents"/>
              <w:spacing w:before="0" w:after="0"/>
              <w:ind w:left="0" w:right="0" w:hanging="0"/>
              <w:rPr/>
            </w:pPr>
            <w:r>
              <w:rPr/>
              <w:t> </w:t>
            </w:r>
          </w:p>
        </w:tc>
        <w:tc>
          <w:tcPr>
            <w:tcW w:w="8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9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12" w:type="dxa"/>
            <w:tcBorders/>
            <w:shd w:fill="CCEEFF" w:val="clear"/>
            <w:vAlign w:val="bottom"/>
          </w:tcPr>
          <w:p>
            <w:pPr>
              <w:pStyle w:val="TableContents"/>
              <w:spacing w:before="0" w:after="0"/>
              <w:ind w:left="0" w:right="0" w:hanging="0"/>
              <w:rPr/>
            </w:pPr>
            <w:r>
              <w:rPr/>
              <w:t> </w:t>
            </w:r>
          </w:p>
        </w:tc>
      </w:tr>
      <w:tr>
        <w:trPr/>
        <w:tc>
          <w:tcPr>
            <w:tcW w:w="2192"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2950"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837"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960"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pPr>
            <w:r>
              <w:rPr/>
              <w:t> </w:t>
            </w:r>
          </w:p>
        </w:tc>
        <w:tc>
          <w:tcPr>
            <w:tcW w:w="612" w:type="dxa"/>
            <w:tcBorders/>
            <w:shd w:fill="auto" w:val="clear"/>
            <w:vAlign w:val="bottom"/>
          </w:tcPr>
          <w:p>
            <w:pPr>
              <w:pStyle w:val="TableContents"/>
              <w:spacing w:before="0" w:after="0"/>
              <w:ind w:left="0" w:right="0" w:hanging="0"/>
              <w:rPr/>
            </w:pPr>
            <w:r>
              <w:rPr/>
              <w:t> </w:t>
            </w:r>
          </w:p>
        </w:tc>
      </w:tr>
      <w:tr>
        <w:trPr/>
        <w:tc>
          <w:tcPr>
            <w:tcW w:w="2192"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pPr>
            <w:r>
              <w:rPr/>
              <w:t> </w:t>
            </w:r>
          </w:p>
        </w:tc>
        <w:tc>
          <w:tcPr>
            <w:tcW w:w="29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112" w:type="dxa"/>
            <w:tcBorders/>
            <w:shd w:fill="CCEEFF" w:val="clear"/>
            <w:vAlign w:val="bottom"/>
          </w:tcPr>
          <w:p>
            <w:pPr>
              <w:pStyle w:val="TableContents"/>
              <w:spacing w:before="0" w:after="0"/>
              <w:ind w:left="0" w:right="0" w:hanging="0"/>
              <w:rPr/>
            </w:pPr>
            <w:r>
              <w:rPr/>
              <w:t> </w:t>
            </w:r>
          </w:p>
        </w:tc>
        <w:tc>
          <w:tcPr>
            <w:tcW w:w="8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27" w:type="dxa"/>
            <w:tcBorders/>
            <w:shd w:fill="CCEEFF" w:val="clear"/>
            <w:vAlign w:val="bottom"/>
          </w:tcPr>
          <w:p>
            <w:pPr>
              <w:pStyle w:val="TableContents"/>
              <w:spacing w:before="0" w:after="0"/>
              <w:ind w:left="0" w:right="0" w:hanging="0"/>
              <w:rPr/>
            </w:pPr>
            <w:r>
              <w:rPr/>
              <w:t> </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612" w:type="dxa"/>
            <w:tcBorders/>
            <w:shd w:fill="CCEEFF" w:val="clear"/>
            <w:vAlign w:val="bottom"/>
          </w:tcPr>
          <w:p>
            <w:pPr>
              <w:pStyle w:val="TableContents"/>
              <w:spacing w:before="0" w:after="0"/>
              <w:ind w:left="0" w:right="0" w:hanging="0"/>
              <w:rPr/>
            </w:pPr>
            <w:r>
              <w:rPr/>
              <w:t> </w:t>
            </w:r>
          </w:p>
        </w:tc>
      </w:tr>
      <w:tr>
        <w:trPr/>
        <w:tc>
          <w:tcPr>
            <w:tcW w:w="2192"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2950"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837"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960"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pPr>
            <w:r>
              <w:rPr/>
              <w:t> </w:t>
            </w:r>
          </w:p>
        </w:tc>
        <w:tc>
          <w:tcPr>
            <w:tcW w:w="612" w:type="dxa"/>
            <w:tcBorders/>
            <w:shd w:fill="auto" w:val="clear"/>
            <w:vAlign w:val="bottom"/>
          </w:tcPr>
          <w:p>
            <w:pPr>
              <w:pStyle w:val="TableContents"/>
              <w:spacing w:before="0" w:after="0"/>
              <w:ind w:left="0" w:right="0" w:hanging="0"/>
              <w:rPr/>
            </w:pPr>
            <w:r>
              <w:rPr/>
              <w:t> </w:t>
            </w:r>
          </w:p>
        </w:tc>
      </w:tr>
      <w:tr>
        <w:trPr/>
        <w:tc>
          <w:tcPr>
            <w:tcW w:w="21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80" w:type="dxa"/>
            <w:tcBorders/>
            <w:shd w:fill="CCEEFF" w:val="clear"/>
            <w:vAlign w:val="bottom"/>
          </w:tcPr>
          <w:p>
            <w:pPr>
              <w:pStyle w:val="TableContents"/>
              <w:spacing w:before="0" w:after="0"/>
              <w:ind w:left="0" w:right="0" w:hanging="0"/>
              <w:rPr/>
            </w:pPr>
            <w:r>
              <w:rPr/>
              <w:t> </w:t>
            </w:r>
          </w:p>
        </w:tc>
        <w:tc>
          <w:tcPr>
            <w:tcW w:w="29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12" w:type="dxa"/>
            <w:tcBorders/>
            <w:shd w:fill="CCEEFF" w:val="clear"/>
            <w:vAlign w:val="bottom"/>
          </w:tcPr>
          <w:p>
            <w:pPr>
              <w:pStyle w:val="TableContents"/>
              <w:spacing w:before="0" w:after="0"/>
              <w:ind w:left="0" w:right="0" w:hanging="0"/>
              <w:rPr/>
            </w:pPr>
            <w:r>
              <w:rPr/>
              <w:t> </w:t>
            </w:r>
          </w:p>
        </w:tc>
        <w:tc>
          <w:tcPr>
            <w:tcW w:w="8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9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6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192"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2950"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837"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960"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pPr>
            <w:r>
              <w:rPr/>
              <w:t> </w:t>
            </w:r>
          </w:p>
        </w:tc>
        <w:tc>
          <w:tcPr>
            <w:tcW w:w="612" w:type="dxa"/>
            <w:tcBorders/>
            <w:shd w:fill="auto" w:val="clear"/>
            <w:vAlign w:val="bottom"/>
          </w:tcPr>
          <w:p>
            <w:pPr>
              <w:pStyle w:val="TableContents"/>
              <w:spacing w:before="0" w:after="0"/>
              <w:ind w:left="0" w:right="0" w:hanging="0"/>
              <w:rPr/>
            </w:pPr>
            <w:r>
              <w:rPr/>
              <w:t> </w:t>
            </w:r>
          </w:p>
        </w:tc>
      </w:tr>
      <w:tr>
        <w:trPr/>
        <w:tc>
          <w:tcPr>
            <w:tcW w:w="2192"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pPr>
            <w:r>
              <w:rPr/>
              <w:t> </w:t>
            </w:r>
          </w:p>
        </w:tc>
        <w:tc>
          <w:tcPr>
            <w:tcW w:w="29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12" w:type="dxa"/>
            <w:tcBorders/>
            <w:shd w:fill="CCEEFF" w:val="clear"/>
            <w:vAlign w:val="bottom"/>
          </w:tcPr>
          <w:p>
            <w:pPr>
              <w:pStyle w:val="TableContents"/>
              <w:spacing w:before="0" w:after="0"/>
              <w:ind w:left="0" w:right="0" w:hanging="0"/>
              <w:rPr/>
            </w:pPr>
            <w:r>
              <w:rPr/>
              <w:t> </w:t>
            </w:r>
          </w:p>
        </w:tc>
        <w:tc>
          <w:tcPr>
            <w:tcW w:w="8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9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12" w:type="dxa"/>
            <w:tcBorders/>
            <w:shd w:fill="CCEEFF" w:val="clear"/>
            <w:vAlign w:val="bottom"/>
          </w:tcPr>
          <w:p>
            <w:pPr>
              <w:pStyle w:val="TableContents"/>
              <w:spacing w:before="0" w:after="0"/>
              <w:ind w:left="0" w:right="0" w:hanging="0"/>
              <w:rPr/>
            </w:pPr>
            <w:r>
              <w:rPr/>
              <w:t> </w:t>
            </w:r>
          </w:p>
        </w:tc>
      </w:tr>
      <w:tr>
        <w:trPr/>
        <w:tc>
          <w:tcPr>
            <w:tcW w:w="2192"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2950"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837"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960"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pPr>
            <w:r>
              <w:rPr/>
              <w:t> </w:t>
            </w:r>
          </w:p>
        </w:tc>
        <w:tc>
          <w:tcPr>
            <w:tcW w:w="612" w:type="dxa"/>
            <w:tcBorders/>
            <w:shd w:fill="auto" w:val="clear"/>
            <w:vAlign w:val="bottom"/>
          </w:tcPr>
          <w:p>
            <w:pPr>
              <w:pStyle w:val="TableContents"/>
              <w:spacing w:before="0" w:after="0"/>
              <w:ind w:left="0" w:right="0" w:hanging="0"/>
              <w:rPr/>
            </w:pPr>
            <w:r>
              <w:rPr/>
              <w:t> </w:t>
            </w:r>
          </w:p>
        </w:tc>
      </w:tr>
      <w:tr>
        <w:trPr/>
        <w:tc>
          <w:tcPr>
            <w:tcW w:w="21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exchange derivatives</w:t>
            </w:r>
          </w:p>
        </w:tc>
        <w:tc>
          <w:tcPr>
            <w:tcW w:w="180" w:type="dxa"/>
            <w:tcBorders/>
            <w:shd w:fill="CCEEFF" w:val="clear"/>
            <w:vAlign w:val="bottom"/>
          </w:tcPr>
          <w:p>
            <w:pPr>
              <w:pStyle w:val="TableContents"/>
              <w:spacing w:before="0" w:after="0"/>
              <w:ind w:left="0" w:right="0" w:hanging="0"/>
              <w:rPr/>
            </w:pPr>
            <w:r>
              <w:rPr/>
              <w:t> </w:t>
            </w:r>
          </w:p>
        </w:tc>
        <w:tc>
          <w:tcPr>
            <w:tcW w:w="29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12" w:type="dxa"/>
            <w:tcBorders/>
            <w:shd w:fill="CCEEFF" w:val="clear"/>
            <w:vAlign w:val="bottom"/>
          </w:tcPr>
          <w:p>
            <w:pPr>
              <w:pStyle w:val="TableContents"/>
              <w:spacing w:before="0" w:after="0"/>
              <w:ind w:left="0" w:right="0" w:hanging="0"/>
              <w:rPr/>
            </w:pPr>
            <w:r>
              <w:rPr/>
              <w:t> </w:t>
            </w:r>
          </w:p>
        </w:tc>
        <w:tc>
          <w:tcPr>
            <w:tcW w:w="8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9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12" w:type="dxa"/>
            <w:tcBorders/>
            <w:shd w:fill="CCEEFF" w:val="clear"/>
            <w:vAlign w:val="bottom"/>
          </w:tcPr>
          <w:p>
            <w:pPr>
              <w:pStyle w:val="TableContents"/>
              <w:spacing w:before="0" w:after="0"/>
              <w:ind w:left="0" w:right="0" w:hanging="0"/>
              <w:rPr/>
            </w:pPr>
            <w:r>
              <w:rPr/>
              <w:t> </w:t>
            </w:r>
          </w:p>
        </w:tc>
      </w:tr>
      <w:tr>
        <w:trPr/>
        <w:tc>
          <w:tcPr>
            <w:tcW w:w="2192"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2950"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837"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960"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pPr>
            <w:r>
              <w:rPr/>
              <w:t> </w:t>
            </w:r>
          </w:p>
        </w:tc>
        <w:tc>
          <w:tcPr>
            <w:tcW w:w="612" w:type="dxa"/>
            <w:tcBorders/>
            <w:shd w:fill="auto" w:val="clear"/>
            <w:vAlign w:val="bottom"/>
          </w:tcPr>
          <w:p>
            <w:pPr>
              <w:pStyle w:val="TableContents"/>
              <w:spacing w:before="0" w:after="0"/>
              <w:ind w:left="0" w:right="0" w:hanging="0"/>
              <w:rPr/>
            </w:pPr>
            <w:r>
              <w:rPr/>
              <w:t> </w:t>
            </w:r>
          </w:p>
        </w:tc>
      </w:tr>
      <w:tr>
        <w:trPr/>
        <w:tc>
          <w:tcPr>
            <w:tcW w:w="2192"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pPr>
            <w:r>
              <w:rPr/>
              <w:t> </w:t>
            </w:r>
          </w:p>
        </w:tc>
        <w:tc>
          <w:tcPr>
            <w:tcW w:w="29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112" w:type="dxa"/>
            <w:tcBorders/>
            <w:shd w:fill="CCEEFF" w:val="clear"/>
            <w:vAlign w:val="bottom"/>
          </w:tcPr>
          <w:p>
            <w:pPr>
              <w:pStyle w:val="TableContents"/>
              <w:spacing w:before="0" w:after="0"/>
              <w:ind w:left="0" w:right="0" w:hanging="0"/>
              <w:rPr/>
            </w:pPr>
            <w:r>
              <w:rPr/>
              <w:t> </w:t>
            </w:r>
          </w:p>
        </w:tc>
        <w:tc>
          <w:tcPr>
            <w:tcW w:w="8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9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6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192"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2950"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837"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960"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pPr>
            <w:r>
              <w:rPr/>
              <w:t> </w:t>
            </w:r>
          </w:p>
        </w:tc>
        <w:tc>
          <w:tcPr>
            <w:tcW w:w="612" w:type="dxa"/>
            <w:tcBorders/>
            <w:shd w:fill="auto" w:val="clear"/>
            <w:vAlign w:val="bottom"/>
          </w:tcPr>
          <w:p>
            <w:pPr>
              <w:pStyle w:val="TableContents"/>
              <w:spacing w:before="0" w:after="0"/>
              <w:ind w:left="0" w:right="0" w:hanging="0"/>
              <w:rPr/>
            </w:pPr>
            <w:r>
              <w:rPr/>
              <w:t> </w:t>
            </w:r>
          </w:p>
        </w:tc>
      </w:tr>
      <w:tr>
        <w:trPr/>
        <w:tc>
          <w:tcPr>
            <w:tcW w:w="2192"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pPr>
            <w:r>
              <w:rPr/>
              <w:t> </w:t>
            </w:r>
          </w:p>
        </w:tc>
        <w:tc>
          <w:tcPr>
            <w:tcW w:w="29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12" w:type="dxa"/>
            <w:tcBorders/>
            <w:shd w:fill="CCEEFF" w:val="clear"/>
            <w:vAlign w:val="bottom"/>
          </w:tcPr>
          <w:p>
            <w:pPr>
              <w:pStyle w:val="TableContents"/>
              <w:spacing w:before="0" w:after="0"/>
              <w:ind w:left="0" w:right="0" w:hanging="0"/>
              <w:rPr/>
            </w:pPr>
            <w:r>
              <w:rPr/>
              <w:t> </w:t>
            </w:r>
          </w:p>
        </w:tc>
        <w:tc>
          <w:tcPr>
            <w:tcW w:w="83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7" w:type="dxa"/>
            <w:tcBorders/>
            <w:shd w:fill="CCEEFF" w:val="clear"/>
            <w:vAlign w:val="bottom"/>
          </w:tcPr>
          <w:p>
            <w:pPr>
              <w:pStyle w:val="TableContents"/>
              <w:spacing w:before="0" w:after="0"/>
              <w:ind w:left="0" w:right="0" w:hanging="0"/>
              <w:rPr/>
            </w:pPr>
            <w:r>
              <w:rPr/>
              <w:t> </w:t>
            </w:r>
          </w:p>
        </w:tc>
        <w:tc>
          <w:tcPr>
            <w:tcW w:w="9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12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7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612" w:type="dxa"/>
            <w:tcBorders/>
            <w:shd w:fill="CCEEFF" w:val="clear"/>
            <w:vAlign w:val="bottom"/>
          </w:tcPr>
          <w:p>
            <w:pPr>
              <w:pStyle w:val="TableContents"/>
              <w:spacing w:before="0" w:after="0"/>
              <w:ind w:left="0" w:right="0" w:hanging="0"/>
              <w:rPr/>
            </w:pPr>
            <w:r>
              <w:rPr/>
              <w:t> </w:t>
            </w:r>
          </w:p>
        </w:tc>
      </w:tr>
      <w:tr>
        <w:trPr/>
        <w:tc>
          <w:tcPr>
            <w:tcW w:w="2192"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2950"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837"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960"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pPr>
            <w:r>
              <w:rPr/>
              <w:t> </w:t>
            </w:r>
          </w:p>
        </w:tc>
        <w:tc>
          <w:tcPr>
            <w:tcW w:w="612" w:type="dxa"/>
            <w:tcBorders/>
            <w:shd w:fill="auto" w:val="clear"/>
            <w:vAlign w:val="bottom"/>
          </w:tcPr>
          <w:p>
            <w:pPr>
              <w:pStyle w:val="TableContents"/>
              <w:spacing w:before="0" w:after="0"/>
              <w:ind w:left="0" w:right="0" w:hanging="0"/>
              <w:rPr/>
            </w:pPr>
            <w:r>
              <w:rPr/>
              <w:t> </w:t>
            </w:r>
          </w:p>
        </w:tc>
      </w:tr>
      <w:tr>
        <w:trPr/>
        <w:tc>
          <w:tcPr>
            <w:tcW w:w="5322" w:type="dxa"/>
            <w:gridSpan w:val="3"/>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 Gain/(Loss) on Derivatives Recognized in Income</w:t>
            </w:r>
          </w:p>
        </w:tc>
        <w:tc>
          <w:tcPr>
            <w:tcW w:w="112" w:type="dxa"/>
            <w:tcBorders/>
            <w:shd w:fill="CCEEFF" w:val="clear"/>
            <w:vAlign w:val="bottom"/>
          </w:tcPr>
          <w:p>
            <w:pPr>
              <w:pStyle w:val="TableContents"/>
              <w:spacing w:before="0" w:after="0"/>
              <w:ind w:left="0" w:right="0" w:hanging="0"/>
              <w:rPr/>
            </w:pPr>
            <w:r>
              <w:rPr/>
              <w:t> </w:t>
            </w:r>
          </w:p>
        </w:tc>
        <w:tc>
          <w:tcPr>
            <w:tcW w:w="2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2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100</w:t>
            </w:r>
          </w:p>
        </w:tc>
        <w:tc>
          <w:tcPr>
            <w:tcW w:w="127" w:type="dxa"/>
            <w:tcBorders/>
            <w:shd w:fill="CCEEFF" w:val="clear"/>
            <w:vAlign w:val="bottom"/>
          </w:tcPr>
          <w:p>
            <w:pPr>
              <w:pStyle w:val="TableContents"/>
              <w:spacing w:before="0" w:after="0"/>
              <w:ind w:left="0" w:right="0" w:hanging="0"/>
              <w:rPr/>
            </w:pPr>
            <w:r>
              <w:rPr/>
              <w:t> </w:t>
            </w:r>
          </w:p>
        </w:tc>
        <w:tc>
          <w:tcPr>
            <w:tcW w:w="25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0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w:t>
            </w:r>
          </w:p>
        </w:tc>
        <w:tc>
          <w:tcPr>
            <w:tcW w:w="12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2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05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60</w:t>
            </w:r>
          </w:p>
        </w:tc>
        <w:tc>
          <w:tcPr>
            <w:tcW w:w="127" w:type="dxa"/>
            <w:tcBorders/>
            <w:shd w:fill="CCEEFF" w:val="clear"/>
            <w:vAlign w:val="bottom"/>
          </w:tcPr>
          <w:p>
            <w:pPr>
              <w:pStyle w:val="TableContents"/>
              <w:spacing w:before="0" w:after="0"/>
              <w:ind w:left="0" w:right="0" w:hanging="0"/>
              <w:rPr/>
            </w:pPr>
            <w:r>
              <w:rPr/>
              <w:t> </w:t>
            </w:r>
          </w:p>
        </w:tc>
        <w:tc>
          <w:tcPr>
            <w:tcW w:w="14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5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159</w:t>
            </w:r>
          </w:p>
        </w:tc>
        <w:tc>
          <w:tcPr>
            <w:tcW w:w="61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Amounts represent derivative gains and losses that were reclassed from AOCI to earnings during the period to coincide with earnings impact of the respective hedged transaction.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Amounts represent the ineffective portion of the fair value of our unrealized cash flow hedges that were recognized in earnings during the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Includes realized and  unrealized gains or losses for derivatives not designated for hedge accounting during the period.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bookmarkStart w:id="38" w:name="PB_19_165716_2897"/>
      <w:bookmarkEnd w:id="3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the derivative assets and liabilities on our consolidated balance sheet on a gross basis as of March 31, 2010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663"/>
        <w:gridCol w:w="102"/>
        <w:gridCol w:w="1535"/>
        <w:gridCol w:w="102"/>
        <w:gridCol w:w="103"/>
        <w:gridCol w:w="715"/>
        <w:gridCol w:w="203"/>
        <w:gridCol w:w="203"/>
        <w:gridCol w:w="1939"/>
        <w:gridCol w:w="102"/>
        <w:gridCol w:w="103"/>
        <w:gridCol w:w="715"/>
        <w:gridCol w:w="720"/>
      </w:tblGrid>
      <w:tr>
        <w:trPr/>
        <w:tc>
          <w:tcPr>
            <w:tcW w:w="3663" w:type="dxa"/>
            <w:tcBorders/>
            <w:shd w:fill="auto" w:val="clear"/>
            <w:vAlign w:val="bottom"/>
          </w:tcPr>
          <w:p>
            <w:pPr>
              <w:pStyle w:val="TableContents"/>
              <w:spacing w:before="0" w:after="0"/>
              <w:ind w:left="0" w:right="0" w:hanging="0"/>
              <w:jc w:val="center"/>
              <w:rPr/>
            </w:pPr>
            <w:r>
              <w:rPr/>
              <w:t> </w:t>
            </w:r>
          </w:p>
        </w:tc>
        <w:tc>
          <w:tcPr>
            <w:tcW w:w="102" w:type="dxa"/>
            <w:tcBorders/>
            <w:shd w:fill="auto" w:val="clear"/>
            <w:vAlign w:val="bottom"/>
          </w:tcPr>
          <w:p>
            <w:pPr>
              <w:pStyle w:val="TableContents"/>
              <w:spacing w:before="0" w:after="0"/>
              <w:ind w:left="0" w:right="0" w:hanging="0"/>
              <w:jc w:val="center"/>
              <w:rPr/>
            </w:pPr>
            <w:r>
              <w:rPr/>
              <w:t> </w:t>
            </w:r>
          </w:p>
        </w:tc>
        <w:tc>
          <w:tcPr>
            <w:tcW w:w="2455"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Derivatives</w:t>
            </w:r>
          </w:p>
        </w:tc>
        <w:tc>
          <w:tcPr>
            <w:tcW w:w="203" w:type="dxa"/>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2859"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Derivatives</w:t>
            </w:r>
          </w:p>
        </w:tc>
        <w:tc>
          <w:tcPr>
            <w:tcW w:w="720" w:type="dxa"/>
            <w:tcBorders/>
            <w:shd w:fill="auto" w:val="clear"/>
            <w:vAlign w:val="bottom"/>
          </w:tcPr>
          <w:p>
            <w:pPr>
              <w:pStyle w:val="TableContents"/>
              <w:spacing w:before="0" w:after="0"/>
              <w:ind w:left="0" w:right="0" w:hanging="0"/>
              <w:jc w:val="center"/>
              <w:rPr/>
            </w:pPr>
            <w:r>
              <w:rPr/>
              <w:t> </w:t>
            </w:r>
          </w:p>
        </w:tc>
      </w:tr>
      <w:tr>
        <w:trPr/>
        <w:tc>
          <w:tcPr>
            <w:tcW w:w="3663" w:type="dxa"/>
            <w:tcBorders/>
            <w:shd w:fill="auto" w:val="clear"/>
            <w:vAlign w:val="bottom"/>
          </w:tcPr>
          <w:p>
            <w:pPr>
              <w:pStyle w:val="TableContents"/>
              <w:spacing w:before="0" w:after="0"/>
              <w:ind w:left="0" w:right="0" w:hanging="0"/>
              <w:jc w:val="center"/>
              <w:rPr/>
            </w:pPr>
            <w:r>
              <w:rPr/>
              <w:t> </w:t>
            </w:r>
          </w:p>
        </w:tc>
        <w:tc>
          <w:tcPr>
            <w:tcW w:w="102" w:type="dxa"/>
            <w:tcBorders/>
            <w:shd w:fill="auto" w:val="clear"/>
            <w:vAlign w:val="bottom"/>
          </w:tcPr>
          <w:p>
            <w:pPr>
              <w:pStyle w:val="TableContents"/>
              <w:spacing w:before="0" w:after="0"/>
              <w:ind w:left="0" w:right="0" w:hanging="0"/>
              <w:jc w:val="center"/>
              <w:rPr/>
            </w:pPr>
            <w:r>
              <w:rPr/>
              <w:t> </w:t>
            </w:r>
          </w:p>
        </w:tc>
        <w:tc>
          <w:tcPr>
            <w:tcW w:w="153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02" w:type="dxa"/>
            <w:tcBorders/>
            <w:shd w:fill="auto" w:val="clear"/>
            <w:vAlign w:val="bottom"/>
          </w:tcPr>
          <w:p>
            <w:pPr>
              <w:pStyle w:val="TableContents"/>
              <w:spacing w:before="0" w:after="0"/>
              <w:ind w:left="0" w:right="0" w:hanging="0"/>
              <w:jc w:val="center"/>
              <w:rPr/>
            </w:pPr>
            <w:r>
              <w:rPr/>
              <w:t> </w:t>
            </w:r>
          </w:p>
        </w:tc>
        <w:tc>
          <w:tcPr>
            <w:tcW w:w="8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03" w:type="dxa"/>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93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02" w:type="dxa"/>
            <w:tcBorders/>
            <w:shd w:fill="auto" w:val="clear"/>
            <w:vAlign w:val="bottom"/>
          </w:tcPr>
          <w:p>
            <w:pPr>
              <w:pStyle w:val="TableContents"/>
              <w:spacing w:before="0" w:after="0"/>
              <w:ind w:left="0" w:right="0" w:hanging="0"/>
              <w:jc w:val="center"/>
              <w:rPr/>
            </w:pPr>
            <w:r>
              <w:rPr/>
              <w:t> </w:t>
            </w:r>
          </w:p>
        </w:tc>
        <w:tc>
          <w:tcPr>
            <w:tcW w:w="8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720" w:type="dxa"/>
            <w:tcBorders/>
            <w:shd w:fill="auto" w:val="clear"/>
            <w:vAlign w:val="bottom"/>
          </w:tcPr>
          <w:p>
            <w:pPr>
              <w:pStyle w:val="TableContents"/>
              <w:spacing w:before="0" w:after="0"/>
              <w:ind w:left="0" w:right="0" w:hanging="0"/>
              <w:jc w:val="center"/>
              <w:rPr/>
            </w:pPr>
            <w:r>
              <w:rPr/>
              <w:t> </w:t>
            </w:r>
          </w:p>
        </w:tc>
      </w:tr>
      <w:tr>
        <w:trPr/>
        <w:tc>
          <w:tcPr>
            <w:tcW w:w="3663" w:type="dxa"/>
            <w:tcBorders/>
            <w:shd w:fill="CCEEFF"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Derivatives designated as hedging instruments:</w:t>
            </w:r>
          </w:p>
        </w:tc>
        <w:tc>
          <w:tcPr>
            <w:tcW w:w="102" w:type="dxa"/>
            <w:tcBorders/>
            <w:shd w:fill="CCEEFF" w:val="clear"/>
            <w:vAlign w:val="bottom"/>
          </w:tcPr>
          <w:p>
            <w:pPr>
              <w:pStyle w:val="TableContents"/>
              <w:spacing w:before="0" w:after="0"/>
              <w:ind w:left="0" w:right="0" w:hanging="0"/>
              <w:rPr/>
            </w:pPr>
            <w:r>
              <w:rPr/>
              <w:t> </w:t>
            </w:r>
          </w:p>
        </w:tc>
        <w:tc>
          <w:tcPr>
            <w:tcW w:w="1535" w:type="dxa"/>
            <w:tcBorders/>
            <w:shd w:fill="CCEEFF" w:val="cle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pPr>
            <w:r>
              <w:rPr/>
              <w:t> </w:t>
            </w:r>
          </w:p>
        </w:tc>
        <w:tc>
          <w:tcPr>
            <w:tcW w:w="203"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1939" w:type="dxa"/>
            <w:tcBorders/>
            <w:shd w:fill="CCEEFF" w:val="cle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pPr>
            <w:r>
              <w:rPr/>
              <w:t> </w:t>
            </w:r>
          </w:p>
        </w:tc>
        <w:tc>
          <w:tcPr>
            <w:tcW w:w="720" w:type="dxa"/>
            <w:tcBorders/>
            <w:shd w:fill="CCEEFF" w:val="clear"/>
            <w:vAlign w:val="bottom"/>
          </w:tcPr>
          <w:p>
            <w:pPr>
              <w:pStyle w:val="TableContents"/>
              <w:spacing w:before="0" w:after="0"/>
              <w:ind w:left="0" w:right="0" w:hanging="0"/>
              <w:rPr/>
            </w:pPr>
            <w:r>
              <w:rPr/>
              <w:t> </w:t>
            </w:r>
          </w:p>
        </w:tc>
      </w:tr>
      <w:tr>
        <w:trPr/>
        <w:tc>
          <w:tcPr>
            <w:tcW w:w="366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Commodity derivatives</w:t>
            </w:r>
          </w:p>
        </w:tc>
        <w:tc>
          <w:tcPr>
            <w:tcW w:w="102" w:type="dxa"/>
            <w:tcBorders/>
            <w:shd w:fill="auto" w:val="clear"/>
            <w:vAlign w:val="bottom"/>
          </w:tcPr>
          <w:p>
            <w:pPr>
              <w:pStyle w:val="TableContents"/>
              <w:spacing w:before="0" w:after="0"/>
              <w:ind w:left="0" w:right="0" w:hanging="0"/>
              <w:rPr/>
            </w:pPr>
            <w:r>
              <w:rPr/>
              <w:t> </w:t>
            </w:r>
          </w:p>
        </w:tc>
        <w:tc>
          <w:tcPr>
            <w:tcW w:w="153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current assets</w:t>
            </w:r>
          </w:p>
        </w:tc>
        <w:tc>
          <w:tcPr>
            <w:tcW w:w="102" w:type="dxa"/>
            <w:tcBorders/>
            <w:shd w:fill="auto" w:val="cle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52</w:t>
            </w:r>
          </w:p>
        </w:tc>
        <w:tc>
          <w:tcPr>
            <w:tcW w:w="203"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93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current assets</w:t>
            </w:r>
          </w:p>
        </w:tc>
        <w:tc>
          <w:tcPr>
            <w:tcW w:w="102" w:type="dxa"/>
            <w:tcBorders/>
            <w:shd w:fill="auto" w:val="cle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(50</w:t>
            </w:r>
          </w:p>
        </w:tc>
        <w:tc>
          <w:tcPr>
            <w:tcW w:w="720" w:type="dxa"/>
            <w:tcBorders/>
            <w:shd w:fill="auto" w:val="clear"/>
            <w:vAlign w:val="bottom"/>
          </w:tcPr>
          <w:p>
            <w:pPr>
              <w:pStyle w:val="TableContents"/>
              <w:spacing w:before="0" w:after="0"/>
              <w:ind w:left="0" w:right="0" w:hanging="0"/>
              <w:jc w:val="center"/>
              <w:rPr>
                <w:rFonts w:ascii="Times New Roman" w:hAnsi="Times New Roman"/>
                <w:sz w:val="13"/>
              </w:rPr>
            </w:pPr>
            <w:r>
              <w:rPr>
                <w:rFonts w:ascii="Times New Roman" w:hAnsi="Times New Roman"/>
                <w:sz w:val="13"/>
              </w:rPr>
              <w:t>)</w:t>
            </w:r>
          </w:p>
        </w:tc>
      </w:tr>
      <w:tr>
        <w:trPr/>
        <w:tc>
          <w:tcPr>
            <w:tcW w:w="3663" w:type="dxa"/>
            <w:tcBorders/>
            <w:shd w:fill="CCEEFF" w:val="cle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pPr>
            <w:r>
              <w:rPr/>
              <w:t> </w:t>
            </w:r>
          </w:p>
        </w:tc>
        <w:tc>
          <w:tcPr>
            <w:tcW w:w="153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long-term assets</w:t>
            </w:r>
          </w:p>
        </w:tc>
        <w:tc>
          <w:tcPr>
            <w:tcW w:w="102"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27</w:t>
            </w:r>
          </w:p>
        </w:tc>
        <w:tc>
          <w:tcPr>
            <w:tcW w:w="203"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193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current liabilities</w:t>
            </w:r>
          </w:p>
        </w:tc>
        <w:tc>
          <w:tcPr>
            <w:tcW w:w="102"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w:t>
            </w:r>
          </w:p>
        </w:tc>
        <w:tc>
          <w:tcPr>
            <w:tcW w:w="7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663" w:type="dxa"/>
            <w:tcBorders/>
            <w:shd w:fill="auto" w:val="clear"/>
            <w:vAlign w:val="bottom"/>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153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long-term liabilities</w:t>
            </w:r>
          </w:p>
        </w:tc>
        <w:tc>
          <w:tcPr>
            <w:tcW w:w="102"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w:t>
            </w:r>
          </w:p>
        </w:tc>
        <w:tc>
          <w:tcPr>
            <w:tcW w:w="203"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93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long-term liabilities</w:t>
            </w:r>
          </w:p>
        </w:tc>
        <w:tc>
          <w:tcPr>
            <w:tcW w:w="102"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7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66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Foreign exchange derivatives</w:t>
            </w:r>
          </w:p>
        </w:tc>
        <w:tc>
          <w:tcPr>
            <w:tcW w:w="102" w:type="dxa"/>
            <w:tcBorders/>
            <w:shd w:fill="CCEEFF" w:val="clear"/>
            <w:vAlign w:val="bottom"/>
          </w:tcPr>
          <w:p>
            <w:pPr>
              <w:pStyle w:val="TableContents"/>
              <w:spacing w:before="0" w:after="0"/>
              <w:ind w:left="0" w:right="0" w:hanging="0"/>
              <w:rPr/>
            </w:pPr>
            <w:r>
              <w:rPr/>
              <w:t> </w:t>
            </w:r>
          </w:p>
        </w:tc>
        <w:tc>
          <w:tcPr>
            <w:tcW w:w="153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long-term assets</w:t>
            </w:r>
          </w:p>
        </w:tc>
        <w:tc>
          <w:tcPr>
            <w:tcW w:w="102"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203"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193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long-term liabilities</w:t>
            </w:r>
          </w:p>
        </w:tc>
        <w:tc>
          <w:tcPr>
            <w:tcW w:w="102"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720" w:type="dxa"/>
            <w:tcBorders/>
            <w:shd w:fill="CCEEFF" w:val="clear"/>
            <w:vAlign w:val="bottom"/>
          </w:tcPr>
          <w:p>
            <w:pPr>
              <w:pStyle w:val="TableContents"/>
              <w:spacing w:before="0" w:after="0"/>
              <w:ind w:left="0" w:right="0" w:hanging="0"/>
              <w:rPr/>
            </w:pPr>
            <w:r>
              <w:rPr/>
              <w:t> </w:t>
            </w:r>
          </w:p>
        </w:tc>
      </w:tr>
      <w:tr>
        <w:trPr/>
        <w:tc>
          <w:tcPr>
            <w:tcW w:w="366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Total derivatives designated as hedging instruments</w:t>
            </w:r>
          </w:p>
        </w:tc>
        <w:tc>
          <w:tcPr>
            <w:tcW w:w="102" w:type="dxa"/>
            <w:tcBorders/>
            <w:shd w:fill="auto" w:val="clear"/>
            <w:vAlign w:val="bottom"/>
          </w:tcPr>
          <w:p>
            <w:pPr>
              <w:pStyle w:val="TableContents"/>
              <w:spacing w:before="0" w:after="0"/>
              <w:ind w:left="0" w:right="0" w:hanging="0"/>
              <w:rPr/>
            </w:pPr>
            <w:r>
              <w:rPr/>
              <w:t> </w:t>
            </w:r>
          </w:p>
        </w:tc>
        <w:tc>
          <w:tcPr>
            <w:tcW w:w="1535"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10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86</w:t>
            </w:r>
          </w:p>
        </w:tc>
        <w:tc>
          <w:tcPr>
            <w:tcW w:w="203"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939" w:type="dxa"/>
            <w:tcBorders/>
            <w:shd w:fill="auto" w:val="clear"/>
            <w:vAlign w:val="bottom"/>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10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(62</w:t>
            </w:r>
          </w:p>
        </w:tc>
        <w:tc>
          <w:tcPr>
            <w:tcW w:w="7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663" w:type="dxa"/>
            <w:tcBorders/>
            <w:shd w:fill="CCEEFF" w:val="cle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pPr>
            <w:r>
              <w:rPr/>
              <w:t> </w:t>
            </w:r>
          </w:p>
        </w:tc>
        <w:tc>
          <w:tcPr>
            <w:tcW w:w="1535" w:type="dxa"/>
            <w:tcBorders/>
            <w:shd w:fill="CCEEFF" w:val="cle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pPr>
            <w:r>
              <w:rPr/>
              <w:t> </w:t>
            </w:r>
          </w:p>
        </w:tc>
        <w:tc>
          <w:tcPr>
            <w:tcW w:w="203"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1939" w:type="dxa"/>
            <w:tcBorders/>
            <w:shd w:fill="CCEEFF" w:val="cle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pPr>
            <w:r>
              <w:rPr/>
              <w:t> </w:t>
            </w:r>
          </w:p>
        </w:tc>
        <w:tc>
          <w:tcPr>
            <w:tcW w:w="720" w:type="dxa"/>
            <w:tcBorders/>
            <w:shd w:fill="CCEEFF" w:val="clear"/>
            <w:vAlign w:val="bottom"/>
          </w:tcPr>
          <w:p>
            <w:pPr>
              <w:pStyle w:val="TableContents"/>
              <w:spacing w:before="0" w:after="0"/>
              <w:ind w:left="0" w:right="0" w:hanging="0"/>
              <w:rPr/>
            </w:pPr>
            <w:r>
              <w:rPr/>
              <w:t> </w:t>
            </w:r>
          </w:p>
        </w:tc>
      </w:tr>
      <w:tr>
        <w:trPr/>
        <w:tc>
          <w:tcPr>
            <w:tcW w:w="3663"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Derivatives not designated as hedging instruments:</w:t>
            </w:r>
          </w:p>
        </w:tc>
        <w:tc>
          <w:tcPr>
            <w:tcW w:w="102" w:type="dxa"/>
            <w:tcBorders/>
            <w:shd w:fill="auto" w:val="clear"/>
            <w:vAlign w:val="bottom"/>
          </w:tcPr>
          <w:p>
            <w:pPr>
              <w:pStyle w:val="TableContents"/>
              <w:spacing w:before="0" w:after="0"/>
              <w:ind w:left="0" w:right="0" w:hanging="0"/>
              <w:rPr/>
            </w:pPr>
            <w:r>
              <w:rPr/>
              <w:t> </w:t>
            </w:r>
          </w:p>
        </w:tc>
        <w:tc>
          <w:tcPr>
            <w:tcW w:w="1535" w:type="dxa"/>
            <w:tcBorders/>
            <w:shd w:fill="auto" w:val="clear"/>
            <w:vAlign w:val="bottom"/>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pPr>
            <w:r>
              <w:rPr/>
              <w:t> </w:t>
            </w:r>
          </w:p>
        </w:tc>
        <w:tc>
          <w:tcPr>
            <w:tcW w:w="203"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939" w:type="dxa"/>
            <w:tcBorders/>
            <w:shd w:fill="auto" w:val="clear"/>
            <w:vAlign w:val="bottom"/>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pPr>
            <w:r>
              <w:rPr/>
              <w:t> </w:t>
            </w:r>
          </w:p>
        </w:tc>
        <w:tc>
          <w:tcPr>
            <w:tcW w:w="720" w:type="dxa"/>
            <w:tcBorders/>
            <w:shd w:fill="auto" w:val="clear"/>
            <w:vAlign w:val="bottom"/>
          </w:tcPr>
          <w:p>
            <w:pPr>
              <w:pStyle w:val="TableContents"/>
              <w:spacing w:before="0" w:after="0"/>
              <w:ind w:left="0" w:right="0" w:hanging="0"/>
              <w:rPr/>
            </w:pPr>
            <w:r>
              <w:rPr/>
              <w:t> </w:t>
            </w:r>
          </w:p>
        </w:tc>
      </w:tr>
      <w:tr>
        <w:trPr/>
        <w:tc>
          <w:tcPr>
            <w:tcW w:w="366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Commodity derivatives</w:t>
            </w:r>
          </w:p>
        </w:tc>
        <w:tc>
          <w:tcPr>
            <w:tcW w:w="102" w:type="dxa"/>
            <w:tcBorders/>
            <w:shd w:fill="CCEEFF" w:val="clear"/>
            <w:vAlign w:val="bottom"/>
          </w:tcPr>
          <w:p>
            <w:pPr>
              <w:pStyle w:val="TableContents"/>
              <w:spacing w:before="0" w:after="0"/>
              <w:ind w:left="0" w:right="0" w:hanging="0"/>
              <w:rPr/>
            </w:pPr>
            <w:r>
              <w:rPr/>
              <w:t> </w:t>
            </w:r>
          </w:p>
        </w:tc>
        <w:tc>
          <w:tcPr>
            <w:tcW w:w="153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current assets</w:t>
            </w:r>
          </w:p>
        </w:tc>
        <w:tc>
          <w:tcPr>
            <w:tcW w:w="102" w:type="dxa"/>
            <w:tcBorders/>
            <w:shd w:fill="CCEEFF" w:val="clear"/>
            <w:vAlign w:val="bottom"/>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77</w:t>
            </w:r>
          </w:p>
        </w:tc>
        <w:tc>
          <w:tcPr>
            <w:tcW w:w="203"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193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current assets</w:t>
            </w:r>
          </w:p>
        </w:tc>
        <w:tc>
          <w:tcPr>
            <w:tcW w:w="102" w:type="dxa"/>
            <w:tcBorders/>
            <w:shd w:fill="CCEEFF" w:val="clear"/>
            <w:vAlign w:val="bottom"/>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(82</w:t>
            </w:r>
          </w:p>
        </w:tc>
        <w:tc>
          <w:tcPr>
            <w:tcW w:w="7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663" w:type="dxa"/>
            <w:tcBorders/>
            <w:shd w:fill="auto" w:val="clear"/>
            <w:vAlign w:val="bottom"/>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153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long-term assets</w:t>
            </w:r>
          </w:p>
        </w:tc>
        <w:tc>
          <w:tcPr>
            <w:tcW w:w="102"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29</w:t>
            </w:r>
          </w:p>
        </w:tc>
        <w:tc>
          <w:tcPr>
            <w:tcW w:w="203"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93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current liabilities</w:t>
            </w:r>
          </w:p>
        </w:tc>
        <w:tc>
          <w:tcPr>
            <w:tcW w:w="102"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720" w:type="dxa"/>
            <w:tcBorders/>
            <w:shd w:fill="auto" w:val="clear"/>
            <w:vAlign w:val="bottom"/>
          </w:tcPr>
          <w:p>
            <w:pPr>
              <w:pStyle w:val="TableContents"/>
              <w:spacing w:before="0" w:after="0"/>
              <w:ind w:left="0" w:right="0" w:hanging="0"/>
              <w:rPr/>
            </w:pPr>
            <w:r>
              <w:rPr/>
              <w:t> </w:t>
            </w:r>
          </w:p>
        </w:tc>
      </w:tr>
      <w:tr>
        <w:trPr/>
        <w:tc>
          <w:tcPr>
            <w:tcW w:w="3663" w:type="dxa"/>
            <w:tcBorders/>
            <w:shd w:fill="CCEEFF" w:val="cle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pPr>
            <w:r>
              <w:rPr/>
              <w:t> </w:t>
            </w:r>
          </w:p>
        </w:tc>
        <w:tc>
          <w:tcPr>
            <w:tcW w:w="153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long-term liabilities</w:t>
            </w:r>
          </w:p>
        </w:tc>
        <w:tc>
          <w:tcPr>
            <w:tcW w:w="102"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w:t>
            </w:r>
          </w:p>
        </w:tc>
        <w:tc>
          <w:tcPr>
            <w:tcW w:w="203"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193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long-term liabilities</w:t>
            </w:r>
          </w:p>
        </w:tc>
        <w:tc>
          <w:tcPr>
            <w:tcW w:w="102"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w:t>
            </w:r>
          </w:p>
        </w:tc>
        <w:tc>
          <w:tcPr>
            <w:tcW w:w="7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66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Interest rate derivatives</w:t>
            </w:r>
          </w:p>
        </w:tc>
        <w:tc>
          <w:tcPr>
            <w:tcW w:w="102" w:type="dxa"/>
            <w:tcBorders/>
            <w:shd w:fill="auto" w:val="clear"/>
            <w:vAlign w:val="bottom"/>
          </w:tcPr>
          <w:p>
            <w:pPr>
              <w:pStyle w:val="TableContents"/>
              <w:spacing w:before="0" w:after="0"/>
              <w:ind w:left="0" w:right="0" w:hanging="0"/>
              <w:rPr/>
            </w:pPr>
            <w:r>
              <w:rPr/>
              <w:t> </w:t>
            </w:r>
          </w:p>
        </w:tc>
        <w:tc>
          <w:tcPr>
            <w:tcW w:w="153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current assets</w:t>
            </w:r>
          </w:p>
        </w:tc>
        <w:tc>
          <w:tcPr>
            <w:tcW w:w="102"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203"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93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current liabilities</w:t>
            </w:r>
          </w:p>
        </w:tc>
        <w:tc>
          <w:tcPr>
            <w:tcW w:w="102"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720" w:type="dxa"/>
            <w:tcBorders/>
            <w:shd w:fill="auto" w:val="clear"/>
            <w:vAlign w:val="bottom"/>
          </w:tcPr>
          <w:p>
            <w:pPr>
              <w:pStyle w:val="TableContents"/>
              <w:spacing w:before="0" w:after="0"/>
              <w:ind w:left="0" w:right="0" w:hanging="0"/>
              <w:rPr/>
            </w:pPr>
            <w:r>
              <w:rPr/>
              <w:t> </w:t>
            </w:r>
          </w:p>
        </w:tc>
      </w:tr>
      <w:tr>
        <w:trPr/>
        <w:tc>
          <w:tcPr>
            <w:tcW w:w="366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Foreign exchange derivatives</w:t>
            </w:r>
          </w:p>
        </w:tc>
        <w:tc>
          <w:tcPr>
            <w:tcW w:w="102" w:type="dxa"/>
            <w:tcBorders/>
            <w:shd w:fill="CCEEFF" w:val="clear"/>
            <w:vAlign w:val="bottom"/>
          </w:tcPr>
          <w:p>
            <w:pPr>
              <w:pStyle w:val="TableContents"/>
              <w:spacing w:before="0" w:after="0"/>
              <w:ind w:left="0" w:right="0" w:hanging="0"/>
              <w:rPr/>
            </w:pPr>
            <w:r>
              <w:rPr/>
              <w:t> </w:t>
            </w:r>
          </w:p>
        </w:tc>
        <w:tc>
          <w:tcPr>
            <w:tcW w:w="153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current assets</w:t>
            </w:r>
          </w:p>
        </w:tc>
        <w:tc>
          <w:tcPr>
            <w:tcW w:w="102" w:type="dxa"/>
            <w:tcBorders/>
            <w:shd w:fill="CCEEFF" w:val="clear"/>
            <w:vAlign w:val="bottom"/>
          </w:tcPr>
          <w:p>
            <w:pPr>
              <w:pStyle w:val="TableContents"/>
              <w:spacing w:before="0" w:after="0"/>
              <w:ind w:left="0" w:right="0" w:hanging="0"/>
              <w:rPr/>
            </w:pPr>
            <w:r>
              <w:rPr/>
              <w:t> </w:t>
            </w:r>
          </w:p>
        </w:tc>
        <w:tc>
          <w:tcPr>
            <w:tcW w:w="8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203"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193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current liabilities</w:t>
            </w:r>
          </w:p>
        </w:tc>
        <w:tc>
          <w:tcPr>
            <w:tcW w:w="102"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7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66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Total derivatives not designated as hedging instruments</w:t>
            </w:r>
          </w:p>
        </w:tc>
        <w:tc>
          <w:tcPr>
            <w:tcW w:w="102" w:type="dxa"/>
            <w:tcBorders/>
            <w:shd w:fill="auto" w:val="clear"/>
            <w:vAlign w:val="bottom"/>
          </w:tcPr>
          <w:p>
            <w:pPr>
              <w:pStyle w:val="TableContents"/>
              <w:spacing w:before="0" w:after="0"/>
              <w:ind w:left="0" w:right="0" w:hanging="0"/>
              <w:rPr/>
            </w:pPr>
            <w:r>
              <w:rPr/>
              <w:t> </w:t>
            </w:r>
          </w:p>
        </w:tc>
        <w:tc>
          <w:tcPr>
            <w:tcW w:w="1535" w:type="dxa"/>
            <w:tcBorders/>
            <w:shd w:fill="auto" w:val="clear"/>
            <w:vAlign w:val="bottom"/>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10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116</w:t>
            </w:r>
          </w:p>
        </w:tc>
        <w:tc>
          <w:tcPr>
            <w:tcW w:w="203"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939" w:type="dxa"/>
            <w:tcBorders/>
            <w:shd w:fill="auto" w:val="clear"/>
            <w:vAlign w:val="bottom"/>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10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(96</w:t>
            </w:r>
          </w:p>
        </w:tc>
        <w:tc>
          <w:tcPr>
            <w:tcW w:w="7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663" w:type="dxa"/>
            <w:tcBorders/>
            <w:shd w:fill="CCEEFF" w:val="cle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pPr>
            <w:r>
              <w:rPr/>
              <w:t> </w:t>
            </w:r>
          </w:p>
        </w:tc>
        <w:tc>
          <w:tcPr>
            <w:tcW w:w="1535" w:type="dxa"/>
            <w:tcBorders/>
            <w:shd w:fill="CCEEFF" w:val="cle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pPr>
            <w:r>
              <w:rPr/>
              <w:t> </w:t>
            </w:r>
          </w:p>
        </w:tc>
        <w:tc>
          <w:tcPr>
            <w:tcW w:w="203"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1939" w:type="dxa"/>
            <w:tcBorders/>
            <w:shd w:fill="CCEEFF" w:val="cle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pPr>
            <w:r>
              <w:rPr/>
              <w:t> </w:t>
            </w:r>
          </w:p>
        </w:tc>
        <w:tc>
          <w:tcPr>
            <w:tcW w:w="720" w:type="dxa"/>
            <w:tcBorders/>
            <w:shd w:fill="CCEEFF" w:val="clear"/>
            <w:vAlign w:val="bottom"/>
          </w:tcPr>
          <w:p>
            <w:pPr>
              <w:pStyle w:val="TableContents"/>
              <w:spacing w:before="0" w:after="0"/>
              <w:ind w:left="0" w:right="0" w:hanging="0"/>
              <w:rPr/>
            </w:pPr>
            <w:r>
              <w:rPr/>
              <w:t> </w:t>
            </w:r>
          </w:p>
        </w:tc>
      </w:tr>
      <w:tr>
        <w:trPr/>
        <w:tc>
          <w:tcPr>
            <w:tcW w:w="366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Total derivatives</w:t>
            </w:r>
          </w:p>
        </w:tc>
        <w:tc>
          <w:tcPr>
            <w:tcW w:w="102" w:type="dxa"/>
            <w:tcBorders/>
            <w:shd w:fill="auto" w:val="clear"/>
            <w:vAlign w:val="bottom"/>
          </w:tcPr>
          <w:p>
            <w:pPr>
              <w:pStyle w:val="TableContents"/>
              <w:spacing w:before="0" w:after="0"/>
              <w:ind w:left="0" w:right="0" w:hanging="0"/>
              <w:rPr/>
            </w:pPr>
            <w:r>
              <w:rPr/>
              <w:t> </w:t>
            </w:r>
          </w:p>
        </w:tc>
        <w:tc>
          <w:tcPr>
            <w:tcW w:w="1535" w:type="dxa"/>
            <w:tcBorders/>
            <w:shd w:fill="auto" w:val="clear"/>
            <w:vAlign w:val="bottom"/>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10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202</w:t>
            </w:r>
          </w:p>
        </w:tc>
        <w:tc>
          <w:tcPr>
            <w:tcW w:w="203"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939" w:type="dxa"/>
            <w:tcBorders/>
            <w:shd w:fill="auto" w:val="clear"/>
            <w:vAlign w:val="bottom"/>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10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(158</w:t>
            </w:r>
          </w:p>
        </w:tc>
        <w:tc>
          <w:tcPr>
            <w:tcW w:w="7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the derivative assets and liabilities on our consolidated balance sheet on a gross basis as of December 31, 2009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663"/>
        <w:gridCol w:w="102"/>
        <w:gridCol w:w="1535"/>
        <w:gridCol w:w="102"/>
        <w:gridCol w:w="103"/>
        <w:gridCol w:w="715"/>
        <w:gridCol w:w="203"/>
        <w:gridCol w:w="203"/>
        <w:gridCol w:w="1939"/>
        <w:gridCol w:w="102"/>
        <w:gridCol w:w="103"/>
        <w:gridCol w:w="715"/>
        <w:gridCol w:w="720"/>
      </w:tblGrid>
      <w:tr>
        <w:trPr/>
        <w:tc>
          <w:tcPr>
            <w:tcW w:w="3663" w:type="dxa"/>
            <w:tcBorders/>
            <w:shd w:fill="auto" w:val="clear"/>
            <w:vAlign w:val="bottom"/>
          </w:tcPr>
          <w:p>
            <w:pPr>
              <w:pStyle w:val="TableContents"/>
              <w:spacing w:before="0" w:after="0"/>
              <w:ind w:left="0" w:right="0" w:hanging="0"/>
              <w:jc w:val="center"/>
              <w:rPr/>
            </w:pPr>
            <w:r>
              <w:rPr/>
              <w:t> </w:t>
            </w:r>
          </w:p>
        </w:tc>
        <w:tc>
          <w:tcPr>
            <w:tcW w:w="102" w:type="dxa"/>
            <w:tcBorders/>
            <w:shd w:fill="auto" w:val="clear"/>
            <w:vAlign w:val="bottom"/>
          </w:tcPr>
          <w:p>
            <w:pPr>
              <w:pStyle w:val="TableContents"/>
              <w:spacing w:before="0" w:after="0"/>
              <w:ind w:left="0" w:right="0" w:hanging="0"/>
              <w:jc w:val="center"/>
              <w:rPr/>
            </w:pPr>
            <w:r>
              <w:rPr/>
              <w:t> </w:t>
            </w:r>
          </w:p>
        </w:tc>
        <w:tc>
          <w:tcPr>
            <w:tcW w:w="2455"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Derivatives</w:t>
            </w:r>
          </w:p>
        </w:tc>
        <w:tc>
          <w:tcPr>
            <w:tcW w:w="203" w:type="dxa"/>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2859"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Derivatives</w:t>
            </w:r>
          </w:p>
        </w:tc>
        <w:tc>
          <w:tcPr>
            <w:tcW w:w="720" w:type="dxa"/>
            <w:tcBorders/>
            <w:shd w:fill="auto" w:val="clear"/>
            <w:vAlign w:val="bottom"/>
          </w:tcPr>
          <w:p>
            <w:pPr>
              <w:pStyle w:val="TableContents"/>
              <w:spacing w:before="0" w:after="0"/>
              <w:ind w:left="0" w:right="0" w:hanging="0"/>
              <w:jc w:val="center"/>
              <w:rPr/>
            </w:pPr>
            <w:r>
              <w:rPr/>
              <w:t> </w:t>
            </w:r>
          </w:p>
        </w:tc>
      </w:tr>
      <w:tr>
        <w:trPr/>
        <w:tc>
          <w:tcPr>
            <w:tcW w:w="3663" w:type="dxa"/>
            <w:tcBorders/>
            <w:shd w:fill="auto" w:val="clear"/>
            <w:vAlign w:val="bottom"/>
          </w:tcPr>
          <w:p>
            <w:pPr>
              <w:pStyle w:val="TableContents"/>
              <w:spacing w:before="0" w:after="0"/>
              <w:ind w:left="0" w:right="0" w:hanging="0"/>
              <w:jc w:val="center"/>
              <w:rPr/>
            </w:pPr>
            <w:r>
              <w:rPr/>
              <w:t> </w:t>
            </w:r>
          </w:p>
        </w:tc>
        <w:tc>
          <w:tcPr>
            <w:tcW w:w="102" w:type="dxa"/>
            <w:tcBorders/>
            <w:shd w:fill="auto" w:val="clear"/>
            <w:vAlign w:val="bottom"/>
          </w:tcPr>
          <w:p>
            <w:pPr>
              <w:pStyle w:val="TableContents"/>
              <w:spacing w:before="0" w:after="0"/>
              <w:ind w:left="0" w:right="0" w:hanging="0"/>
              <w:jc w:val="center"/>
              <w:rPr/>
            </w:pPr>
            <w:r>
              <w:rPr/>
              <w:t> </w:t>
            </w:r>
          </w:p>
        </w:tc>
        <w:tc>
          <w:tcPr>
            <w:tcW w:w="153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0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1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939"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0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1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20" w:type="dxa"/>
            <w:tcBorders/>
            <w:shd w:fill="auto" w:val="clear"/>
            <w:vAlign w:val="bottom"/>
          </w:tcPr>
          <w:p>
            <w:pPr>
              <w:pStyle w:val="TableContents"/>
              <w:spacing w:before="0" w:after="0"/>
              <w:ind w:left="0" w:right="0" w:hanging="0"/>
              <w:jc w:val="center"/>
              <w:rPr/>
            </w:pPr>
            <w:r>
              <w:rPr/>
              <w:t> </w:t>
            </w:r>
          </w:p>
        </w:tc>
      </w:tr>
      <w:tr>
        <w:trPr/>
        <w:tc>
          <w:tcPr>
            <w:tcW w:w="3663" w:type="dxa"/>
            <w:tcBorders/>
            <w:shd w:fill="auto" w:val="clear"/>
            <w:vAlign w:val="bottom"/>
          </w:tcPr>
          <w:p>
            <w:pPr>
              <w:pStyle w:val="TableContents"/>
              <w:spacing w:before="0" w:after="0"/>
              <w:ind w:left="0" w:right="0" w:hanging="0"/>
              <w:jc w:val="center"/>
              <w:rPr/>
            </w:pPr>
            <w:r>
              <w:rPr/>
              <w:t> </w:t>
            </w:r>
          </w:p>
        </w:tc>
        <w:tc>
          <w:tcPr>
            <w:tcW w:w="102" w:type="dxa"/>
            <w:tcBorders/>
            <w:shd w:fill="auto" w:val="clear"/>
            <w:vAlign w:val="bottom"/>
          </w:tcPr>
          <w:p>
            <w:pPr>
              <w:pStyle w:val="TableContents"/>
              <w:spacing w:before="0" w:after="0"/>
              <w:ind w:left="0" w:right="0" w:hanging="0"/>
              <w:jc w:val="center"/>
              <w:rPr/>
            </w:pPr>
            <w:r>
              <w:rPr/>
              <w:t> </w:t>
            </w:r>
          </w:p>
        </w:tc>
        <w:tc>
          <w:tcPr>
            <w:tcW w:w="153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02" w:type="dxa"/>
            <w:tcBorders/>
            <w:shd w:fill="auto" w:val="clear"/>
            <w:vAlign w:val="bottom"/>
          </w:tcPr>
          <w:p>
            <w:pPr>
              <w:pStyle w:val="TableContents"/>
              <w:spacing w:before="0" w:after="0"/>
              <w:ind w:left="0" w:right="0" w:hanging="0"/>
              <w:jc w:val="center"/>
              <w:rPr/>
            </w:pPr>
            <w:r>
              <w:rPr/>
              <w:t> </w:t>
            </w:r>
          </w:p>
        </w:tc>
        <w:tc>
          <w:tcPr>
            <w:tcW w:w="8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03" w:type="dxa"/>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93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02" w:type="dxa"/>
            <w:tcBorders/>
            <w:shd w:fill="auto" w:val="clear"/>
            <w:vAlign w:val="bottom"/>
          </w:tcPr>
          <w:p>
            <w:pPr>
              <w:pStyle w:val="TableContents"/>
              <w:spacing w:before="0" w:after="0"/>
              <w:ind w:left="0" w:right="0" w:hanging="0"/>
              <w:jc w:val="center"/>
              <w:rPr/>
            </w:pPr>
            <w:r>
              <w:rPr/>
              <w:t> </w:t>
            </w:r>
          </w:p>
        </w:tc>
        <w:tc>
          <w:tcPr>
            <w:tcW w:w="8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720" w:type="dxa"/>
            <w:tcBorders/>
            <w:shd w:fill="auto" w:val="clear"/>
            <w:vAlign w:val="bottom"/>
          </w:tcPr>
          <w:p>
            <w:pPr>
              <w:pStyle w:val="TableContents"/>
              <w:spacing w:before="0" w:after="0"/>
              <w:ind w:left="0" w:right="0" w:hanging="0"/>
              <w:jc w:val="center"/>
              <w:rPr/>
            </w:pPr>
            <w:r>
              <w:rPr/>
              <w:t> </w:t>
            </w:r>
          </w:p>
        </w:tc>
      </w:tr>
      <w:tr>
        <w:trPr/>
        <w:tc>
          <w:tcPr>
            <w:tcW w:w="3663" w:type="dxa"/>
            <w:tcBorders/>
            <w:shd w:fill="CCEEFF" w:val="clear"/>
            <w:vAlign w:val="bottom"/>
          </w:tcPr>
          <w:p>
            <w:pPr>
              <w:pStyle w:val="TableContents"/>
              <w:spacing w:before="0" w:after="0"/>
              <w:ind w:left="0" w:right="0" w:hanging="0"/>
              <w:rPr/>
            </w:pPr>
            <w:r>
              <w:rPr>
                <w:rFonts w:ascii="Times New Roman" w:hAnsi="Times New Roman"/>
                <w:b/>
                <w:sz w:val="13"/>
              </w:rPr>
              <w:t>Derivatives designated as hedging</w:t>
            </w:r>
            <w:r>
              <w:rPr/>
              <w:t xml:space="preserve"> </w:t>
            </w:r>
            <w:r>
              <w:rPr>
                <w:b/>
                <w:sz w:val="13"/>
              </w:rPr>
              <w:t>instruments:</w:t>
            </w:r>
          </w:p>
        </w:tc>
        <w:tc>
          <w:tcPr>
            <w:tcW w:w="102" w:type="dxa"/>
            <w:tcBorders/>
            <w:shd w:fill="CCEEFF" w:val="clear"/>
            <w:vAlign w:val="bottom"/>
          </w:tcPr>
          <w:p>
            <w:pPr>
              <w:pStyle w:val="TableContents"/>
              <w:spacing w:before="0" w:after="0"/>
              <w:ind w:left="0" w:right="0" w:hanging="0"/>
              <w:rPr/>
            </w:pPr>
            <w:r>
              <w:rPr/>
              <w:t> </w:t>
            </w:r>
          </w:p>
        </w:tc>
        <w:tc>
          <w:tcPr>
            <w:tcW w:w="1535" w:type="dxa"/>
            <w:tcBorders/>
            <w:shd w:fill="CCEEFF" w:val="cle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pPr>
            <w:r>
              <w:rPr/>
              <w:t> </w:t>
            </w:r>
          </w:p>
        </w:tc>
        <w:tc>
          <w:tcPr>
            <w:tcW w:w="203"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1939" w:type="dxa"/>
            <w:tcBorders/>
            <w:shd w:fill="CCEEFF" w:val="cle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pPr>
            <w:r>
              <w:rPr/>
              <w:t> </w:t>
            </w:r>
          </w:p>
        </w:tc>
        <w:tc>
          <w:tcPr>
            <w:tcW w:w="720" w:type="dxa"/>
            <w:tcBorders/>
            <w:shd w:fill="CCEEFF" w:val="clear"/>
            <w:vAlign w:val="bottom"/>
          </w:tcPr>
          <w:p>
            <w:pPr>
              <w:pStyle w:val="TableContents"/>
              <w:spacing w:before="0" w:after="0"/>
              <w:ind w:left="0" w:right="0" w:hanging="0"/>
              <w:rPr/>
            </w:pPr>
            <w:r>
              <w:rPr/>
              <w:t> </w:t>
            </w:r>
          </w:p>
        </w:tc>
      </w:tr>
      <w:tr>
        <w:trPr/>
        <w:tc>
          <w:tcPr>
            <w:tcW w:w="366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Commodity derivatives</w:t>
            </w:r>
          </w:p>
        </w:tc>
        <w:tc>
          <w:tcPr>
            <w:tcW w:w="102" w:type="dxa"/>
            <w:tcBorders/>
            <w:shd w:fill="auto" w:val="clear"/>
            <w:vAlign w:val="bottom"/>
          </w:tcPr>
          <w:p>
            <w:pPr>
              <w:pStyle w:val="TableContents"/>
              <w:spacing w:before="0" w:after="0"/>
              <w:ind w:left="0" w:right="0" w:hanging="0"/>
              <w:rPr/>
            </w:pPr>
            <w:r>
              <w:rPr/>
              <w:t> </w:t>
            </w:r>
          </w:p>
        </w:tc>
        <w:tc>
          <w:tcPr>
            <w:tcW w:w="153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current assets</w:t>
            </w:r>
          </w:p>
        </w:tc>
        <w:tc>
          <w:tcPr>
            <w:tcW w:w="102" w:type="dxa"/>
            <w:tcBorders/>
            <w:shd w:fill="auto" w:val="cle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153</w:t>
            </w:r>
          </w:p>
        </w:tc>
        <w:tc>
          <w:tcPr>
            <w:tcW w:w="203"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93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current liabilities</w:t>
            </w:r>
          </w:p>
        </w:tc>
        <w:tc>
          <w:tcPr>
            <w:tcW w:w="102" w:type="dxa"/>
            <w:tcBorders/>
            <w:shd w:fill="auto" w:val="cle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(140</w:t>
            </w:r>
          </w:p>
        </w:tc>
        <w:tc>
          <w:tcPr>
            <w:tcW w:w="7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663" w:type="dxa"/>
            <w:tcBorders/>
            <w:shd w:fill="CCEEFF" w:val="cle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pPr>
            <w:r>
              <w:rPr/>
              <w:t> </w:t>
            </w:r>
          </w:p>
        </w:tc>
        <w:tc>
          <w:tcPr>
            <w:tcW w:w="153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long-term assets</w:t>
            </w:r>
          </w:p>
        </w:tc>
        <w:tc>
          <w:tcPr>
            <w:tcW w:w="102"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w:t>
            </w:r>
          </w:p>
        </w:tc>
        <w:tc>
          <w:tcPr>
            <w:tcW w:w="203"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193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long-term liabilities</w:t>
            </w:r>
          </w:p>
        </w:tc>
        <w:tc>
          <w:tcPr>
            <w:tcW w:w="102"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7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66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Foreign exchange derivatives</w:t>
            </w:r>
          </w:p>
        </w:tc>
        <w:tc>
          <w:tcPr>
            <w:tcW w:w="102" w:type="dxa"/>
            <w:tcBorders/>
            <w:shd w:fill="auto" w:val="clear"/>
            <w:vAlign w:val="bottom"/>
          </w:tcPr>
          <w:p>
            <w:pPr>
              <w:pStyle w:val="TableContents"/>
              <w:spacing w:before="0" w:after="0"/>
              <w:ind w:left="0" w:right="0" w:hanging="0"/>
              <w:rPr/>
            </w:pPr>
            <w:r>
              <w:rPr/>
              <w:t> </w:t>
            </w:r>
          </w:p>
        </w:tc>
        <w:tc>
          <w:tcPr>
            <w:tcW w:w="153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long-term assets</w:t>
            </w:r>
          </w:p>
        </w:tc>
        <w:tc>
          <w:tcPr>
            <w:tcW w:w="102" w:type="dxa"/>
            <w:tcBorders/>
            <w:shd w:fill="auto" w:val="clear"/>
            <w:vAlign w:val="bottom"/>
          </w:tcPr>
          <w:p>
            <w:pPr>
              <w:pStyle w:val="TableContents"/>
              <w:spacing w:before="0" w:after="0"/>
              <w:ind w:left="0" w:right="0" w:hanging="0"/>
              <w:rPr/>
            </w:pPr>
            <w:r>
              <w:rPr/>
              <w:t> </w:t>
            </w:r>
          </w:p>
        </w:tc>
        <w:tc>
          <w:tcPr>
            <w:tcW w:w="8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203"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93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long-term liabilities</w:t>
            </w:r>
          </w:p>
        </w:tc>
        <w:tc>
          <w:tcPr>
            <w:tcW w:w="102" w:type="dxa"/>
            <w:tcBorders/>
            <w:shd w:fill="auto" w:val="clear"/>
            <w:vAlign w:val="bottom"/>
          </w:tcPr>
          <w:p>
            <w:pPr>
              <w:pStyle w:val="TableContents"/>
              <w:spacing w:before="0" w:after="0"/>
              <w:ind w:left="0" w:right="0" w:hanging="0"/>
              <w:rPr/>
            </w:pPr>
            <w:r>
              <w:rPr/>
              <w:t> </w:t>
            </w:r>
          </w:p>
        </w:tc>
        <w:tc>
          <w:tcPr>
            <w:tcW w:w="8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720" w:type="dxa"/>
            <w:tcBorders/>
            <w:shd w:fill="auto" w:val="clear"/>
            <w:vAlign w:val="bottom"/>
          </w:tcPr>
          <w:p>
            <w:pPr>
              <w:pStyle w:val="TableContents"/>
              <w:spacing w:before="0" w:after="0"/>
              <w:ind w:left="0" w:right="0" w:hanging="0"/>
              <w:rPr/>
            </w:pPr>
            <w:r>
              <w:rPr/>
              <w:t> </w:t>
            </w:r>
          </w:p>
        </w:tc>
      </w:tr>
      <w:tr>
        <w:trPr/>
        <w:tc>
          <w:tcPr>
            <w:tcW w:w="366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Total derivatives designated as hedging instruments</w:t>
            </w:r>
          </w:p>
        </w:tc>
        <w:tc>
          <w:tcPr>
            <w:tcW w:w="102" w:type="dxa"/>
            <w:tcBorders/>
            <w:shd w:fill="CCEEFF" w:val="clear"/>
            <w:vAlign w:val="bottom"/>
          </w:tcPr>
          <w:p>
            <w:pPr>
              <w:pStyle w:val="TableContents"/>
              <w:spacing w:before="0" w:after="0"/>
              <w:ind w:left="0" w:right="0" w:hanging="0"/>
              <w:rPr/>
            </w:pPr>
            <w:r>
              <w:rPr/>
              <w:t> </w:t>
            </w:r>
          </w:p>
        </w:tc>
        <w:tc>
          <w:tcPr>
            <w:tcW w:w="1535"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10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189</w:t>
            </w:r>
          </w:p>
        </w:tc>
        <w:tc>
          <w:tcPr>
            <w:tcW w:w="203"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1939" w:type="dxa"/>
            <w:tcBorders/>
            <w:shd w:fill="CCEEFF" w:val="cle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pPr>
            <w:r>
              <w:rPr/>
              <w:t> </w:t>
            </w:r>
          </w:p>
        </w:tc>
        <w:tc>
          <w:tcPr>
            <w:tcW w:w="10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(141</w:t>
            </w:r>
          </w:p>
        </w:tc>
        <w:tc>
          <w:tcPr>
            <w:tcW w:w="7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663" w:type="dxa"/>
            <w:tcBorders/>
            <w:shd w:fill="auto" w:val="clear"/>
            <w:vAlign w:val="bottom"/>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1535" w:type="dxa"/>
            <w:tcBorders/>
            <w:shd w:fill="auto" w:val="clear"/>
            <w:vAlign w:val="bottom"/>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pPr>
            <w:r>
              <w:rPr/>
              <w:t> </w:t>
            </w:r>
          </w:p>
        </w:tc>
        <w:tc>
          <w:tcPr>
            <w:tcW w:w="203"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939" w:type="dxa"/>
            <w:tcBorders/>
            <w:shd w:fill="auto" w:val="clear"/>
            <w:vAlign w:val="bottom"/>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pPr>
            <w:r>
              <w:rPr/>
              <w:t> </w:t>
            </w:r>
          </w:p>
        </w:tc>
        <w:tc>
          <w:tcPr>
            <w:tcW w:w="720" w:type="dxa"/>
            <w:tcBorders/>
            <w:shd w:fill="auto" w:val="clear"/>
            <w:vAlign w:val="bottom"/>
          </w:tcPr>
          <w:p>
            <w:pPr>
              <w:pStyle w:val="TableContents"/>
              <w:spacing w:before="0" w:after="0"/>
              <w:ind w:left="0" w:right="0" w:hanging="0"/>
              <w:rPr/>
            </w:pPr>
            <w:r>
              <w:rPr/>
              <w:t> </w:t>
            </w:r>
          </w:p>
        </w:tc>
      </w:tr>
      <w:tr>
        <w:trPr/>
        <w:tc>
          <w:tcPr>
            <w:tcW w:w="3663" w:type="dxa"/>
            <w:tcBorders/>
            <w:shd w:fill="CCEEFF"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Derivatives not designated as hedging instruments:</w:t>
            </w:r>
          </w:p>
        </w:tc>
        <w:tc>
          <w:tcPr>
            <w:tcW w:w="102" w:type="dxa"/>
            <w:tcBorders/>
            <w:shd w:fill="CCEEFF" w:val="clear"/>
            <w:vAlign w:val="bottom"/>
          </w:tcPr>
          <w:p>
            <w:pPr>
              <w:pStyle w:val="TableContents"/>
              <w:spacing w:before="0" w:after="0"/>
              <w:ind w:left="0" w:right="0" w:hanging="0"/>
              <w:rPr/>
            </w:pPr>
            <w:r>
              <w:rPr/>
              <w:t> </w:t>
            </w:r>
          </w:p>
        </w:tc>
        <w:tc>
          <w:tcPr>
            <w:tcW w:w="1535" w:type="dxa"/>
            <w:tcBorders/>
            <w:shd w:fill="CCEEFF" w:val="cle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pPr>
            <w:r>
              <w:rPr/>
              <w:t> </w:t>
            </w:r>
          </w:p>
        </w:tc>
        <w:tc>
          <w:tcPr>
            <w:tcW w:w="203"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1939" w:type="dxa"/>
            <w:tcBorders/>
            <w:shd w:fill="CCEEFF" w:val="cle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pPr>
            <w:r>
              <w:rPr/>
              <w:t> </w:t>
            </w:r>
          </w:p>
        </w:tc>
        <w:tc>
          <w:tcPr>
            <w:tcW w:w="720" w:type="dxa"/>
            <w:tcBorders/>
            <w:shd w:fill="CCEEFF" w:val="clear"/>
            <w:vAlign w:val="bottom"/>
          </w:tcPr>
          <w:p>
            <w:pPr>
              <w:pStyle w:val="TableContents"/>
              <w:spacing w:before="0" w:after="0"/>
              <w:ind w:left="0" w:right="0" w:hanging="0"/>
              <w:rPr/>
            </w:pPr>
            <w:r>
              <w:rPr/>
              <w:t> </w:t>
            </w:r>
          </w:p>
        </w:tc>
      </w:tr>
      <w:tr>
        <w:trPr/>
        <w:tc>
          <w:tcPr>
            <w:tcW w:w="366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Commodity derivatives</w:t>
            </w:r>
          </w:p>
        </w:tc>
        <w:tc>
          <w:tcPr>
            <w:tcW w:w="102" w:type="dxa"/>
            <w:tcBorders/>
            <w:shd w:fill="auto" w:val="clear"/>
            <w:vAlign w:val="bottom"/>
          </w:tcPr>
          <w:p>
            <w:pPr>
              <w:pStyle w:val="TableContents"/>
              <w:spacing w:before="0" w:after="0"/>
              <w:ind w:left="0" w:right="0" w:hanging="0"/>
              <w:rPr/>
            </w:pPr>
            <w:r>
              <w:rPr/>
              <w:t> </w:t>
            </w:r>
          </w:p>
        </w:tc>
        <w:tc>
          <w:tcPr>
            <w:tcW w:w="153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current assets</w:t>
            </w:r>
          </w:p>
        </w:tc>
        <w:tc>
          <w:tcPr>
            <w:tcW w:w="102" w:type="dxa"/>
            <w:tcBorders/>
            <w:shd w:fill="auto" w:val="cle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w:t>
            </w:r>
          </w:p>
        </w:tc>
        <w:tc>
          <w:tcPr>
            <w:tcW w:w="203"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93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current liabilities</w:t>
            </w:r>
          </w:p>
        </w:tc>
        <w:tc>
          <w:tcPr>
            <w:tcW w:w="102" w:type="dxa"/>
            <w:tcBorders/>
            <w:shd w:fill="auto" w:val="cle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(91</w:t>
            </w:r>
          </w:p>
        </w:tc>
        <w:tc>
          <w:tcPr>
            <w:tcW w:w="7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663" w:type="dxa"/>
            <w:tcBorders/>
            <w:shd w:fill="CCEEFF" w:val="cle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pPr>
            <w:r>
              <w:rPr/>
              <w:t> </w:t>
            </w:r>
          </w:p>
        </w:tc>
        <w:tc>
          <w:tcPr>
            <w:tcW w:w="153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long-term assets</w:t>
            </w:r>
          </w:p>
        </w:tc>
        <w:tc>
          <w:tcPr>
            <w:tcW w:w="102"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41</w:t>
            </w:r>
          </w:p>
        </w:tc>
        <w:tc>
          <w:tcPr>
            <w:tcW w:w="203"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193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long-term liabilities</w:t>
            </w:r>
          </w:p>
        </w:tc>
        <w:tc>
          <w:tcPr>
            <w:tcW w:w="102"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w:t>
            </w:r>
          </w:p>
        </w:tc>
        <w:tc>
          <w:tcPr>
            <w:tcW w:w="7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66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Interest rate derivatives</w:t>
            </w:r>
          </w:p>
        </w:tc>
        <w:tc>
          <w:tcPr>
            <w:tcW w:w="102" w:type="dxa"/>
            <w:tcBorders/>
            <w:shd w:fill="auto" w:val="clear"/>
            <w:vAlign w:val="bottom"/>
          </w:tcPr>
          <w:p>
            <w:pPr>
              <w:pStyle w:val="TableContents"/>
              <w:spacing w:before="0" w:after="0"/>
              <w:ind w:left="0" w:right="0" w:hanging="0"/>
              <w:rPr/>
            </w:pPr>
            <w:r>
              <w:rPr/>
              <w:t> </w:t>
            </w:r>
          </w:p>
        </w:tc>
        <w:tc>
          <w:tcPr>
            <w:tcW w:w="153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current assets</w:t>
            </w:r>
          </w:p>
        </w:tc>
        <w:tc>
          <w:tcPr>
            <w:tcW w:w="102"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203"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93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current liabilities</w:t>
            </w:r>
          </w:p>
        </w:tc>
        <w:tc>
          <w:tcPr>
            <w:tcW w:w="102"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720" w:type="dxa"/>
            <w:tcBorders/>
            <w:shd w:fill="auto" w:val="clear"/>
            <w:vAlign w:val="bottom"/>
          </w:tcPr>
          <w:p>
            <w:pPr>
              <w:pStyle w:val="TableContents"/>
              <w:spacing w:before="0" w:after="0"/>
              <w:ind w:left="0" w:right="0" w:hanging="0"/>
              <w:rPr/>
            </w:pPr>
            <w:r>
              <w:rPr/>
              <w:t> </w:t>
            </w:r>
          </w:p>
        </w:tc>
      </w:tr>
      <w:tr>
        <w:trPr/>
        <w:tc>
          <w:tcPr>
            <w:tcW w:w="3663" w:type="dxa"/>
            <w:tcBorders/>
            <w:shd w:fill="CCEEFF" w:val="cle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pPr>
            <w:r>
              <w:rPr/>
              <w:t> </w:t>
            </w:r>
          </w:p>
        </w:tc>
        <w:tc>
          <w:tcPr>
            <w:tcW w:w="153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long-term assets</w:t>
            </w:r>
          </w:p>
        </w:tc>
        <w:tc>
          <w:tcPr>
            <w:tcW w:w="102"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203"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193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long-term liabilities</w:t>
            </w:r>
          </w:p>
        </w:tc>
        <w:tc>
          <w:tcPr>
            <w:tcW w:w="102"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720" w:type="dxa"/>
            <w:tcBorders/>
            <w:shd w:fill="CCEEFF" w:val="clear"/>
            <w:vAlign w:val="bottom"/>
          </w:tcPr>
          <w:p>
            <w:pPr>
              <w:pStyle w:val="TableContents"/>
              <w:spacing w:before="0" w:after="0"/>
              <w:ind w:left="0" w:right="0" w:hanging="0"/>
              <w:rPr/>
            </w:pPr>
            <w:r>
              <w:rPr/>
              <w:t> </w:t>
            </w:r>
          </w:p>
        </w:tc>
      </w:tr>
      <w:tr>
        <w:trPr/>
        <w:tc>
          <w:tcPr>
            <w:tcW w:w="366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Foreign exchange derivatives</w:t>
            </w:r>
          </w:p>
        </w:tc>
        <w:tc>
          <w:tcPr>
            <w:tcW w:w="102" w:type="dxa"/>
            <w:tcBorders/>
            <w:shd w:fill="auto" w:val="clear"/>
            <w:vAlign w:val="bottom"/>
          </w:tcPr>
          <w:p>
            <w:pPr>
              <w:pStyle w:val="TableContents"/>
              <w:spacing w:before="0" w:after="0"/>
              <w:ind w:left="0" w:right="0" w:hanging="0"/>
              <w:rPr/>
            </w:pPr>
            <w:r>
              <w:rPr/>
              <w:t> </w:t>
            </w:r>
          </w:p>
        </w:tc>
        <w:tc>
          <w:tcPr>
            <w:tcW w:w="153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current assets</w:t>
            </w:r>
          </w:p>
        </w:tc>
        <w:tc>
          <w:tcPr>
            <w:tcW w:w="102"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203"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93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current liabilities</w:t>
            </w:r>
          </w:p>
        </w:tc>
        <w:tc>
          <w:tcPr>
            <w:tcW w:w="102"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7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66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Total derivatives not designated as hedging instruments</w:t>
            </w:r>
          </w:p>
        </w:tc>
        <w:tc>
          <w:tcPr>
            <w:tcW w:w="102" w:type="dxa"/>
            <w:tcBorders/>
            <w:shd w:fill="CCEEFF" w:val="clear"/>
            <w:vAlign w:val="bottom"/>
          </w:tcPr>
          <w:p>
            <w:pPr>
              <w:pStyle w:val="TableContents"/>
              <w:spacing w:before="0" w:after="0"/>
              <w:ind w:left="0" w:right="0" w:hanging="0"/>
              <w:rPr/>
            </w:pPr>
            <w:r>
              <w:rPr/>
              <w:t> </w:t>
            </w:r>
          </w:p>
        </w:tc>
        <w:tc>
          <w:tcPr>
            <w:tcW w:w="1535" w:type="dxa"/>
            <w:tcBorders/>
            <w:shd w:fill="CCEEFF" w:val="cle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pPr>
            <w:r>
              <w:rPr/>
              <w:t> </w:t>
            </w:r>
          </w:p>
        </w:tc>
        <w:tc>
          <w:tcPr>
            <w:tcW w:w="103"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5"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79</w:t>
            </w:r>
          </w:p>
        </w:tc>
        <w:tc>
          <w:tcPr>
            <w:tcW w:w="203"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1939" w:type="dxa"/>
            <w:tcBorders/>
            <w:shd w:fill="CCEEFF" w:val="cle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pPr>
            <w:r>
              <w:rPr/>
              <w:t> </w:t>
            </w:r>
          </w:p>
        </w:tc>
        <w:tc>
          <w:tcPr>
            <w:tcW w:w="10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(128</w:t>
            </w:r>
          </w:p>
        </w:tc>
        <w:tc>
          <w:tcPr>
            <w:tcW w:w="7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663" w:type="dxa"/>
            <w:tcBorders/>
            <w:shd w:fill="auto" w:val="clear"/>
            <w:vAlign w:val="bottom"/>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1535" w:type="dxa"/>
            <w:tcBorders/>
            <w:shd w:fill="auto" w:val="clear"/>
            <w:vAlign w:val="bottom"/>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pPr>
            <w:r>
              <w:rPr/>
              <w:t> </w:t>
            </w:r>
          </w:p>
        </w:tc>
        <w:tc>
          <w:tcPr>
            <w:tcW w:w="203"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939" w:type="dxa"/>
            <w:tcBorders/>
            <w:shd w:fill="auto" w:val="clear"/>
            <w:vAlign w:val="bottom"/>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pPr>
            <w:r>
              <w:rPr/>
              <w:t> </w:t>
            </w:r>
          </w:p>
        </w:tc>
        <w:tc>
          <w:tcPr>
            <w:tcW w:w="720" w:type="dxa"/>
            <w:tcBorders/>
            <w:shd w:fill="auto" w:val="clear"/>
            <w:vAlign w:val="bottom"/>
          </w:tcPr>
          <w:p>
            <w:pPr>
              <w:pStyle w:val="TableContents"/>
              <w:spacing w:before="0" w:after="0"/>
              <w:ind w:left="0" w:right="0" w:hanging="0"/>
              <w:rPr/>
            </w:pPr>
            <w:r>
              <w:rPr/>
              <w:t> </w:t>
            </w:r>
          </w:p>
        </w:tc>
      </w:tr>
      <w:tr>
        <w:trPr/>
        <w:tc>
          <w:tcPr>
            <w:tcW w:w="366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Total derivatives</w:t>
            </w:r>
          </w:p>
        </w:tc>
        <w:tc>
          <w:tcPr>
            <w:tcW w:w="102" w:type="dxa"/>
            <w:tcBorders/>
            <w:shd w:fill="CCEEFF" w:val="clear"/>
            <w:vAlign w:val="bottom"/>
          </w:tcPr>
          <w:p>
            <w:pPr>
              <w:pStyle w:val="TableContents"/>
              <w:spacing w:before="0" w:after="0"/>
              <w:ind w:left="0" w:right="0" w:hanging="0"/>
              <w:rPr/>
            </w:pPr>
            <w:r>
              <w:rPr/>
              <w:t> </w:t>
            </w:r>
          </w:p>
        </w:tc>
        <w:tc>
          <w:tcPr>
            <w:tcW w:w="1535" w:type="dxa"/>
            <w:tcBorders/>
            <w:shd w:fill="CCEEFF" w:val="cle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pPr>
            <w:r>
              <w:rPr/>
              <w:t> </w:t>
            </w:r>
          </w:p>
        </w:tc>
        <w:tc>
          <w:tcPr>
            <w:tcW w:w="10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268</w:t>
            </w:r>
          </w:p>
        </w:tc>
        <w:tc>
          <w:tcPr>
            <w:tcW w:w="203"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1939" w:type="dxa"/>
            <w:tcBorders/>
            <w:shd w:fill="CCEEFF" w:val="cle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pPr>
            <w:r>
              <w:rPr/>
              <w:t> </w:t>
            </w:r>
          </w:p>
        </w:tc>
        <w:tc>
          <w:tcPr>
            <w:tcW w:w="10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(269</w:t>
            </w:r>
          </w:p>
        </w:tc>
        <w:tc>
          <w:tcPr>
            <w:tcW w:w="7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March 31, 2010, there was a net gain of $27 million deferred in AOCI.  The total amount of deferred net gain recorded in AOCI is expected to be reclassified to future earnings contemporaneously with (i) the earnings recognition of the underlying hedged physical transaction, (ii) interest expense accruals associated with underlying debt instruments or (iii) the recognition of a foreign currency gain or loss upon the remeasurement of certain CAD-denominated intercompany balances. Of the total net gain deferred in AOCI at March 31, 2010, we expect to reclassify a net loss of approximately $6 million to earnings in the next twelve months. Of the remaining deferred gain in AOCI, approximately 98% is expected to be reclassified to earnings prior to 2013 with the remaining deferred gain being reclassified to earnings through 2019. These amounts are predominately based on market prices at the current period end, thus actual amounts to be reclassified will differ and could vary materially as a result of changes in market conditions.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three months ended March 31, 2010 no amounts were reclassed from AOCI to earnings as a result 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20</w:t>
      </w:r>
      <w:bookmarkStart w:id="39" w:name="PB_20_170657_3020"/>
      <w:bookmarkEnd w:id="3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anticipated hedge transactions that were no longer considered to be probable of occurring.  During the three months ended March 31, 2009, we reclassed a deferred gain of approximately $6 million from AOCI to other income as a result of anticipated hedge transactions that were no longer considered to be probable of occurring.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Amounts of gain/(loss) recognized in AOCI on derivatives (effective portion) during the three months ended March 31, 2010 and March 31, 2009 are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114"/>
        <w:gridCol w:w="218"/>
        <w:gridCol w:w="247"/>
        <w:gridCol w:w="1501"/>
        <w:gridCol w:w="231"/>
        <w:gridCol w:w="209"/>
        <w:gridCol w:w="1539"/>
        <w:gridCol w:w="146"/>
      </w:tblGrid>
      <w:tr>
        <w:trPr/>
        <w:tc>
          <w:tcPr>
            <w:tcW w:w="6114"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jc w:val="center"/>
              <w:rPr/>
            </w:pPr>
            <w:r>
              <w:rPr/>
              <w:t> </w:t>
            </w:r>
          </w:p>
        </w:tc>
        <w:tc>
          <w:tcPr>
            <w:tcW w:w="17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March 31, 2010</w:t>
            </w:r>
          </w:p>
        </w:tc>
        <w:tc>
          <w:tcPr>
            <w:tcW w:w="231" w:type="dxa"/>
            <w:tcBorders/>
            <w:shd w:fill="auto" w:val="clear"/>
            <w:vAlign w:val="bottom"/>
          </w:tcPr>
          <w:p>
            <w:pPr>
              <w:pStyle w:val="TableContents"/>
              <w:spacing w:before="0" w:after="0"/>
              <w:ind w:left="0" w:right="0" w:hanging="0"/>
              <w:jc w:val="center"/>
              <w:rPr/>
            </w:pPr>
            <w:r>
              <w:rPr/>
              <w:t> </w:t>
            </w:r>
          </w:p>
        </w:tc>
        <w:tc>
          <w:tcPr>
            <w:tcW w:w="17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Three Months Ended</w:t>
            </w:r>
            <w:r>
              <w:rPr>
                <w:b/>
                <w:sz w:val="13"/>
              </w:rPr>
              <w:br/>
              <w:t>March 31, 2009</w:t>
            </w:r>
          </w:p>
        </w:tc>
        <w:tc>
          <w:tcPr>
            <w:tcW w:w="146" w:type="dxa"/>
            <w:tcBorders/>
            <w:shd w:fill="auto" w:val="clear"/>
            <w:vAlign w:val="bottom"/>
          </w:tcPr>
          <w:p>
            <w:pPr>
              <w:pStyle w:val="TableContents"/>
              <w:spacing w:before="0" w:after="0"/>
              <w:ind w:left="0" w:right="0" w:hanging="0"/>
              <w:jc w:val="center"/>
              <w:rPr/>
            </w:pPr>
            <w:r>
              <w:rPr/>
              <w:t> </w:t>
            </w:r>
          </w:p>
        </w:tc>
      </w:tr>
      <w:tr>
        <w:trPr/>
        <w:tc>
          <w:tcPr>
            <w:tcW w:w="6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218" w:type="dxa"/>
            <w:tcBorders/>
            <w:shd w:fill="CCEEFF" w:val="clear"/>
            <w:vAlign w:val="bottom"/>
          </w:tcPr>
          <w:p>
            <w:pPr>
              <w:pStyle w:val="TableContents"/>
              <w:spacing w:before="0" w:after="0"/>
              <w:ind w:left="0" w:right="0" w:hanging="0"/>
              <w:rPr/>
            </w:pPr>
            <w:r>
              <w:rPr/>
              <w:t> </w:t>
            </w:r>
          </w:p>
        </w:tc>
        <w:tc>
          <w:tcPr>
            <w:tcW w:w="2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0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exchange derivatives</w:t>
            </w:r>
          </w:p>
        </w:tc>
        <w:tc>
          <w:tcPr>
            <w:tcW w:w="218" w:type="dxa"/>
            <w:tcBorders/>
            <w:shd w:fill="auto" w:val="clear"/>
            <w:vAlign w:val="bottom"/>
          </w:tcPr>
          <w:p>
            <w:pPr>
              <w:pStyle w:val="TableContents"/>
              <w:spacing w:before="0" w:after="0"/>
              <w:ind w:left="0" w:right="0" w:hanging="0"/>
              <w:rPr/>
            </w:pPr>
            <w:r>
              <w:rPr/>
              <w:t> </w:t>
            </w:r>
          </w:p>
        </w:tc>
        <w:tc>
          <w:tcPr>
            <w:tcW w:w="17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8" w:type="dxa"/>
            <w:tcBorders/>
            <w:shd w:fill="CCEEFF" w:val="clear"/>
            <w:vAlign w:val="bottom"/>
          </w:tcPr>
          <w:p>
            <w:pPr>
              <w:pStyle w:val="TableContents"/>
              <w:spacing w:before="0" w:after="0"/>
              <w:ind w:left="0" w:right="0" w:hanging="0"/>
              <w:rPr/>
            </w:pPr>
            <w:r>
              <w:rPr/>
              <w:t> </w:t>
            </w:r>
          </w:p>
        </w:tc>
        <w:tc>
          <w:tcPr>
            <w:tcW w:w="24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0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accounting policy is to offset fair value amounts associated with derivatives executed with the same counterparty when a master netting agreement exists. Accordingly, we also offset fair value amounts associated with our right to reclaim cash collateral or our obligation to pay cash collateral. When we deposit cash collateral with our brokers, we recognize a broker receivable. The account equity in our brokerage accounts is a combination of our cash balance and the fair value of our open derivatives within our brokerage account.  When our account equity is less than our initial margin requirement we are required to post margin.  As of March 31, 2010, we had an obligation to pay cash collateral of approximately $8 million, which was netted with the fair value of our derivatives.  Our broker receivable was approximately $53 million as of December 31, 2009.  At March 31, 2010 and December 31, 2009, none of our outstanding derivatives contained credit-risk related contingent features that would result in a material adverse impact to us upon any change in our credit ratings.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by level within the fair value hierarchy our financial assets and liabilities that were accounted for at fair value on a recurring basis as of March 31, 2010. Financial assets and liabilities are classified in their entirety based on the lowest level of input that is significant to the fair value measurement. Our assessment of the significance of a particular input to the fair value measurement requires judgment, which does affect the placement of assets and liabilities within the fair value hierarchy levels.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423"/>
        <w:gridCol w:w="189"/>
        <w:gridCol w:w="158"/>
        <w:gridCol w:w="501"/>
        <w:gridCol w:w="189"/>
        <w:gridCol w:w="160"/>
        <w:gridCol w:w="498"/>
        <w:gridCol w:w="189"/>
        <w:gridCol w:w="160"/>
        <w:gridCol w:w="498"/>
        <w:gridCol w:w="200"/>
        <w:gridCol w:w="158"/>
        <w:gridCol w:w="501"/>
        <w:gridCol w:w="199"/>
        <w:gridCol w:w="189"/>
        <w:gridCol w:w="158"/>
        <w:gridCol w:w="501"/>
        <w:gridCol w:w="189"/>
        <w:gridCol w:w="164"/>
        <w:gridCol w:w="494"/>
        <w:gridCol w:w="189"/>
        <w:gridCol w:w="137"/>
        <w:gridCol w:w="532"/>
        <w:gridCol w:w="200"/>
        <w:gridCol w:w="164"/>
        <w:gridCol w:w="494"/>
        <w:gridCol w:w="771"/>
      </w:tblGrid>
      <w:tr>
        <w:trPr/>
        <w:tc>
          <w:tcPr>
            <w:tcW w:w="2423"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3212"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Fair Value as of March 31, 2010</w:t>
            </w:r>
            <w:r>
              <w:rPr>
                <w:b/>
                <w:sz w:val="13"/>
              </w:rPr>
              <w:br/>
              <w:t>(in millions)</w:t>
            </w:r>
          </w:p>
        </w:tc>
        <w:tc>
          <w:tcPr>
            <w:tcW w:w="199" w:type="dxa"/>
            <w:tcBorders/>
            <w:shd w:fill="auto" w:val="clear"/>
            <w:vAlign w:val="bottom"/>
          </w:tcPr>
          <w:p>
            <w:pPr>
              <w:pStyle w:val="TableContents"/>
              <w:spacing w:before="0" w:after="0"/>
              <w:ind w:left="0" w:right="0" w:hanging="0"/>
              <w:jc w:val="center"/>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3222"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Fair Value as of December 31, 2009</w:t>
            </w:r>
            <w:r>
              <w:rPr>
                <w:b/>
                <w:sz w:val="13"/>
              </w:rPr>
              <w:br/>
              <w:t>(in millions)</w:t>
            </w:r>
          </w:p>
        </w:tc>
        <w:tc>
          <w:tcPr>
            <w:tcW w:w="771" w:type="dxa"/>
            <w:tcBorders/>
            <w:shd w:fill="auto" w:val="clear"/>
            <w:vAlign w:val="bottom"/>
          </w:tcPr>
          <w:p>
            <w:pPr>
              <w:pStyle w:val="TableContents"/>
              <w:spacing w:before="0" w:after="0"/>
              <w:ind w:left="0" w:right="0" w:hanging="0"/>
              <w:jc w:val="center"/>
              <w:rPr/>
            </w:pPr>
            <w:r>
              <w:rPr/>
              <w:t> </w:t>
            </w:r>
          </w:p>
        </w:tc>
      </w:tr>
      <w:tr>
        <w:trPr/>
        <w:tc>
          <w:tcPr>
            <w:tcW w:w="2423"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Recurring Fair Value Measures</w:t>
            </w:r>
            <w:r>
              <w:rPr>
                <w:b/>
                <w:sz w:val="8"/>
              </w:rPr>
              <w:t>(1)</w:t>
            </w:r>
          </w:p>
        </w:tc>
        <w:tc>
          <w:tcPr>
            <w:tcW w:w="189" w:type="dxa"/>
            <w:tcBorders/>
            <w:shd w:fill="auto" w:val="clear"/>
            <w:vAlign w:val="bottom"/>
          </w:tcPr>
          <w:p>
            <w:pPr>
              <w:pStyle w:val="TableContents"/>
              <w:spacing w:before="0" w:after="0"/>
              <w:ind w:left="0" w:right="0" w:hanging="0"/>
              <w:jc w:val="center"/>
              <w:rPr/>
            </w:pPr>
            <w:r>
              <w:rPr/>
              <w:t> </w:t>
            </w:r>
          </w:p>
        </w:tc>
        <w:tc>
          <w:tcPr>
            <w:tcW w:w="6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1</w:t>
            </w:r>
          </w:p>
        </w:tc>
        <w:tc>
          <w:tcPr>
            <w:tcW w:w="18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2</w:t>
            </w:r>
          </w:p>
        </w:tc>
        <w:tc>
          <w:tcPr>
            <w:tcW w:w="18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3</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99" w:type="dxa"/>
            <w:tcBorders/>
            <w:shd w:fill="auto" w:val="clear"/>
            <w:vAlign w:val="bottom"/>
          </w:tcPr>
          <w:p>
            <w:pPr>
              <w:pStyle w:val="TableContents"/>
              <w:spacing w:before="0" w:after="0"/>
              <w:ind w:left="0" w:right="0" w:hanging="0"/>
              <w:jc w:val="center"/>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65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1</w:t>
            </w:r>
          </w:p>
        </w:tc>
        <w:tc>
          <w:tcPr>
            <w:tcW w:w="18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pPr>
            <w:r>
              <w:rPr/>
              <w:t> </w:t>
            </w:r>
          </w:p>
        </w:tc>
        <w:tc>
          <w:tcPr>
            <w:tcW w:w="65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2</w:t>
            </w:r>
          </w:p>
        </w:tc>
        <w:tc>
          <w:tcPr>
            <w:tcW w:w="18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pPr>
            <w:r>
              <w:rPr/>
              <w:t> </w:t>
            </w:r>
          </w:p>
        </w:tc>
        <w:tc>
          <w:tcPr>
            <w:tcW w:w="66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3</w:t>
            </w:r>
          </w:p>
        </w:tc>
        <w:tc>
          <w:tcPr>
            <w:tcW w:w="20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pPr>
            <w:r>
              <w:rPr/>
              <w:t> </w:t>
            </w:r>
          </w:p>
        </w:tc>
        <w:tc>
          <w:tcPr>
            <w:tcW w:w="65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771"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t> </w:t>
            </w:r>
          </w:p>
        </w:tc>
      </w:tr>
      <w:tr>
        <w:trPr/>
        <w:tc>
          <w:tcPr>
            <w:tcW w:w="24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89" w:type="dxa"/>
            <w:tcBorders/>
            <w:shd w:fill="CCEEFF" w:val="clear"/>
            <w:vAlign w:val="bottom"/>
          </w:tcPr>
          <w:p>
            <w:pPr>
              <w:pStyle w:val="TableContents"/>
              <w:spacing w:before="0" w:after="0"/>
              <w:ind w:left="0" w:right="0" w:hanging="0"/>
              <w:rPr/>
            </w:pPr>
            <w:r>
              <w:rPr/>
              <w:t> </w:t>
            </w:r>
          </w:p>
        </w:tc>
        <w:tc>
          <w:tcPr>
            <w:tcW w:w="1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89" w:type="dxa"/>
            <w:tcBorders/>
            <w:shd w:fill="CCEEFF" w:val="clear"/>
            <w:vAlign w:val="bottom"/>
          </w:tcPr>
          <w:p>
            <w:pPr>
              <w:pStyle w:val="TableContents"/>
              <w:spacing w:before="0" w:after="0"/>
              <w:ind w:left="0" w:right="0" w:hanging="0"/>
              <w:rPr/>
            </w:pPr>
            <w:r>
              <w:rPr/>
              <w:t> </w:t>
            </w:r>
          </w:p>
        </w:tc>
        <w:tc>
          <w:tcPr>
            <w:tcW w:w="1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1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99"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1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89" w:type="dxa"/>
            <w:tcBorders/>
            <w:shd w:fill="CCEEFF" w:val="clear"/>
            <w:vAlign w:val="bottom"/>
          </w:tcPr>
          <w:p>
            <w:pPr>
              <w:pStyle w:val="TableContents"/>
              <w:spacing w:before="0" w:after="0"/>
              <w:ind w:left="0" w:right="0" w:hanging="0"/>
              <w:rPr/>
            </w:pPr>
            <w:r>
              <w:rPr/>
              <w:t> </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7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89" w:type="dxa"/>
            <w:tcBorders/>
            <w:shd w:fill="auto" w:val="clear"/>
            <w:vAlign w:val="bottom"/>
          </w:tcPr>
          <w:p>
            <w:pPr>
              <w:pStyle w:val="TableContents"/>
              <w:spacing w:before="0" w:after="0"/>
              <w:ind w:left="0" w:right="0" w:hanging="0"/>
              <w:rPr/>
            </w:pPr>
            <w:r>
              <w:rPr/>
              <w:t> </w:t>
            </w:r>
          </w:p>
        </w:tc>
        <w:tc>
          <w:tcPr>
            <w:tcW w:w="6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6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6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0" w:type="dxa"/>
            <w:tcBorders/>
            <w:shd w:fill="auto" w:val="clear"/>
            <w:vAlign w:val="bottom"/>
          </w:tcPr>
          <w:p>
            <w:pPr>
              <w:pStyle w:val="TableContents"/>
              <w:spacing w:before="0" w:after="0"/>
              <w:ind w:left="0" w:right="0" w:hanging="0"/>
              <w:rPr/>
            </w:pPr>
            <w:r>
              <w:rPr/>
              <w:t> </w:t>
            </w:r>
          </w:p>
        </w:tc>
        <w:tc>
          <w:tcPr>
            <w:tcW w:w="6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9"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6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6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6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0" w:type="dxa"/>
            <w:tcBorders/>
            <w:shd w:fill="auto" w:val="clear"/>
            <w:vAlign w:val="bottom"/>
          </w:tcPr>
          <w:p>
            <w:pPr>
              <w:pStyle w:val="TableContents"/>
              <w:spacing w:before="0" w:after="0"/>
              <w:ind w:left="0" w:right="0" w:hanging="0"/>
              <w:rPr/>
            </w:pPr>
            <w:r>
              <w:rPr/>
              <w:t> </w:t>
            </w:r>
          </w:p>
        </w:tc>
        <w:tc>
          <w:tcPr>
            <w:tcW w:w="6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771" w:type="dxa"/>
            <w:tcBorders/>
            <w:shd w:fill="auto" w:val="clear"/>
            <w:vAlign w:val="bottom"/>
          </w:tcPr>
          <w:p>
            <w:pPr>
              <w:pStyle w:val="TableContents"/>
              <w:spacing w:before="0" w:after="0"/>
              <w:ind w:left="0" w:right="0" w:hanging="0"/>
              <w:rPr/>
            </w:pPr>
            <w:r>
              <w:rPr/>
              <w:t> </w:t>
            </w:r>
          </w:p>
        </w:tc>
      </w:tr>
      <w:tr>
        <w:trPr/>
        <w:tc>
          <w:tcPr>
            <w:tcW w:w="24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w:t>
            </w:r>
          </w:p>
        </w:tc>
        <w:tc>
          <w:tcPr>
            <w:tcW w:w="189" w:type="dxa"/>
            <w:tcBorders/>
            <w:shd w:fill="CCEEFF" w:val="clear"/>
            <w:vAlign w:val="bottom"/>
          </w:tcPr>
          <w:p>
            <w:pPr>
              <w:pStyle w:val="TableContents"/>
              <w:spacing w:before="0" w:after="0"/>
              <w:ind w:left="0" w:right="0" w:hanging="0"/>
              <w:rPr/>
            </w:pPr>
            <w:r>
              <w:rPr/>
              <w:t> </w:t>
            </w:r>
          </w:p>
        </w:tc>
        <w:tc>
          <w:tcPr>
            <w:tcW w:w="6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6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6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9" w:type="dxa"/>
            <w:tcBorders>
              <w:right w:val="double" w:sz="6"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6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6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6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0" w:type="dxa"/>
            <w:tcBorders/>
            <w:shd w:fill="CCEEFF" w:val="clear"/>
            <w:vAlign w:val="bottom"/>
          </w:tcPr>
          <w:p>
            <w:pPr>
              <w:pStyle w:val="TableContents"/>
              <w:spacing w:before="0" w:after="0"/>
              <w:ind w:left="0" w:right="0" w:hanging="0"/>
              <w:rPr/>
            </w:pPr>
            <w:r>
              <w:rPr/>
              <w:t> </w:t>
            </w:r>
          </w:p>
        </w:tc>
        <w:tc>
          <w:tcPr>
            <w:tcW w:w="6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771" w:type="dxa"/>
            <w:tcBorders/>
            <w:shd w:fill="CCEEFF" w:val="clear"/>
            <w:vAlign w:val="bottom"/>
          </w:tcPr>
          <w:p>
            <w:pPr>
              <w:pStyle w:val="TableContents"/>
              <w:spacing w:before="0" w:after="0"/>
              <w:ind w:left="0" w:right="0" w:hanging="0"/>
              <w:rPr/>
            </w:pPr>
            <w:r>
              <w:rPr/>
              <w:t> </w:t>
            </w:r>
          </w:p>
        </w:tc>
      </w:tr>
      <w:tr>
        <w:trPr/>
        <w:tc>
          <w:tcPr>
            <w:tcW w:w="24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189" w:type="dxa"/>
            <w:tcBorders/>
            <w:shd w:fill="auto" w:val="clear"/>
            <w:vAlign w:val="bottom"/>
          </w:tcPr>
          <w:p>
            <w:pPr>
              <w:pStyle w:val="TableContents"/>
              <w:spacing w:before="0" w:after="0"/>
              <w:ind w:left="0" w:right="0" w:hanging="0"/>
              <w:rPr/>
            </w:pPr>
            <w:r>
              <w:rPr/>
              <w:t> </w:t>
            </w:r>
          </w:p>
        </w:tc>
        <w:tc>
          <w:tcPr>
            <w:tcW w:w="15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89" w:type="dxa"/>
            <w:tcBorders/>
            <w:shd w:fill="auto" w:val="clear"/>
            <w:vAlign w:val="bottom"/>
          </w:tcPr>
          <w:p>
            <w:pPr>
              <w:pStyle w:val="TableContents"/>
              <w:spacing w:before="0" w:after="0"/>
              <w:ind w:left="0" w:right="0" w:hanging="0"/>
              <w:rPr/>
            </w:pPr>
            <w:r>
              <w:rPr/>
              <w:t> </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99"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15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89" w:type="dxa"/>
            <w:tcBorders/>
            <w:shd w:fill="auto" w:val="clear"/>
            <w:vAlign w:val="bottom"/>
          </w:tcPr>
          <w:p>
            <w:pPr>
              <w:pStyle w:val="TableContents"/>
              <w:spacing w:before="0" w:after="0"/>
              <w:ind w:left="0" w:right="0" w:hanging="0"/>
              <w:rPr/>
            </w:pPr>
            <w:r>
              <w:rPr/>
              <w:t> </w:t>
            </w:r>
          </w:p>
        </w:tc>
        <w:tc>
          <w:tcPr>
            <w:tcW w:w="16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1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7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w:t>
      </w:r>
      <w:r>
        <w:rPr>
          <w:rFonts w:ascii="Times New Roman" w:hAnsi="Times New Roman"/>
          <w:sz w:val="17"/>
        </w:rPr>
        <w:t>Derivative assets and liabilities are presented above on a net basis but do not include related cash collateral amounts.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determination of the fair values above includes not only the credit standing of the counterparties involved and the impact of credit enhancements (such as cash deposits and letters of credit) but also the impact of our nonperformance risk on our liabilities. The fair value of our commodity derivatives, interest-rate derivatives and foreign currency derivatives includes adjustments for credit risk. We measure credit risk by deriving a probability of default from market-observed credit default swap spreads as of the measurement date. The probability of default is applied to the net credit exposure of each of our counterparties and includes a recovery rate adjustment. The recovery rate is an estimate of what would ultimately be recovered through a bankruptcy proceeding in the event of default. There were no changes to any of our valuation techniques during the period.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within level 1 of the fair value hierarchy are exchange-traded commodity derivatives such as futures, options and swaps. The fair value of exchange-traded commodity derivatives is based on unadjusted quoted prices in active markets and is therefore classified within level 1 of the fair value hierarchy.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 activity.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within level 3 of the fair value hierarchy are the following derivatives: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Commodity Derivatives: Level 3 commodity derivatives include over-the-counter commodity derivatives such as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21</w:t>
      </w:r>
      <w:bookmarkStart w:id="40" w:name="PB_21_171847_5335"/>
      <w:bookmarkEnd w:id="4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forwards, swaps and options and certain physical commodity contracts. The fair value of our level 3 commodity derivatives is based on either an indicative broker or dealer price quotation or a valuation model. Our valuation models utilize inputs such as price, volatility and correlation but do not involve significant management judgments.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Interest Rate Derivatives: Level 3 interest rate derivatives include interest rate swaps. The fair value of our interest rate derivatives is based on indicative broker or dealer price quotations. Broker or dealer price quotations are corroborated with objective inputs including forward LIBOR curves and forward Treasury yields that are obtained from pricing services.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Foreign Currency Derivatives: Level 3 foreign currency derivatives include foreign currency swaps, forward exchange contracts and options. The fair value of our foreign currency derivatives is based on indicative broker or dealer price quotations. Broker or dealer price quotations are corroborated with objective inputs including forward CAD/USD forward exchange rates that are obtained from pricing services.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majority of our level 3 derivatives are classified as such because the broker or dealer price quotations used to measure fair value and the pricing services used to corroborate the quotations are indicative quotations rather than quotations whereby the broker or dealer is ready and willing to transact. However, the fair value of these level 3 derivatives is not based upon significant management assumptions or subjective inputs.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Rollforward of Level 3 Net Liability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provides a reconciliation of changes in fair value of the beginning and ending balances for our derivatives classified as level 3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01"/>
        <w:gridCol w:w="213"/>
        <w:gridCol w:w="120"/>
        <w:gridCol w:w="1062"/>
        <w:gridCol w:w="217"/>
        <w:gridCol w:w="122"/>
        <w:gridCol w:w="1051"/>
        <w:gridCol w:w="119"/>
      </w:tblGrid>
      <w:tr>
        <w:trPr/>
        <w:tc>
          <w:tcPr>
            <w:tcW w:w="7301"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57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Three Months Ended</w:t>
            </w:r>
            <w:r>
              <w:rPr>
                <w:b/>
                <w:sz w:val="13"/>
              </w:rPr>
              <w:br/>
              <w:t>March 31,</w:t>
            </w:r>
          </w:p>
        </w:tc>
        <w:tc>
          <w:tcPr>
            <w:tcW w:w="119" w:type="dxa"/>
            <w:tcBorders/>
            <w:shd w:fill="auto" w:val="clear"/>
            <w:vAlign w:val="bottom"/>
          </w:tcPr>
          <w:p>
            <w:pPr>
              <w:pStyle w:val="TableContents"/>
              <w:spacing w:before="0" w:after="0"/>
              <w:ind w:left="0" w:right="0" w:hanging="0"/>
              <w:jc w:val="center"/>
              <w:rPr/>
            </w:pPr>
            <w:r>
              <w:rPr/>
              <w:t> </w:t>
            </w:r>
          </w:p>
        </w:tc>
      </w:tr>
      <w:tr>
        <w:trPr/>
        <w:tc>
          <w:tcPr>
            <w:tcW w:w="7301"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11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7" w:type="dxa"/>
            <w:tcBorders/>
            <w:shd w:fill="auto" w:val="clear"/>
            <w:vAlign w:val="bottom"/>
          </w:tcPr>
          <w:p>
            <w:pPr>
              <w:pStyle w:val="TableContents"/>
              <w:spacing w:before="0" w:after="0"/>
              <w:ind w:left="0" w:right="0" w:hanging="0"/>
              <w:jc w:val="center"/>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19" w:type="dxa"/>
            <w:tcBorders/>
            <w:shd w:fill="auto" w:val="clear"/>
            <w:vAlign w:val="bottom"/>
          </w:tcPr>
          <w:p>
            <w:pPr>
              <w:pStyle w:val="TableContents"/>
              <w:spacing w:before="0" w:after="0"/>
              <w:ind w:left="0" w:right="0" w:hanging="0"/>
              <w:jc w:val="center"/>
              <w:rPr/>
            </w:pPr>
            <w:r>
              <w:rPr/>
              <w:t> </w:t>
            </w:r>
          </w:p>
        </w:tc>
      </w:tr>
      <w:tr>
        <w:trPr/>
        <w:tc>
          <w:tcPr>
            <w:tcW w:w="73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Beginning Balance</w:t>
            </w:r>
          </w:p>
        </w:tc>
        <w:tc>
          <w:tcPr>
            <w:tcW w:w="213"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19" w:type="dxa"/>
            <w:tcBorders/>
            <w:shd w:fill="CCEEFF" w:val="clear"/>
            <w:vAlign w:val="bottom"/>
          </w:tcPr>
          <w:p>
            <w:pPr>
              <w:pStyle w:val="TableContents"/>
              <w:spacing w:before="0" w:after="0"/>
              <w:ind w:left="0" w:right="0" w:hanging="0"/>
              <w:rPr/>
            </w:pPr>
            <w:r>
              <w:rPr/>
              <w:t> </w:t>
            </w:r>
          </w:p>
        </w:tc>
      </w:tr>
      <w:tr>
        <w:trPr/>
        <w:tc>
          <w:tcPr>
            <w:tcW w:w="73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Unrealized gains/(losses):</w:t>
            </w:r>
          </w:p>
        </w:tc>
        <w:tc>
          <w:tcPr>
            <w:tcW w:w="213" w:type="dxa"/>
            <w:tcBorders/>
            <w:shd w:fill="auto" w:val="clear"/>
            <w:vAlign w:val="bottom"/>
          </w:tcPr>
          <w:p>
            <w:pPr>
              <w:pStyle w:val="TableContents"/>
              <w:spacing w:before="0" w:after="0"/>
              <w:ind w:left="0" w:right="0" w:hanging="0"/>
              <w:rPr/>
            </w:pPr>
            <w:r>
              <w:rPr/>
              <w:t> </w:t>
            </w:r>
          </w:p>
        </w:tc>
        <w:tc>
          <w:tcPr>
            <w:tcW w:w="118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301" w:type="dxa"/>
            <w:tcBorders/>
            <w:shd w:fill="CCEEFF" w:val="clear"/>
            <w:vAlign w:val="bottom"/>
          </w:tcPr>
          <w:p>
            <w:pPr>
              <w:pStyle w:val="TableContents"/>
              <w:spacing w:before="0" w:after="0"/>
              <w:ind w:left="0" w:right="0" w:hanging="0"/>
              <w:rPr/>
            </w:pPr>
            <w:r>
              <w:rPr>
                <w:rFonts w:ascii="Times New Roman" w:hAnsi="Times New Roman"/>
                <w:sz w:val="17"/>
              </w:rPr>
              <w:t xml:space="preserve">Included in earnings </w:t>
            </w:r>
            <w:r>
              <w:rPr>
                <w:sz w:val="11"/>
              </w:rPr>
              <w:t>(1)</w:t>
            </w:r>
          </w:p>
        </w:tc>
        <w:tc>
          <w:tcPr>
            <w:tcW w:w="213" w:type="dxa"/>
            <w:tcBorders/>
            <w:shd w:fill="CCEEFF" w:val="clear"/>
            <w:vAlign w:val="bottom"/>
          </w:tcPr>
          <w:p>
            <w:pPr>
              <w:pStyle w:val="TableContents"/>
              <w:spacing w:before="0" w:after="0"/>
              <w:ind w:left="0" w:right="0" w:hanging="0"/>
              <w:rPr/>
            </w:pPr>
            <w:r>
              <w:rPr/>
              <w:t> </w:t>
            </w:r>
          </w:p>
        </w:tc>
        <w:tc>
          <w:tcPr>
            <w:tcW w:w="11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7"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19" w:type="dxa"/>
            <w:tcBorders/>
            <w:shd w:fill="CCEEFF" w:val="clear"/>
            <w:vAlign w:val="bottom"/>
          </w:tcPr>
          <w:p>
            <w:pPr>
              <w:pStyle w:val="TableContents"/>
              <w:spacing w:before="0" w:after="0"/>
              <w:ind w:left="0" w:right="0" w:hanging="0"/>
              <w:rPr/>
            </w:pPr>
            <w:r>
              <w:rPr/>
              <w:t> </w:t>
            </w:r>
          </w:p>
        </w:tc>
      </w:tr>
      <w:tr>
        <w:trPr/>
        <w:tc>
          <w:tcPr>
            <w:tcW w:w="73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Included in other comprehensive income</w:t>
            </w:r>
          </w:p>
        </w:tc>
        <w:tc>
          <w:tcPr>
            <w:tcW w:w="213" w:type="dxa"/>
            <w:tcBorders/>
            <w:shd w:fill="auto" w:val="clear"/>
            <w:vAlign w:val="bottom"/>
          </w:tcPr>
          <w:p>
            <w:pPr>
              <w:pStyle w:val="TableContents"/>
              <w:spacing w:before="0" w:after="0"/>
              <w:ind w:left="0" w:right="0" w:hanging="0"/>
              <w:rPr/>
            </w:pPr>
            <w:r>
              <w:rPr/>
              <w:t> </w:t>
            </w:r>
          </w:p>
        </w:tc>
        <w:tc>
          <w:tcPr>
            <w:tcW w:w="11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Settlements and derivatives entered into during the period</w:t>
            </w:r>
          </w:p>
        </w:tc>
        <w:tc>
          <w:tcPr>
            <w:tcW w:w="213" w:type="dxa"/>
            <w:tcBorders/>
            <w:shd w:fill="CCEEFF" w:val="clear"/>
            <w:vAlign w:val="bottom"/>
          </w:tcPr>
          <w:p>
            <w:pPr>
              <w:pStyle w:val="TableContents"/>
              <w:spacing w:before="0" w:after="0"/>
              <w:ind w:left="0" w:right="0" w:hanging="0"/>
              <w:rPr/>
            </w:pPr>
            <w:r>
              <w:rPr/>
              <w:t> </w:t>
            </w:r>
          </w:p>
        </w:tc>
        <w:tc>
          <w:tcPr>
            <w:tcW w:w="11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7" w:type="dxa"/>
            <w:tcBorders/>
            <w:shd w:fill="CCEEFF" w:val="clear"/>
            <w:vAlign w:val="bottom"/>
          </w:tcPr>
          <w:p>
            <w:pPr>
              <w:pStyle w:val="TableContents"/>
              <w:spacing w:before="0" w:after="0"/>
              <w:ind w:left="0" w:right="0" w:hanging="0"/>
              <w:rPr/>
            </w:pPr>
            <w:r>
              <w:rPr/>
              <w:t> </w:t>
            </w:r>
          </w:p>
        </w:tc>
        <w:tc>
          <w:tcPr>
            <w:tcW w:w="11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Ending Balance</w:t>
            </w:r>
          </w:p>
        </w:tc>
        <w:tc>
          <w:tcPr>
            <w:tcW w:w="213"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19" w:type="dxa"/>
            <w:tcBorders/>
            <w:shd w:fill="auto" w:val="clear"/>
            <w:vAlign w:val="bottom"/>
          </w:tcPr>
          <w:p>
            <w:pPr>
              <w:pStyle w:val="TableContents"/>
              <w:spacing w:before="0" w:after="0"/>
              <w:ind w:left="0" w:right="0" w:hanging="0"/>
              <w:rPr/>
            </w:pPr>
            <w:r>
              <w:rPr/>
              <w:t> </w:t>
            </w:r>
          </w:p>
        </w:tc>
      </w:tr>
      <w:tr>
        <w:trPr/>
        <w:tc>
          <w:tcPr>
            <w:tcW w:w="7301"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118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3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 in unrealized gains/(losses) included in earnings relating to level 3 derivatives still</w:t>
              <w:br/>
              <w:t>held at the end of the periods</w:t>
            </w:r>
          </w:p>
        </w:tc>
        <w:tc>
          <w:tcPr>
            <w:tcW w:w="213"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1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w:t>
      </w:r>
      <w:r>
        <w:rPr>
          <w:rFonts w:ascii="Times New Roman" w:hAnsi="Times New Roman"/>
          <w:sz w:val="17"/>
        </w:rPr>
        <w:t>We reported unrealized gains and losses associated with level 3 commodity derivatives in our consolidated statements of operations as supply and logistics segment revenues. Gains and losses associated with interest rate derivatives are reported in our consolidated statements of operations as either other income, net or interest expense. Gains and losses associated with foreign currency derivatives are reported in our consolidated statements of operations as either supply and logistics segment revenues, purchases and related costs, or other income, net.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a proper analysis of our level 3 gains or losses must incorporate the understanding that these items are generally used to hedge our commodity price risk, interest rate risk and foreign currency exchange risk and are therefore offset by the underlying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Note 10Income Taxes </w:t>
      </w:r>
      <w:bookmarkStart w:id="41" w:name="Note11incomeTaxeswvzToReviewAndPr_175411"/>
      <w:bookmarkEnd w:id="41"/>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U.S. Federal and State Taxes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an MLP, we are not subject to U.S. federal income taxes; rather, the tax effect of our operations is passed through to our unitholders. Some of our U.S. corporate subsidiaries in which we have equity investments pay U.S. federal and state income taxes. Deferred income tax assets and liabilities for operations conducted through these subsidiaries are recognized for temporary differences between assets and liabilities for financial reporting and tax purposes.  Although we are subject to state income taxes in some states and our subsidiaries are subject to federal and state income taxes, the impact to the three months ended March 31, 2010 and 2009 was immaterial.</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Canadian Federal and Provincial Taxes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Certain of our Canadian subsidiaries are corporations for Canadian tax purposes, thus their operations are subject to Canadian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22</w:t>
      </w:r>
      <w:bookmarkStart w:id="42" w:name="PB_22_171847_5796"/>
      <w:bookmarkEnd w:id="4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federal and provincial income taxes. The remainder of our Canadian operations is conducted through an operating limited partnership, which has historically been treated as a flow-through entity for tax purposes. This entity is subject to Canadian legislation passed in June 2007 that imposes entity-level taxes on certain types of flow-through entities. This legislation includes safe harbor guidelines that grandfather certain existing entities (which, we believe, would include us) and delays the</w:t>
      </w:r>
      <w:r>
        <w:rPr>
          <w:rFonts w:ascii="Times New Roman" w:hAnsi="Times New Roman"/>
        </w:rPr>
        <w:t xml:space="preserve"> </w:t>
      </w:r>
      <w:r>
        <w:rPr>
          <w:rFonts w:ascii="Times New Roman" w:hAnsi="Times New Roman"/>
          <w:sz w:val="17"/>
        </w:rPr>
        <w:t>effective date of such legislation until 2011. Effective January 1, 2011, all income earned in our Canadian entities will be subject to Canadian federal and provincial income taxes at the Canadian corporate tax rates.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Additionally, in December 2008, the Fifth Protocol to the U.S./Canada Tax Treaty was ratified and contained language that increases the withholding tax on dividends and intercompany interest effective in 2010.  As a result of these collective changes, we are in the process of reviewing our Canadian structure.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11Commitments and Contingencies</w:t>
      </w:r>
      <w:bookmarkStart w:id="43" w:name="Note12commitmentsAndContingencies_175416"/>
      <w:bookmarkEnd w:id="43"/>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Litigation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Pipeline Releases.</w:t>
      </w:r>
      <w:r>
        <w:rPr>
          <w:rFonts w:ascii="Times New Roman" w:hAnsi="Times New Roman"/>
        </w:rPr>
        <w:t xml:space="preserve">  </w:t>
      </w:r>
      <w:r>
        <w:rPr>
          <w:rFonts w:ascii="Times New Roman" w:hAnsi="Times New Roman"/>
          <w:sz w:val="17"/>
        </w:rPr>
        <w:t>In January 2005 and December 2004, we experienced two unrelated releases of crude oil that reached rivers located near the sites where the releases originated. In early January 2005, an overflow from a temporary storage tank located in East Texas resulted in the release of approximately 1,200 barrels of crude oil, a portion of which reached the Sabine River. In late December 2004, one of our pipelines in West Texas experienced a rupture that resulted in the release of approximately 4,500 barrels of crude oil, a portion of which reached a remote location of the Pecos River. In both cases, emergency response personnel under the supervision of a unified command structure consisting of representatives of Plains, the EPA, the Texas Commission on Environmental Quality and the Texas Railroad Commission conducted clean-up operations at each site. Approximately 980 and 4,200 barrels were recovered from the two respective sites. The unrecovered oil was removed or otherwise addressed by us in the course of site remediation. Aggregate costs associated with the releases, including estimated remediation costs, are estimated to be approximately $5 million to $6 million. In cooperation with the appropriate state and federal environmental authorities, we have completed our work with respect to site restoration, subject to some ongoing remediation at the Pecos River site. EPA has referred these two crude oil releases, as well as several other smaller releases, to the DOJ for further investigation in connection with a civil penalty enforcement action under the Federal Clean Water Act. We have cooperated in the investigation and are currently involved in settlement discussions with DOJ and EPA. Our assessment is that it is probable we will pay penalties related to the releases. We may also be subjected to injunctive remedies that would impose additional requirements, costs and constraints on our operations. We have accrued our current estimate of the likely penalties as a loss contingency, which is included in the estimated aggregate costs set forth above. We understand that the maximum permissible penalty, if any, that EPA could assess with respect to the subject releases under relevant statutes would be approximately $6.8 million. Such statutes contemplate the potential for substantial reduction in penalties based on mitigating circumstances and factors. We believe that several of such circumstances and factors exist, and thus have been a primary focus in our discussions with the DOJ and EPA with respect to these matters.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SemCrude L.P., et al  Debtors (U.S. Bankruptcy</w:t>
      </w:r>
      <w:r>
        <w:rPr>
          <w:rFonts w:ascii="Times New Roman" w:hAnsi="Times New Roman"/>
        </w:rPr>
        <w:t xml:space="preserve"> </w:t>
      </w:r>
      <w:r>
        <w:rPr>
          <w:rFonts w:ascii="Times New Roman" w:hAnsi="Times New Roman"/>
          <w:i/>
          <w:sz w:val="17"/>
        </w:rPr>
        <w:t>Court  Delaware).</w:t>
      </w:r>
      <w:r>
        <w:rPr>
          <w:rFonts w:ascii="Times New Roman" w:hAnsi="Times New Roman"/>
        </w:rPr>
        <w:t xml:space="preserve">  </w:t>
      </w:r>
      <w:r>
        <w:rPr>
          <w:rFonts w:ascii="Times New Roman" w:hAnsi="Times New Roman"/>
          <w:sz w:val="17"/>
        </w:rPr>
        <w:t>We will from time to time have claims relating to insolvent suppliers, customers or counterparties, such as the bankruptcy proceedings of SemCrude, which commenced in July 2008. Statutory protections and our contractual rights of setoff covered substantially all of our pre-petition claims against SemCrude. However, certain creditors of SemCrude and its affiliates have challenged our contractual and statutory rights to setoff certain of our payables to the debtor against our receivables from the debtor.  One of these creditors and its affiliates have also filed Oklahoma and New Mexico state court actions alleging a producers lien on crude oil sold to SemCrude and its affiliates, and the continuation of such lien when SemCrude and its affiliates sold the oil to subsequent purchasers such as us.  These actions have been removed to federal court and the Oklahoma federal court actions were transferred to the U.S. Bankruptcy Court in Delaware. The New Mexico federal court actions may be transferred to Bankruptcy Court, and both such federal court actions may be consolidated with our declaratory judgment action in Bankruptcy Court.  The aggregate amount subject to challenge is approximately $23 million. We intend to vigorously defend our contractual and statutory rights.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November 15, 2006, we completed the Pacific merger. The following is a summary of the more significant matters that relate to Pacific, its assets or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United States of America v. PPS.  </w:t>
      </w:r>
      <w:r>
        <w:rPr>
          <w:rFonts w:ascii="Times New Roman" w:hAnsi="Times New Roman"/>
          <w:sz w:val="17"/>
        </w:rPr>
        <w:t>In March 2005, a release of approximately 3,400 barrels of crude oil occurred on Line 63, subsequently acquired by us in the Pacific merger. The release occurred when the pipeline was severed as a result of a landslide caused by heavy rainfall in the Pyramid Lake area of Los Angeles County. Total projected emergency response, remediation and restoration costs are approximately $26 million, substantially all of which have been incurred and recovered under a pre-existing PPS pollution liability insurance policy. In September 2008, the EPA filed a civil complaint against PPS, a subsidiary acquired in the Pacific merger, in connection with the Pyramid Lake release. The complaint was filed in the Federal District Court for the Central District of California, Civil Action No. CV085768DSF(SSX). On March 4, 2010, the US District Court entered into a consent decree binding upon the DOJ, EPA, and PPS. PPS paid a civil penalty of $1.3 million (which was covered by insurance)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23</w:t>
      </w:r>
      <w:bookmarkStart w:id="44" w:name="PB_23_171847_2897"/>
      <w:bookmarkEnd w:id="4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and will comply with other requirements set forth in the consent decree, which include performance of additional remediation, work plans and restoration tasks pertaining to a segment of Line 63. The affected segment of Line 63 was taken out of service. Certain operational and construction requirements will have to be satisfied to put this segment back into service. Total projected costs associated with this additional work are estimated at less than $6 million. PPS is also prohibited from transferring ownership of Line 63 to an unaffiliated entity unless the transferee agrees in writing to be bound by any provisions of the consent decree that have not been previously satisfied.  This prohibition on transfer will not apply if PPS retains a portion of ownership and continues as operator of the line.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ExxonMobil Corp. v. GATX Corp. (Superior Court of New Jersey  Gloucester County).</w:t>
      </w:r>
      <w:r>
        <w:rPr>
          <w:rFonts w:ascii="Times New Roman" w:hAnsi="Times New Roman"/>
        </w:rPr>
        <w:t xml:space="preserve">  </w:t>
      </w:r>
      <w:r>
        <w:rPr>
          <w:rFonts w:ascii="Times New Roman" w:hAnsi="Times New Roman"/>
          <w:sz w:val="17"/>
        </w:rPr>
        <w:t>This Pacific legacy matter was filed by ExxonMobil in April 2003 and involves the allocation of responsibility for remediation of MTBE and other petroleum product contamination at the PAT facility at Paulsboro, New Jersey. We estimate that the maximum potential cost to effectively remediate ranges up to $10 million although the NJDEP is asserting a much larger expenditure. Both ExxonMobil and GATX were prior owners of the terminal. We contend that ExxonMobil and/or GATX are primarily responsible for the majority of the remediation costs. We are in dispute with Kinder Morgan (as successor in interest to GATX) regarding the indemnity by GATX in favor of Pacific in connection with Pacifics purchase of the facility.  We are vigorously defending against any claim that PAT is directly or indirectly liable for damages or costs associated with the MTBE contamination.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NJDEP v. ExxonMobil Corp. et al.  </w:t>
      </w:r>
      <w:r>
        <w:rPr>
          <w:rFonts w:ascii="Times New Roman" w:hAnsi="Times New Roman"/>
          <w:sz w:val="17"/>
        </w:rPr>
        <w:t>In a matter related to ExxonMobil v. GATX, in June 2007, the NJDEP brought suit against GATX and Exxon to recover natural resources damages associated with, and to require remediation of, the contamination. ExxonMobil and GATX have filed third-party demands against PAT, seeking indemnity and contribution.  NJDEP environmental consultants have asserted a clean-up expense that is significantly larger than our estimate.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EPA v. RMPS.</w:t>
      </w:r>
      <w:r>
        <w:rPr>
          <w:rFonts w:ascii="Times New Roman" w:hAnsi="Times New Roman"/>
        </w:rPr>
        <w:t xml:space="preserve">  </w:t>
      </w:r>
      <w:r>
        <w:rPr>
          <w:rFonts w:ascii="Times New Roman" w:hAnsi="Times New Roman"/>
          <w:sz w:val="17"/>
        </w:rPr>
        <w:t>In February 2009, we received a request for information from EPA regarding aspects of the fuel handling activities of RMPS, a subsidiary acquired in the Pacific merger, at two truck terminals in Colorado.  These activities, performed at the request of customers, included the mixture of certain blendstocks with gasoline. We provided the information requested, and cooperated in EPAs investigation of such activities.  In January 2010, we received a notice of violations from EPA, alleging failure of RMPS to comply with provisions of the CAA related to registration, sampling, recording and reporting in connection with such activities.  EPA further alleges that the violations occurred on an ongoing basis from October 2006 through February 2009.  We plan to engage in discussion with EPA, and to emphasize factors intended to mitigate the severity of any penalties imposed. In December 2009, RMPS self-reported late filing of certain reports required under Clean Air Act Diesel Fuel Regulations. All reports have been filed.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Other Pacific-Legacy Matters.</w:t>
      </w:r>
      <w:r>
        <w:rPr>
          <w:rFonts w:ascii="Times New Roman" w:hAnsi="Times New Roman"/>
        </w:rPr>
        <w:t xml:space="preserve">  </w:t>
      </w:r>
      <w:r>
        <w:rPr>
          <w:rFonts w:ascii="Times New Roman" w:hAnsi="Times New Roman"/>
          <w:sz w:val="17"/>
        </w:rPr>
        <w:t>At the time of its merger with Plains, Pacific had completed a number of acquisitions that had not been fully integrated into its operations. Accordingly, we have and may become aware of various instances in which some of these operations may not have been fully compliant with applicable environmental and safety regulations. Although we have been working to bring all of these operations into compliance with applicable requirements, any past noncompliance could result in the imposition of fines, penalties or corrective action requirements by governmental entities. Although we believe that our operations are presently in material compliance with applicable requirements, it is possible that EPA or other governmental entities may seek to impose fines, penalties or performance obligations on us, or on a portion of our operations, as a result of any past noncompliance that may have occurred.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General.</w:t>
      </w:r>
      <w:r>
        <w:rPr>
          <w:rFonts w:ascii="Times New Roman" w:hAnsi="Times New Roman"/>
        </w:rPr>
        <w:t xml:space="preserve">  </w:t>
      </w:r>
      <w:r>
        <w:rPr>
          <w:rFonts w:ascii="Times New Roman" w:hAnsi="Times New Roman"/>
          <w:sz w:val="17"/>
        </w:rPr>
        <w:t>We, in the ordinary course of business, are a claimant and/or a defendant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materially adverse effect on our financial condition, results of operations or cash flows.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24</w:t>
      </w:r>
      <w:bookmarkStart w:id="45" w:name="PB_24_171847_3020"/>
      <w:bookmarkEnd w:id="4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Note14_150608">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Environmental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in the past experienced and in the future likely will experience releases of crude oil into the environment from our pipeline and storage operations. We also may discover environmental impacts from past releases that were previously unidentified. Although we maintain an inspection program designed to help prevent releases, damages and liabilities incurred due to any such releases from our assets may substantially affect our business. As we expand our pipeline assets through acquisitions, we typically improve on (reduce) the releases from such assets (in terms of frequency or volume) as we implement our procedures, remove selected assets from service and spend capital to upgrade the assets. However, the inclusion of additional miles of pipe in our operations may result in an increase in the absolute number of releases company-wide compared to prior periods. We experienced such an increase in connection with the Pacific acquisition, which added approximately 5,000 miles of pipeline to our operations, and in connection with the purchase of assets from Link in April 2004, which added approximately 7,000 miles of pipeline to our operations. As a result, we have also received an increased number of requests for information from governmental agencies with respect to such releases of crude oil (such as EPA requests under Clean Water Act Section 308), commensurate with the scale and scope of our pipeline operations. See Pipeline Releases above.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March 31, 2010, our reserve for environmental liabilities totaled approximately $63 million, of which approximately $9 million is classified as short-term and $54 million is classified as long-term. At March 31, 2010, we have recorded receivables totaling approximately $4 million for amounts that are probable of recovery under insurance and from third parties under indemnification agreements.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some cases, the actual cash expenditures may not occur for three to five years. Our estimates used in these reserves are based on known facts and believed to be relevant at the time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Therefore, although we believe that the reserve is adequate, costs incurred may be in excess of the reserve and may potentially have a material adverse effect on our financial condition,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Insurance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insurance of various types that we consider adequate to cover our operations and properties. The insurance covers our assets in amounts considered reasonable. The insurance policies are subject to deductibles that we consider reasonable and not excessive. Our insurance does not cover every potential risk associated with operating pipelines, terminals and other facilities, including the potential loss of significant revenues. The overall trend in the insurance industry appears to be a contraction in the breadth and depth of available coverage, while costs, deductibles and retention levels have increased.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Absent a material favorable change in the insurance markets, this trend is expected to continue as we continue to grow and expand. As a result, we anticipate that we will elect to self-insure more of our environmental and wind damage exposures, incorporate higher retention in our insurance arrangements, pay higher premiums or some combination of such actions.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With respect to all of our coverage, we may not be able to maintain adequate insurance in the future at rates we consider reasonable. In addition, although we believe that we have established adequate reserves to the extent that such risks are not insured, costs incurred in excess of these reserves may be higher and may potentially have a material adverse effect on our financial conditions,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12Operating Segments</w:t>
      </w:r>
      <w:bookmarkStart w:id="46" w:name="Note12operatingSegments_133859"/>
      <w:bookmarkEnd w:id="46"/>
    </w:p>
    <w:p>
      <w:pPr>
        <w:pStyle w:val="TextBody"/>
        <w:spacing w:before="0" w:after="0"/>
        <w:ind w:left="0" w:right="0" w:hanging="0"/>
        <w:rPr/>
      </w:pPr>
      <w:r>
        <w:rPr/>
        <w:t> </w:t>
      </w:r>
    </w:p>
    <w:p>
      <w:pPr>
        <w:pStyle w:val="TextBody"/>
        <w:shd w:fill="FFFFFF" w:val="clear"/>
        <w:spacing w:before="0" w:after="0"/>
        <w:ind w:left="0" w:right="0" w:hanging="0"/>
        <w:rPr>
          <w:rFonts w:ascii="Times New Roman" w:hAnsi="Times New Roman"/>
          <w:sz w:val="17"/>
        </w:rPr>
      </w:pPr>
      <w:r>
        <w:rPr>
          <w:rFonts w:ascii="Times New Roman" w:hAnsi="Times New Roman"/>
          <w:sz w:val="17"/>
        </w:rPr>
        <w:t>We manage our operations through three operating segments: (i) Transportation, (ii) Facilities and (iii) Supply and Logistics. The following table reflects certain financial data for each segment for the periods indicated (in millions):</w:t>
      </w:r>
    </w:p>
    <w:p>
      <w:pPr>
        <w:pStyle w:val="TextBody"/>
        <w:shd w:fill="FFFFFF" w:val="clear"/>
        <w:spacing w:before="0" w:after="0"/>
        <w:ind w:left="0" w:right="0" w:hanging="0"/>
        <w:jc w:val="center"/>
        <w:rPr/>
      </w:pPr>
      <w:r>
        <w:rPr/>
        <w:t> </w:t>
      </w:r>
    </w:p>
    <w:p>
      <w:pPr>
        <w:pStyle w:val="TextBody"/>
        <w:shd w:fill="FFFFFF" w:val="clear"/>
        <w:spacing w:before="0" w:after="0"/>
        <w:ind w:left="0" w:right="0" w:hanging="0"/>
        <w:jc w:val="center"/>
        <w:rPr>
          <w:rFonts w:ascii="Times New Roman" w:hAnsi="Times New Roman"/>
          <w:sz w:val="17"/>
        </w:rPr>
      </w:pPr>
      <w:r>
        <w:rPr>
          <w:rFonts w:ascii="Times New Roman" w:hAnsi="Times New Roman"/>
          <w:sz w:val="17"/>
        </w:rPr>
        <w:t>25</w:t>
      </w:r>
      <w:bookmarkStart w:id="47" w:name="PB_25_150805_7091"/>
      <w:bookmarkEnd w:id="4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478"/>
        <w:gridCol w:w="189"/>
        <w:gridCol w:w="263"/>
        <w:gridCol w:w="1305"/>
        <w:gridCol w:w="189"/>
        <w:gridCol w:w="188"/>
        <w:gridCol w:w="1106"/>
        <w:gridCol w:w="189"/>
        <w:gridCol w:w="246"/>
        <w:gridCol w:w="1475"/>
        <w:gridCol w:w="188"/>
        <w:gridCol w:w="153"/>
        <w:gridCol w:w="1112"/>
        <w:gridCol w:w="124"/>
      </w:tblGrid>
      <w:tr>
        <w:trPr/>
        <w:tc>
          <w:tcPr>
            <w:tcW w:w="3478"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15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9" w:type="dxa"/>
            <w:tcBorders/>
            <w:shd w:fill="auto" w:val="clear"/>
            <w:vAlign w:val="bottom"/>
          </w:tcPr>
          <w:p>
            <w:pPr>
              <w:pStyle w:val="TableContents"/>
              <w:spacing w:before="0" w:after="0"/>
              <w:ind w:left="0" w:right="0" w:hanging="0"/>
              <w:jc w:val="center"/>
              <w:rPr/>
            </w:pPr>
            <w:r>
              <w:rPr/>
              <w:t> </w:t>
            </w:r>
          </w:p>
        </w:tc>
        <w:tc>
          <w:tcPr>
            <w:tcW w:w="129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9" w:type="dxa"/>
            <w:tcBorders/>
            <w:shd w:fill="auto" w:val="clear"/>
            <w:vAlign w:val="bottom"/>
          </w:tcPr>
          <w:p>
            <w:pPr>
              <w:pStyle w:val="TableContents"/>
              <w:spacing w:before="0" w:after="0"/>
              <w:ind w:left="0" w:right="0" w:hanging="0"/>
              <w:jc w:val="center"/>
              <w:rPr/>
            </w:pPr>
            <w:r>
              <w:rPr/>
              <w:t> </w:t>
            </w:r>
          </w:p>
        </w:tc>
        <w:tc>
          <w:tcPr>
            <w:tcW w:w="172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&amp; Logistics</w:t>
            </w:r>
          </w:p>
        </w:tc>
        <w:tc>
          <w:tcPr>
            <w:tcW w:w="188" w:type="dxa"/>
            <w:tcBorders/>
            <w:shd w:fill="auto" w:val="clear"/>
            <w:vAlign w:val="bottom"/>
          </w:tcPr>
          <w:p>
            <w:pPr>
              <w:pStyle w:val="TableContents"/>
              <w:spacing w:before="0" w:after="0"/>
              <w:ind w:left="0" w:right="0" w:hanging="0"/>
              <w:jc w:val="center"/>
              <w:rPr/>
            </w:pPr>
            <w:r>
              <w:rPr/>
              <w:t> </w:t>
            </w:r>
          </w:p>
        </w:tc>
        <w:tc>
          <w:tcPr>
            <w:tcW w:w="12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4" w:type="dxa"/>
            <w:tcBorders/>
            <w:shd w:fill="auto" w:val="clear"/>
            <w:vAlign w:val="bottom"/>
          </w:tcPr>
          <w:p>
            <w:pPr>
              <w:pStyle w:val="TableContents"/>
              <w:spacing w:before="0" w:after="0"/>
              <w:ind w:left="0" w:right="0" w:hanging="0"/>
              <w:jc w:val="center"/>
              <w:rPr/>
            </w:pPr>
            <w:r>
              <w:rPr/>
              <w:t> </w:t>
            </w:r>
          </w:p>
        </w:tc>
      </w:tr>
      <w:tr>
        <w:trPr/>
        <w:tc>
          <w:tcPr>
            <w:tcW w:w="3478"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Three Months Ended March 31, 2010</w:t>
            </w:r>
          </w:p>
        </w:tc>
        <w:tc>
          <w:tcPr>
            <w:tcW w:w="189" w:type="dxa"/>
            <w:tcBorders/>
            <w:shd w:fill="CCEEFF" w:val="clear"/>
            <w:vAlign w:val="bottom"/>
          </w:tcPr>
          <w:p>
            <w:pPr>
              <w:pStyle w:val="TableContents"/>
              <w:spacing w:before="0" w:after="0"/>
              <w:ind w:left="0" w:right="0" w:hanging="0"/>
              <w:rPr/>
            </w:pPr>
            <w:r>
              <w:rPr/>
              <w:t> </w:t>
            </w:r>
          </w:p>
        </w:tc>
        <w:tc>
          <w:tcPr>
            <w:tcW w:w="1568"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294"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721"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265"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34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9" w:type="dxa"/>
            <w:tcBorders/>
            <w:shd w:fill="auto" w:val="clear"/>
            <w:vAlign w:val="bottom"/>
          </w:tcPr>
          <w:p>
            <w:pPr>
              <w:pStyle w:val="TableContents"/>
              <w:spacing w:before="0" w:after="0"/>
              <w:ind w:left="0" w:right="0" w:hanging="0"/>
              <w:rPr/>
            </w:pPr>
            <w:r>
              <w:rPr/>
              <w:t> </w:t>
            </w:r>
          </w:p>
        </w:tc>
        <w:tc>
          <w:tcPr>
            <w:tcW w:w="1568"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294"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721"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265"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34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External Customers</w:t>
            </w:r>
          </w:p>
        </w:tc>
        <w:tc>
          <w:tcPr>
            <w:tcW w:w="189" w:type="dxa"/>
            <w:tcBorders/>
            <w:shd w:fill="CCEEFF" w:val="clear"/>
            <w:vAlign w:val="bottom"/>
          </w:tcPr>
          <w:p>
            <w:pPr>
              <w:pStyle w:val="TableContents"/>
              <w:spacing w:before="0" w:after="0"/>
              <w:ind w:left="0" w:right="0" w:hanging="0"/>
              <w:rPr/>
            </w:pPr>
            <w:r>
              <w:rPr/>
              <w:t> </w:t>
            </w:r>
          </w:p>
        </w:tc>
        <w:tc>
          <w:tcPr>
            <w:tcW w:w="2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189" w:type="dxa"/>
            <w:tcBorders/>
            <w:shd w:fill="CCEEFF" w:val="clear"/>
            <w:vAlign w:val="bottom"/>
          </w:tcPr>
          <w:p>
            <w:pPr>
              <w:pStyle w:val="TableContents"/>
              <w:spacing w:before="0" w:after="0"/>
              <w:ind w:left="0" w:right="0" w:hanging="0"/>
              <w:rPr/>
            </w:pPr>
            <w:r>
              <w:rPr/>
              <w:t> </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89" w:type="dxa"/>
            <w:tcBorders/>
            <w:shd w:fill="CCEEFF" w:val="clear"/>
            <w:vAlign w:val="bottom"/>
          </w:tcPr>
          <w:p>
            <w:pPr>
              <w:pStyle w:val="TableContents"/>
              <w:spacing w:before="0" w:after="0"/>
              <w:ind w:left="0" w:right="0" w:hanging="0"/>
              <w:rPr/>
            </w:pPr>
            <w:r>
              <w:rPr/>
              <w:t> </w:t>
            </w:r>
          </w:p>
        </w:tc>
        <w:tc>
          <w:tcPr>
            <w:tcW w:w="2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5,912</w:t>
            </w:r>
          </w:p>
        </w:tc>
        <w:tc>
          <w:tcPr>
            <w:tcW w:w="188"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6,125</w:t>
            </w:r>
          </w:p>
        </w:tc>
        <w:tc>
          <w:tcPr>
            <w:tcW w:w="124" w:type="dxa"/>
            <w:tcBorders/>
            <w:shd w:fill="CCEEFF" w:val="clear"/>
            <w:vAlign w:val="bottom"/>
          </w:tcPr>
          <w:p>
            <w:pPr>
              <w:pStyle w:val="TableContents"/>
              <w:spacing w:before="0" w:after="0"/>
              <w:ind w:left="0" w:right="0" w:hanging="0"/>
              <w:rPr/>
            </w:pPr>
            <w:r>
              <w:rPr/>
              <w:t> </w:t>
            </w:r>
          </w:p>
        </w:tc>
      </w:tr>
      <w:tr>
        <w:trPr/>
        <w:tc>
          <w:tcPr>
            <w:tcW w:w="3478" w:type="dxa"/>
            <w:tcBorders/>
            <w:shd w:fill="auto" w:val="clear"/>
            <w:vAlign w:val="bottom"/>
          </w:tcPr>
          <w:p>
            <w:pPr>
              <w:pStyle w:val="TableContents"/>
              <w:spacing w:before="0" w:after="0"/>
              <w:ind w:left="0" w:right="0" w:hanging="0"/>
              <w:rPr/>
            </w:pPr>
            <w:r>
              <w:rPr>
                <w:rFonts w:ascii="Times New Roman" w:hAnsi="Times New Roman"/>
                <w:sz w:val="17"/>
              </w:rPr>
              <w:t xml:space="preserve">Intersegment </w:t>
            </w:r>
            <w:r>
              <w:rPr>
                <w:sz w:val="11"/>
              </w:rPr>
              <w:t>(1)</w:t>
            </w:r>
          </w:p>
        </w:tc>
        <w:tc>
          <w:tcPr>
            <w:tcW w:w="189" w:type="dxa"/>
            <w:tcBorders/>
            <w:shd w:fill="auto" w:val="clear"/>
            <w:vAlign w:val="bottom"/>
          </w:tcPr>
          <w:p>
            <w:pPr>
              <w:pStyle w:val="TableContents"/>
              <w:spacing w:before="0" w:after="0"/>
              <w:ind w:left="0" w:right="0" w:hanging="0"/>
              <w:rPr/>
            </w:pPr>
            <w:r>
              <w:rPr/>
              <w:t> </w:t>
            </w:r>
          </w:p>
        </w:tc>
        <w:tc>
          <w:tcPr>
            <w:tcW w:w="156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189" w:type="dxa"/>
            <w:tcBorders/>
            <w:shd w:fill="auto" w:val="clear"/>
            <w:vAlign w:val="bottom"/>
          </w:tcPr>
          <w:p>
            <w:pPr>
              <w:pStyle w:val="TableContents"/>
              <w:spacing w:before="0" w:after="0"/>
              <w:ind w:left="0" w:right="0" w:hanging="0"/>
              <w:rPr/>
            </w:pPr>
            <w:r>
              <w:rPr/>
              <w:t> </w:t>
            </w:r>
          </w:p>
        </w:tc>
        <w:tc>
          <w:tcPr>
            <w:tcW w:w="129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89" w:type="dxa"/>
            <w:tcBorders/>
            <w:shd w:fill="auto" w:val="clear"/>
            <w:vAlign w:val="bottom"/>
          </w:tcPr>
          <w:p>
            <w:pPr>
              <w:pStyle w:val="TableContents"/>
              <w:spacing w:before="0" w:after="0"/>
              <w:ind w:left="0" w:right="0" w:hanging="0"/>
              <w:rPr/>
            </w:pPr>
            <w:r>
              <w:rPr/>
              <w:t> </w:t>
            </w:r>
          </w:p>
        </w:tc>
        <w:tc>
          <w:tcPr>
            <w:tcW w:w="172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auto" w:val="clear"/>
            <w:vAlign w:val="bottom"/>
          </w:tcPr>
          <w:p>
            <w:pPr>
              <w:pStyle w:val="TableContents"/>
              <w:spacing w:before="0" w:after="0"/>
              <w:ind w:left="0" w:right="0" w:hanging="0"/>
              <w:rPr/>
            </w:pPr>
            <w:r>
              <w:rPr/>
              <w:t> </w:t>
            </w:r>
          </w:p>
        </w:tc>
        <w:tc>
          <w:tcPr>
            <w:tcW w:w="12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24" w:type="dxa"/>
            <w:tcBorders/>
            <w:shd w:fill="auto" w:val="clear"/>
            <w:vAlign w:val="bottom"/>
          </w:tcPr>
          <w:p>
            <w:pPr>
              <w:pStyle w:val="TableContents"/>
              <w:spacing w:before="0" w:after="0"/>
              <w:ind w:left="0" w:right="0" w:hanging="0"/>
              <w:rPr/>
            </w:pPr>
            <w:r>
              <w:rPr/>
              <w:t> </w:t>
            </w:r>
          </w:p>
        </w:tc>
      </w:tr>
      <w:tr>
        <w:trPr/>
        <w:tc>
          <w:tcPr>
            <w:tcW w:w="34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89"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89" w:type="dxa"/>
            <w:tcBorders/>
            <w:shd w:fill="CCEEFF" w:val="clear"/>
            <w:vAlign w:val="bottom"/>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89" w:type="dxa"/>
            <w:tcBorders/>
            <w:shd w:fill="CCEEFF" w:val="clear"/>
            <w:vAlign w:val="bottom"/>
          </w:tcPr>
          <w:p>
            <w:pPr>
              <w:pStyle w:val="TableContents"/>
              <w:spacing w:before="0" w:after="0"/>
              <w:ind w:left="0" w:right="0" w:hanging="0"/>
              <w:rPr/>
            </w:pPr>
            <w:r>
              <w:rPr/>
              <w:t> </w:t>
            </w:r>
          </w:p>
        </w:tc>
        <w:tc>
          <w:tcPr>
            <w:tcW w:w="2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5,912</w:t>
            </w:r>
          </w:p>
        </w:tc>
        <w:tc>
          <w:tcPr>
            <w:tcW w:w="188"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6,276</w:t>
            </w:r>
          </w:p>
        </w:tc>
        <w:tc>
          <w:tcPr>
            <w:tcW w:w="124" w:type="dxa"/>
            <w:tcBorders/>
            <w:shd w:fill="CCEEFF" w:val="clear"/>
            <w:vAlign w:val="bottom"/>
          </w:tcPr>
          <w:p>
            <w:pPr>
              <w:pStyle w:val="TableContents"/>
              <w:spacing w:before="0" w:after="0"/>
              <w:ind w:left="0" w:right="0" w:hanging="0"/>
              <w:rPr/>
            </w:pPr>
            <w:r>
              <w:rPr/>
              <w:t> </w:t>
            </w:r>
          </w:p>
        </w:tc>
      </w:tr>
      <w:tr>
        <w:trPr/>
        <w:tc>
          <w:tcPr>
            <w:tcW w:w="34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of unconsolidated entities</w:t>
            </w:r>
          </w:p>
        </w:tc>
        <w:tc>
          <w:tcPr>
            <w:tcW w:w="189"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9" w:type="dxa"/>
            <w:tcBorders/>
            <w:shd w:fill="auto" w:val="clear"/>
            <w:vAlign w:val="bottom"/>
          </w:tcPr>
          <w:p>
            <w:pPr>
              <w:pStyle w:val="TableContents"/>
              <w:spacing w:before="0" w:after="0"/>
              <w:ind w:left="0" w:right="0" w:hanging="0"/>
              <w:rPr/>
            </w:pPr>
            <w:r>
              <w:rPr/>
              <w:t> </w:t>
            </w:r>
          </w:p>
        </w:tc>
        <w:tc>
          <w:tcPr>
            <w:tcW w:w="1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2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4" w:type="dxa"/>
            <w:tcBorders/>
            <w:shd w:fill="auto" w:val="clear"/>
            <w:vAlign w:val="bottom"/>
          </w:tcPr>
          <w:p>
            <w:pPr>
              <w:pStyle w:val="TableContents"/>
              <w:spacing w:before="0" w:after="0"/>
              <w:ind w:left="0" w:right="0" w:hanging="0"/>
              <w:rPr/>
            </w:pPr>
            <w:r>
              <w:rPr/>
              <w:t> </w:t>
            </w:r>
          </w:p>
        </w:tc>
      </w:tr>
      <w:tr>
        <w:trPr/>
        <w:tc>
          <w:tcPr>
            <w:tcW w:w="3478" w:type="dxa"/>
            <w:tcBorders/>
            <w:shd w:fill="CCEEFF" w:val="clear"/>
            <w:vAlign w:val="bottom"/>
          </w:tcPr>
          <w:p>
            <w:pPr>
              <w:pStyle w:val="TableContents"/>
              <w:spacing w:before="0" w:after="0"/>
              <w:ind w:left="0" w:right="0" w:hanging="0"/>
              <w:rPr/>
            </w:pPr>
            <w:r>
              <w:rPr>
                <w:rFonts w:ascii="Times New Roman" w:hAnsi="Times New Roman"/>
                <w:sz w:val="17"/>
              </w:rPr>
              <w:t>Segment profit</w:t>
            </w:r>
            <w:r>
              <w:rPr/>
              <w:t xml:space="preserve"> </w:t>
            </w:r>
            <w:r>
              <w:rPr>
                <w:sz w:val="11"/>
              </w:rPr>
              <w:t>(2) (3) (4)</w:t>
            </w:r>
          </w:p>
        </w:tc>
        <w:tc>
          <w:tcPr>
            <w:tcW w:w="189"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89" w:type="dxa"/>
            <w:tcBorders/>
            <w:shd w:fill="CCEEFF" w:val="clear"/>
            <w:vAlign w:val="bottom"/>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89" w:type="dxa"/>
            <w:tcBorders/>
            <w:shd w:fill="CCEEFF" w:val="clear"/>
            <w:vAlign w:val="bottom"/>
          </w:tcPr>
          <w:p>
            <w:pPr>
              <w:pStyle w:val="TableContents"/>
              <w:spacing w:before="0" w:after="0"/>
              <w:ind w:left="0" w:right="0" w:hanging="0"/>
              <w:rPr/>
            </w:pPr>
            <w:r>
              <w:rPr/>
              <w:t> </w:t>
            </w:r>
          </w:p>
        </w:tc>
        <w:tc>
          <w:tcPr>
            <w:tcW w:w="2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88"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279</w:t>
            </w:r>
          </w:p>
        </w:tc>
        <w:tc>
          <w:tcPr>
            <w:tcW w:w="124" w:type="dxa"/>
            <w:tcBorders/>
            <w:shd w:fill="CCEEFF" w:val="clear"/>
            <w:vAlign w:val="bottom"/>
          </w:tcPr>
          <w:p>
            <w:pPr>
              <w:pStyle w:val="TableContents"/>
              <w:spacing w:before="0" w:after="0"/>
              <w:ind w:left="0" w:right="0" w:hanging="0"/>
              <w:rPr/>
            </w:pPr>
            <w:r>
              <w:rPr/>
              <w:t> </w:t>
            </w:r>
          </w:p>
        </w:tc>
      </w:tr>
      <w:tr>
        <w:trPr/>
        <w:tc>
          <w:tcPr>
            <w:tcW w:w="34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9"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9" w:type="dxa"/>
            <w:tcBorders/>
            <w:shd w:fill="auto" w:val="clear"/>
            <w:vAlign w:val="bottom"/>
          </w:tcPr>
          <w:p>
            <w:pPr>
              <w:pStyle w:val="TableContents"/>
              <w:spacing w:before="0" w:after="0"/>
              <w:ind w:left="0" w:right="0" w:hanging="0"/>
              <w:rPr/>
            </w:pPr>
            <w:r>
              <w:rPr/>
              <w:t> </w:t>
            </w:r>
          </w:p>
        </w:tc>
        <w:tc>
          <w:tcPr>
            <w:tcW w:w="1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9" w:type="dxa"/>
            <w:tcBorders/>
            <w:shd w:fill="auto" w:val="clear"/>
            <w:vAlign w:val="bottom"/>
          </w:tcPr>
          <w:p>
            <w:pPr>
              <w:pStyle w:val="TableContents"/>
              <w:spacing w:before="0" w:after="0"/>
              <w:ind w:left="0" w:right="0" w:hanging="0"/>
              <w:rPr/>
            </w:pPr>
            <w:r>
              <w:rPr/>
              <w:t> </w:t>
            </w:r>
          </w:p>
        </w:tc>
        <w:tc>
          <w:tcPr>
            <w:tcW w:w="2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8"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24" w:type="dxa"/>
            <w:tcBorders/>
            <w:shd w:fill="auto" w:val="clear"/>
            <w:vAlign w:val="bottom"/>
          </w:tcPr>
          <w:p>
            <w:pPr>
              <w:pStyle w:val="TableContents"/>
              <w:spacing w:before="0" w:after="0"/>
              <w:ind w:left="0" w:right="0" w:hanging="0"/>
              <w:rPr/>
            </w:pPr>
            <w:r>
              <w:rPr/>
              <w:t> </w:t>
            </w:r>
          </w:p>
        </w:tc>
      </w:tr>
      <w:tr>
        <w:trPr/>
        <w:tc>
          <w:tcPr>
            <w:tcW w:w="3478"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1568"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294"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721"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265"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3478"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Three Months Ended March 31, 2009</w:t>
            </w:r>
          </w:p>
        </w:tc>
        <w:tc>
          <w:tcPr>
            <w:tcW w:w="189" w:type="dxa"/>
            <w:tcBorders/>
            <w:shd w:fill="auto" w:val="clear"/>
            <w:vAlign w:val="bottom"/>
          </w:tcPr>
          <w:p>
            <w:pPr>
              <w:pStyle w:val="TableContents"/>
              <w:spacing w:before="0" w:after="0"/>
              <w:ind w:left="0" w:right="0" w:hanging="0"/>
              <w:rPr/>
            </w:pPr>
            <w:r>
              <w:rPr/>
              <w:t> </w:t>
            </w:r>
          </w:p>
        </w:tc>
        <w:tc>
          <w:tcPr>
            <w:tcW w:w="1568"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294"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721"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265"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34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9" w:type="dxa"/>
            <w:tcBorders/>
            <w:shd w:fill="CCEEFF" w:val="clear"/>
            <w:vAlign w:val="bottom"/>
          </w:tcPr>
          <w:p>
            <w:pPr>
              <w:pStyle w:val="TableContents"/>
              <w:spacing w:before="0" w:after="0"/>
              <w:ind w:left="0" w:right="0" w:hanging="0"/>
              <w:rPr/>
            </w:pPr>
            <w:r>
              <w:rPr/>
              <w:t> </w:t>
            </w:r>
          </w:p>
        </w:tc>
        <w:tc>
          <w:tcPr>
            <w:tcW w:w="1568"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294"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721"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265"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34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External Customers</w:t>
            </w:r>
          </w:p>
        </w:tc>
        <w:tc>
          <w:tcPr>
            <w:tcW w:w="189" w:type="dxa"/>
            <w:tcBorders/>
            <w:shd w:fill="auto" w:val="clear"/>
            <w:vAlign w:val="bottom"/>
          </w:tcPr>
          <w:p>
            <w:pPr>
              <w:pStyle w:val="TableContents"/>
              <w:spacing w:before="0" w:after="0"/>
              <w:ind w:left="0" w:right="0" w:hanging="0"/>
              <w:rPr/>
            </w:pPr>
            <w:r>
              <w:rPr/>
              <w:t> </w:t>
            </w:r>
          </w:p>
        </w:tc>
        <w:tc>
          <w:tcPr>
            <w:tcW w:w="2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189" w:type="dxa"/>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89" w:type="dxa"/>
            <w:tcBorders/>
            <w:shd w:fill="auto" w:val="clear"/>
            <w:vAlign w:val="bottom"/>
          </w:tcPr>
          <w:p>
            <w:pPr>
              <w:pStyle w:val="TableContents"/>
              <w:spacing w:before="0" w:after="0"/>
              <w:ind w:left="0" w:right="0" w:hanging="0"/>
              <w:rPr/>
            </w:pPr>
            <w:r>
              <w:rPr/>
              <w:t> </w:t>
            </w:r>
          </w:p>
        </w:tc>
        <w:tc>
          <w:tcPr>
            <w:tcW w:w="2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3,132</w:t>
            </w:r>
          </w:p>
        </w:tc>
        <w:tc>
          <w:tcPr>
            <w:tcW w:w="188"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3,302</w:t>
            </w:r>
          </w:p>
        </w:tc>
        <w:tc>
          <w:tcPr>
            <w:tcW w:w="124" w:type="dxa"/>
            <w:tcBorders/>
            <w:shd w:fill="auto" w:val="clear"/>
            <w:vAlign w:val="bottom"/>
          </w:tcPr>
          <w:p>
            <w:pPr>
              <w:pStyle w:val="TableContents"/>
              <w:spacing w:before="0" w:after="0"/>
              <w:ind w:left="0" w:right="0" w:hanging="0"/>
              <w:rPr/>
            </w:pPr>
            <w:r>
              <w:rPr/>
              <w:t> </w:t>
            </w:r>
          </w:p>
        </w:tc>
      </w:tr>
      <w:tr>
        <w:trPr/>
        <w:tc>
          <w:tcPr>
            <w:tcW w:w="3478" w:type="dxa"/>
            <w:tcBorders/>
            <w:shd w:fill="CCEEFF" w:val="clear"/>
            <w:vAlign w:val="bottom"/>
          </w:tcPr>
          <w:p>
            <w:pPr>
              <w:pStyle w:val="TableContents"/>
              <w:spacing w:before="0" w:after="0"/>
              <w:ind w:left="0" w:right="0" w:hanging="0"/>
              <w:rPr/>
            </w:pPr>
            <w:r>
              <w:rPr>
                <w:rFonts w:ascii="Times New Roman" w:hAnsi="Times New Roman"/>
                <w:sz w:val="17"/>
              </w:rPr>
              <w:t xml:space="preserve">Intersegment </w:t>
            </w:r>
            <w:r>
              <w:rPr>
                <w:sz w:val="11"/>
              </w:rPr>
              <w:t>(1)</w:t>
            </w:r>
          </w:p>
        </w:tc>
        <w:tc>
          <w:tcPr>
            <w:tcW w:w="189" w:type="dxa"/>
            <w:tcBorders/>
            <w:shd w:fill="CCEEFF" w:val="clear"/>
            <w:vAlign w:val="bottom"/>
          </w:tcPr>
          <w:p>
            <w:pPr>
              <w:pStyle w:val="TableContents"/>
              <w:spacing w:before="0" w:after="0"/>
              <w:ind w:left="0" w:right="0" w:hanging="0"/>
              <w:rPr/>
            </w:pPr>
            <w:r>
              <w:rPr/>
              <w:t> </w:t>
            </w:r>
          </w:p>
        </w:tc>
        <w:tc>
          <w:tcPr>
            <w:tcW w:w="156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189" w:type="dxa"/>
            <w:tcBorders/>
            <w:shd w:fill="CCEEFF" w:val="clear"/>
            <w:vAlign w:val="bottom"/>
          </w:tcPr>
          <w:p>
            <w:pPr>
              <w:pStyle w:val="TableContents"/>
              <w:spacing w:before="0" w:after="0"/>
              <w:ind w:left="0" w:right="0" w:hanging="0"/>
              <w:rPr/>
            </w:pPr>
            <w:r>
              <w:rPr/>
              <w:t> </w:t>
            </w:r>
          </w:p>
        </w:tc>
        <w:tc>
          <w:tcPr>
            <w:tcW w:w="129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89" w:type="dxa"/>
            <w:tcBorders/>
            <w:shd w:fill="CCEEFF" w:val="clear"/>
            <w:vAlign w:val="bottom"/>
          </w:tcPr>
          <w:p>
            <w:pPr>
              <w:pStyle w:val="TableContents"/>
              <w:spacing w:before="0" w:after="0"/>
              <w:ind w:left="0" w:right="0" w:hanging="0"/>
              <w:rPr/>
            </w:pPr>
            <w:r>
              <w:rPr/>
              <w:t> </w:t>
            </w:r>
          </w:p>
        </w:tc>
        <w:tc>
          <w:tcPr>
            <w:tcW w:w="17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8" w:type="dxa"/>
            <w:tcBorders/>
            <w:shd w:fill="CCEEFF" w:val="clear"/>
            <w:vAlign w:val="bottom"/>
          </w:tcPr>
          <w:p>
            <w:pPr>
              <w:pStyle w:val="TableContents"/>
              <w:spacing w:before="0" w:after="0"/>
              <w:ind w:left="0" w:right="0" w:hanging="0"/>
              <w:rPr/>
            </w:pPr>
            <w:r>
              <w:rPr/>
              <w:t> </w:t>
            </w:r>
          </w:p>
        </w:tc>
        <w:tc>
          <w:tcPr>
            <w:tcW w:w="12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124" w:type="dxa"/>
            <w:tcBorders/>
            <w:shd w:fill="CCEEFF" w:val="clear"/>
            <w:vAlign w:val="bottom"/>
          </w:tcPr>
          <w:p>
            <w:pPr>
              <w:pStyle w:val="TableContents"/>
              <w:spacing w:before="0" w:after="0"/>
              <w:ind w:left="0" w:right="0" w:hanging="0"/>
              <w:rPr/>
            </w:pPr>
            <w:r>
              <w:rPr/>
              <w:t> </w:t>
            </w:r>
          </w:p>
        </w:tc>
      </w:tr>
      <w:tr>
        <w:trPr/>
        <w:tc>
          <w:tcPr>
            <w:tcW w:w="34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89"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189" w:type="dxa"/>
            <w:tcBorders/>
            <w:shd w:fill="auto" w:val="clear"/>
            <w:vAlign w:val="bottom"/>
          </w:tcPr>
          <w:p>
            <w:pPr>
              <w:pStyle w:val="TableContents"/>
              <w:spacing w:before="0" w:after="0"/>
              <w:ind w:left="0" w:right="0" w:hanging="0"/>
              <w:rPr/>
            </w:pPr>
            <w:r>
              <w:rPr/>
              <w:t> </w:t>
            </w:r>
          </w:p>
        </w:tc>
        <w:tc>
          <w:tcPr>
            <w:tcW w:w="1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89" w:type="dxa"/>
            <w:tcBorders/>
            <w:shd w:fill="auto" w:val="clear"/>
            <w:vAlign w:val="bottom"/>
          </w:tcPr>
          <w:p>
            <w:pPr>
              <w:pStyle w:val="TableContents"/>
              <w:spacing w:before="0" w:after="0"/>
              <w:ind w:left="0" w:right="0" w:hanging="0"/>
              <w:rPr/>
            </w:pPr>
            <w:r>
              <w:rPr/>
              <w:t> </w:t>
            </w:r>
          </w:p>
        </w:tc>
        <w:tc>
          <w:tcPr>
            <w:tcW w:w="2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3,133</w:t>
            </w:r>
          </w:p>
        </w:tc>
        <w:tc>
          <w:tcPr>
            <w:tcW w:w="188"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3,435</w:t>
            </w:r>
          </w:p>
        </w:tc>
        <w:tc>
          <w:tcPr>
            <w:tcW w:w="124" w:type="dxa"/>
            <w:tcBorders/>
            <w:shd w:fill="auto" w:val="clear"/>
            <w:vAlign w:val="bottom"/>
          </w:tcPr>
          <w:p>
            <w:pPr>
              <w:pStyle w:val="TableContents"/>
              <w:spacing w:before="0" w:after="0"/>
              <w:ind w:left="0" w:right="0" w:hanging="0"/>
              <w:rPr/>
            </w:pPr>
            <w:r>
              <w:rPr/>
              <w:t> </w:t>
            </w:r>
          </w:p>
        </w:tc>
      </w:tr>
      <w:tr>
        <w:trPr/>
        <w:tc>
          <w:tcPr>
            <w:tcW w:w="34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of unconsolidated entities</w:t>
            </w:r>
          </w:p>
        </w:tc>
        <w:tc>
          <w:tcPr>
            <w:tcW w:w="189"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9" w:type="dxa"/>
            <w:tcBorders/>
            <w:shd w:fill="CCEEFF" w:val="clear"/>
            <w:vAlign w:val="bottom"/>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9" w:type="dxa"/>
            <w:tcBorders/>
            <w:shd w:fill="CCEEFF" w:val="clear"/>
            <w:vAlign w:val="bottom"/>
          </w:tcPr>
          <w:p>
            <w:pPr>
              <w:pStyle w:val="TableContents"/>
              <w:spacing w:before="0" w:after="0"/>
              <w:ind w:left="0" w:right="0" w:hanging="0"/>
              <w:rPr/>
            </w:pPr>
            <w:r>
              <w:rPr/>
              <w:t> </w:t>
            </w:r>
          </w:p>
        </w:tc>
        <w:tc>
          <w:tcPr>
            <w:tcW w:w="2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4" w:type="dxa"/>
            <w:tcBorders/>
            <w:shd w:fill="CCEEFF" w:val="clear"/>
            <w:vAlign w:val="bottom"/>
          </w:tcPr>
          <w:p>
            <w:pPr>
              <w:pStyle w:val="TableContents"/>
              <w:spacing w:before="0" w:after="0"/>
              <w:ind w:left="0" w:right="0" w:hanging="0"/>
              <w:rPr/>
            </w:pPr>
            <w:r>
              <w:rPr/>
              <w:t> </w:t>
            </w:r>
          </w:p>
        </w:tc>
      </w:tr>
      <w:tr>
        <w:trPr/>
        <w:tc>
          <w:tcPr>
            <w:tcW w:w="3478" w:type="dxa"/>
            <w:tcBorders/>
            <w:shd w:fill="auto" w:val="clear"/>
            <w:vAlign w:val="bottom"/>
          </w:tcPr>
          <w:p>
            <w:pPr>
              <w:pStyle w:val="TableContents"/>
              <w:spacing w:before="0" w:after="0"/>
              <w:ind w:left="0" w:right="0" w:hanging="0"/>
              <w:rPr/>
            </w:pPr>
            <w:r>
              <w:rPr>
                <w:rFonts w:ascii="Times New Roman" w:hAnsi="Times New Roman"/>
                <w:sz w:val="17"/>
              </w:rPr>
              <w:t>Segment profit</w:t>
            </w:r>
            <w:r>
              <w:rPr/>
              <w:t xml:space="preserve"> </w:t>
            </w:r>
            <w:r>
              <w:rPr>
                <w:sz w:val="11"/>
              </w:rPr>
              <w:t>(2) (3) (4)</w:t>
            </w:r>
          </w:p>
        </w:tc>
        <w:tc>
          <w:tcPr>
            <w:tcW w:w="189"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189" w:type="dxa"/>
            <w:tcBorders/>
            <w:shd w:fill="auto" w:val="clear"/>
            <w:vAlign w:val="bottom"/>
          </w:tcPr>
          <w:p>
            <w:pPr>
              <w:pStyle w:val="TableContents"/>
              <w:spacing w:before="0" w:after="0"/>
              <w:ind w:left="0" w:right="0" w:hanging="0"/>
              <w:rPr/>
            </w:pPr>
            <w:r>
              <w:rPr/>
              <w:t> </w:t>
            </w:r>
          </w:p>
        </w:tc>
        <w:tc>
          <w:tcPr>
            <w:tcW w:w="1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89" w:type="dxa"/>
            <w:tcBorders/>
            <w:shd w:fill="auto" w:val="clear"/>
            <w:vAlign w:val="bottom"/>
          </w:tcPr>
          <w:p>
            <w:pPr>
              <w:pStyle w:val="TableContents"/>
              <w:spacing w:before="0" w:after="0"/>
              <w:ind w:left="0" w:right="0" w:hanging="0"/>
              <w:rPr/>
            </w:pPr>
            <w:r>
              <w:rPr/>
              <w:t> </w:t>
            </w:r>
          </w:p>
        </w:tc>
        <w:tc>
          <w:tcPr>
            <w:tcW w:w="2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188"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w:t>
            </w:r>
          </w:p>
        </w:tc>
        <w:tc>
          <w:tcPr>
            <w:tcW w:w="124" w:type="dxa"/>
            <w:tcBorders/>
            <w:shd w:fill="auto" w:val="clear"/>
            <w:vAlign w:val="bottom"/>
          </w:tcPr>
          <w:p>
            <w:pPr>
              <w:pStyle w:val="TableContents"/>
              <w:spacing w:before="0" w:after="0"/>
              <w:ind w:left="0" w:right="0" w:hanging="0"/>
              <w:rPr/>
            </w:pPr>
            <w:r>
              <w:rPr/>
              <w:t> </w:t>
            </w:r>
          </w:p>
        </w:tc>
      </w:tr>
      <w:tr>
        <w:trPr/>
        <w:tc>
          <w:tcPr>
            <w:tcW w:w="347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9"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89" w:type="dxa"/>
            <w:tcBorders/>
            <w:shd w:fill="CCEEFF" w:val="clear"/>
            <w:vAlign w:val="bottom"/>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9" w:type="dxa"/>
            <w:tcBorders/>
            <w:shd w:fill="CCEEFF" w:val="clear"/>
            <w:vAlign w:val="bottom"/>
          </w:tcPr>
          <w:p>
            <w:pPr>
              <w:pStyle w:val="TableContents"/>
              <w:spacing w:before="0" w:after="0"/>
              <w:ind w:left="0" w:right="0" w:hanging="0"/>
              <w:rPr/>
            </w:pPr>
            <w:r>
              <w:rPr/>
              <w:t> </w:t>
            </w:r>
          </w:p>
        </w:tc>
        <w:tc>
          <w:tcPr>
            <w:tcW w:w="2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8"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24" w:type="dxa"/>
            <w:tcBorders/>
            <w:shd w:fill="CCEEFF" w:val="clear"/>
            <w:vAlign w:val="bottom"/>
          </w:tcPr>
          <w:p>
            <w:pPr>
              <w:pStyle w:val="TableContents"/>
              <w:spacing w:before="0" w:after="0"/>
              <w:ind w:left="0" w:right="0" w:hanging="0"/>
              <w:rPr/>
            </w:pPr>
            <w:r>
              <w:rPr/>
              <w:t> </w:t>
            </w:r>
          </w:p>
        </w:tc>
      </w:tr>
    </w:tbl>
    <w:p>
      <w:pPr>
        <w:pStyle w:val="TextBody"/>
        <w:shd w:fill="FFFFFF" w:val="clear"/>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hd w:fill="FFFFFF" w:val="clear"/>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 xml:space="preserve">(1)       </w:t>
      </w:r>
      <w:r>
        <w:rPr>
          <w:rFonts w:ascii="Times New Roman" w:hAnsi="Times New Roman"/>
          <w:sz w:val="17"/>
        </w:rPr>
        <w:t>Segment revenues and purchases and related costs include intersegment amounts. Intersegment sales are conducted at posted tariff rates, rates similar to those charged to third parties or rates that we believe approximate market rates.  For further discussion, see Analysis of Operating Segments under Item 7 of our 2009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Gains/losses from derivative activities are included in supply and logistics revenues and to a lesser extent facilities revenues and impact segment profit.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Supply and logistics segment profit includes interest expense on contango inventory purchases of $3 million and $2 million for the three months ended March 31, 2010 and 2009,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The following table reconciles segment profit to net income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23"/>
        <w:gridCol w:w="211"/>
        <w:gridCol w:w="112"/>
        <w:gridCol w:w="1059"/>
        <w:gridCol w:w="213"/>
        <w:gridCol w:w="112"/>
        <w:gridCol w:w="1059"/>
        <w:gridCol w:w="116"/>
      </w:tblGrid>
      <w:tr>
        <w:trPr/>
        <w:tc>
          <w:tcPr>
            <w:tcW w:w="732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5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Three Months</w:t>
            </w:r>
          </w:p>
        </w:tc>
        <w:tc>
          <w:tcPr>
            <w:tcW w:w="116" w:type="dxa"/>
            <w:tcBorders/>
            <w:shd w:fill="auto" w:val="clear"/>
            <w:vAlign w:val="bottom"/>
          </w:tcPr>
          <w:p>
            <w:pPr>
              <w:pStyle w:val="TableContents"/>
              <w:spacing w:before="0" w:after="0"/>
              <w:ind w:left="0" w:right="0" w:hanging="0"/>
              <w:jc w:val="center"/>
              <w:rPr/>
            </w:pPr>
            <w:r>
              <w:rPr/>
              <w:t> </w:t>
            </w:r>
          </w:p>
        </w:tc>
      </w:tr>
      <w:tr>
        <w:trPr/>
        <w:tc>
          <w:tcPr>
            <w:tcW w:w="732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5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March 31,</w:t>
            </w:r>
          </w:p>
        </w:tc>
        <w:tc>
          <w:tcPr>
            <w:tcW w:w="116" w:type="dxa"/>
            <w:tcBorders/>
            <w:shd w:fill="auto" w:val="clear"/>
            <w:vAlign w:val="bottom"/>
          </w:tcPr>
          <w:p>
            <w:pPr>
              <w:pStyle w:val="TableContents"/>
              <w:spacing w:before="0" w:after="0"/>
              <w:ind w:left="0" w:right="0" w:hanging="0"/>
              <w:jc w:val="center"/>
              <w:rPr/>
            </w:pPr>
            <w:r>
              <w:rPr/>
              <w:t> </w:t>
            </w:r>
          </w:p>
        </w:tc>
      </w:tr>
      <w:tr>
        <w:trPr/>
        <w:tc>
          <w:tcPr>
            <w:tcW w:w="732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1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3" w:type="dxa"/>
            <w:tcBorders/>
            <w:shd w:fill="auto" w:val="clear"/>
            <w:vAlign w:val="bottom"/>
          </w:tcPr>
          <w:p>
            <w:pPr>
              <w:pStyle w:val="TableContents"/>
              <w:spacing w:before="0" w:after="0"/>
              <w:ind w:left="0" w:right="0" w:hanging="0"/>
              <w:jc w:val="center"/>
              <w:rPr/>
            </w:pPr>
            <w:r>
              <w:rPr/>
              <w:t> </w:t>
            </w:r>
          </w:p>
        </w:tc>
        <w:tc>
          <w:tcPr>
            <w:tcW w:w="11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16" w:type="dxa"/>
            <w:tcBorders/>
            <w:shd w:fill="auto" w:val="clear"/>
            <w:vAlign w:val="bottom"/>
          </w:tcPr>
          <w:p>
            <w:pPr>
              <w:pStyle w:val="TableContents"/>
              <w:spacing w:before="0" w:after="0"/>
              <w:ind w:left="0" w:right="0" w:hanging="0"/>
              <w:jc w:val="center"/>
              <w:rPr/>
            </w:pPr>
            <w:r>
              <w:rPr/>
              <w:t> </w:t>
            </w:r>
          </w:p>
        </w:tc>
      </w:tr>
      <w:tr>
        <w:trPr/>
        <w:tc>
          <w:tcPr>
            <w:tcW w:w="73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11"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279</w:t>
            </w:r>
          </w:p>
        </w:tc>
        <w:tc>
          <w:tcPr>
            <w:tcW w:w="213"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w:t>
            </w:r>
          </w:p>
        </w:tc>
        <w:tc>
          <w:tcPr>
            <w:tcW w:w="116" w:type="dxa"/>
            <w:tcBorders/>
            <w:shd w:fill="CCEEFF" w:val="clear"/>
            <w:vAlign w:val="bottom"/>
          </w:tcPr>
          <w:p>
            <w:pPr>
              <w:pStyle w:val="TableContents"/>
              <w:spacing w:before="0" w:after="0"/>
              <w:ind w:left="0" w:right="0" w:hanging="0"/>
              <w:rPr/>
            </w:pPr>
            <w:r>
              <w:rPr/>
              <w:t> </w:t>
            </w:r>
          </w:p>
        </w:tc>
      </w:tr>
      <w:tr>
        <w:trPr/>
        <w:tc>
          <w:tcPr>
            <w:tcW w:w="73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1"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3" w:type="dxa"/>
            <w:tcBorders/>
            <w:shd w:fill="auto" w:val="clear"/>
            <w:vAlign w:val="bottom"/>
          </w:tcPr>
          <w:p>
            <w:pPr>
              <w:pStyle w:val="TableContents"/>
              <w:spacing w:before="0" w:after="0"/>
              <w:ind w:left="0" w:right="0" w:hanging="0"/>
              <w:rPr/>
            </w:pPr>
            <w:r>
              <w:rPr>
                <w:rFonts w:ascii="Times New Roman" w:hAnsi="Times New Roman"/>
                <w:sz w:val="17"/>
              </w:rPr>
              <w:t>Other income</w:t>
            </w:r>
            <w:r>
              <w:rPr>
                <w:sz w:val="17"/>
              </w:rPr>
              <w:t>/(expense), net</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6" w:type="dxa"/>
            <w:tcBorders/>
            <w:shd w:fill="auto" w:val="clear"/>
            <w:vAlign w:val="bottom"/>
          </w:tcPr>
          <w:p>
            <w:pPr>
              <w:pStyle w:val="TableContents"/>
              <w:spacing w:before="0" w:after="0"/>
              <w:ind w:left="0" w:right="0" w:hanging="0"/>
              <w:rPr/>
            </w:pPr>
            <w:r>
              <w:rPr/>
              <w:t> </w:t>
            </w:r>
          </w:p>
        </w:tc>
      </w:tr>
      <w:tr>
        <w:trPr/>
        <w:tc>
          <w:tcPr>
            <w:tcW w:w="73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211" w:type="dxa"/>
            <w:tcBorders/>
            <w:shd w:fill="CCEEFF"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3" w:type="dxa"/>
            <w:tcBorders/>
            <w:shd w:fill="CCEEFF"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1"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1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1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13  Supplemental Condensed Consolidating Financial Information</w:t>
      </w:r>
      <w:bookmarkStart w:id="48" w:name="Note13SupplementalCondensedConsol_132909"/>
      <w:bookmarkEnd w:id="48"/>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purposes of this Note 13, Plains is referred to as Parent. See Note 13 to our Consolidated Financial Statements included in Part IV of our 2009 Annual Report on Form 10-K for further detail regarding subsidiaries classified as Guarantor Subsidiaries and subsidiaries classified as Non-Guarantor Subsidiaries. There have been no material changes in the entities that constitute our guarantor and non-guarantor subsidiaries since December 31, 2009.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26</w:t>
      </w:r>
      <w:bookmarkStart w:id="49" w:name="PB_26_150805_455"/>
      <w:bookmarkEnd w:id="4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supplemental condensed consolidating financial information reflects the Parents separate accounts, the combined accounts of the Guarantor Subsidiaries, the combined accounts of the Non-Guarantor Subsidiaries, the combined consolidating adjustments and eliminations and the Parents consolidated accounts for the dates and periods indicated. For purposes of the following condensed consolidating information, the Parents investments in its subsidiaries and the Guarantor Subsidiaries investments in their subsidiaries are accounted for under the equity method of accounting (in millions):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Condensed Consolidating Balance Sheet</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485"/>
        <w:gridCol w:w="181"/>
        <w:gridCol w:w="141"/>
        <w:gridCol w:w="700"/>
        <w:gridCol w:w="181"/>
        <w:gridCol w:w="157"/>
        <w:gridCol w:w="977"/>
        <w:gridCol w:w="181"/>
        <w:gridCol w:w="195"/>
        <w:gridCol w:w="1198"/>
        <w:gridCol w:w="181"/>
        <w:gridCol w:w="153"/>
        <w:gridCol w:w="1001"/>
        <w:gridCol w:w="194"/>
        <w:gridCol w:w="162"/>
        <w:gridCol w:w="1001"/>
        <w:gridCol w:w="117"/>
      </w:tblGrid>
      <w:tr>
        <w:trPr/>
        <w:tc>
          <w:tcPr>
            <w:tcW w:w="3485"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6422"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 of March 31, 2010</w:t>
            </w:r>
          </w:p>
        </w:tc>
        <w:tc>
          <w:tcPr>
            <w:tcW w:w="117" w:type="dxa"/>
            <w:tcBorders/>
            <w:shd w:fill="auto" w:val="clear"/>
            <w:vAlign w:val="bottom"/>
          </w:tcPr>
          <w:p>
            <w:pPr>
              <w:pStyle w:val="TableContents"/>
              <w:spacing w:before="0" w:after="0"/>
              <w:ind w:left="0" w:right="0" w:hanging="0"/>
              <w:jc w:val="center"/>
              <w:rPr/>
            </w:pPr>
            <w:r>
              <w:rPr/>
              <w:t> </w:t>
            </w:r>
          </w:p>
        </w:tc>
      </w:tr>
      <w:tr>
        <w:trPr/>
        <w:tc>
          <w:tcPr>
            <w:tcW w:w="3485"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841" w:type="dxa"/>
            <w:gridSpan w:val="2"/>
            <w:tcBorders/>
            <w:shd w:fill="auto" w:val="clear"/>
            <w:vAlign w:val="bottom"/>
          </w:tcPr>
          <w:p>
            <w:pPr>
              <w:pStyle w:val="TableContents"/>
              <w:spacing w:before="0" w:after="0"/>
              <w:ind w:left="0" w:right="0" w:hanging="0"/>
              <w:jc w:val="center"/>
              <w:rPr/>
            </w:pPr>
            <w:r>
              <w:rPr/>
              <w:t> </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34"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9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54"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9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6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7" w:type="dxa"/>
            <w:tcBorders/>
            <w:shd w:fill="auto" w:val="clear"/>
            <w:vAlign w:val="bottom"/>
          </w:tcPr>
          <w:p>
            <w:pPr>
              <w:pStyle w:val="TableContents"/>
              <w:spacing w:before="0" w:after="0"/>
              <w:ind w:left="0" w:right="0" w:hanging="0"/>
              <w:jc w:val="center"/>
              <w:rPr/>
            </w:pPr>
            <w:r>
              <w:rPr/>
              <w:t> </w:t>
            </w:r>
          </w:p>
        </w:tc>
      </w:tr>
      <w:tr>
        <w:trPr/>
        <w:tc>
          <w:tcPr>
            <w:tcW w:w="3485"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841" w:type="dxa"/>
            <w:gridSpan w:val="2"/>
            <w:tcBorders/>
            <w:shd w:fill="auto" w:val="clear"/>
            <w:vAlign w:val="bottom"/>
          </w:tcPr>
          <w:p>
            <w:pPr>
              <w:pStyle w:val="TableContents"/>
              <w:spacing w:before="0" w:after="0"/>
              <w:ind w:left="0" w:right="0" w:hanging="0"/>
              <w:jc w:val="center"/>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113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Guarantor</w:t>
            </w:r>
          </w:p>
        </w:tc>
        <w:tc>
          <w:tcPr>
            <w:tcW w:w="181" w:type="dxa"/>
            <w:tcBorders/>
            <w:shd w:fill="auto" w:val="clear"/>
            <w:vAlign w:val="bottom"/>
          </w:tcPr>
          <w:p>
            <w:pPr>
              <w:pStyle w:val="TableContents"/>
              <w:spacing w:before="0" w:after="0"/>
              <w:ind w:left="0" w:right="0" w:hanging="0"/>
              <w:jc w:val="center"/>
              <w:rPr/>
            </w:pPr>
            <w:r>
              <w:rPr/>
              <w:t> </w:t>
            </w:r>
          </w:p>
        </w:tc>
        <w:tc>
          <w:tcPr>
            <w:tcW w:w="139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Non-Guarantor</w:t>
            </w:r>
          </w:p>
        </w:tc>
        <w:tc>
          <w:tcPr>
            <w:tcW w:w="181" w:type="dxa"/>
            <w:tcBorders/>
            <w:shd w:fill="auto" w:val="clear"/>
            <w:vAlign w:val="bottom"/>
          </w:tcPr>
          <w:p>
            <w:pPr>
              <w:pStyle w:val="TableContents"/>
              <w:spacing w:before="0" w:after="0"/>
              <w:ind w:left="0" w:right="0" w:hanging="0"/>
              <w:jc w:val="center"/>
              <w:rPr/>
            </w:pPr>
            <w:r>
              <w:rPr/>
              <w:t> </w:t>
            </w:r>
          </w:p>
        </w:tc>
        <w:tc>
          <w:tcPr>
            <w:tcW w:w="1154" w:type="dxa"/>
            <w:gridSpan w:val="2"/>
            <w:tcBorders/>
            <w:shd w:fill="auto" w:val="clear"/>
            <w:vAlign w:val="bottom"/>
          </w:tcPr>
          <w:p>
            <w:pPr>
              <w:pStyle w:val="TableContents"/>
              <w:spacing w:before="0" w:after="0"/>
              <w:ind w:left="0" w:right="0" w:hanging="0"/>
              <w:jc w:val="center"/>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1163" w:type="dxa"/>
            <w:gridSpan w:val="2"/>
            <w:tcBorders/>
            <w:shd w:fill="auto" w:val="clear"/>
            <w:vAlign w:val="bottom"/>
          </w:tcPr>
          <w:p>
            <w:pPr>
              <w:pStyle w:val="TableContents"/>
              <w:spacing w:before="0" w:after="0"/>
              <w:ind w:left="0" w:right="0" w:hanging="0"/>
              <w:jc w:val="center"/>
              <w:rPr/>
            </w:pPr>
            <w:r>
              <w:rPr/>
              <w:t> </w:t>
            </w:r>
          </w:p>
        </w:tc>
        <w:tc>
          <w:tcPr>
            <w:tcW w:w="117" w:type="dxa"/>
            <w:tcBorders/>
            <w:shd w:fill="auto" w:val="clear"/>
            <w:vAlign w:val="bottom"/>
          </w:tcPr>
          <w:p>
            <w:pPr>
              <w:pStyle w:val="TableContents"/>
              <w:spacing w:before="0" w:after="0"/>
              <w:ind w:left="0" w:right="0" w:hanging="0"/>
              <w:jc w:val="center"/>
              <w:rPr/>
            </w:pPr>
            <w:r>
              <w:rPr/>
              <w:t> </w:t>
            </w:r>
          </w:p>
        </w:tc>
      </w:tr>
      <w:tr>
        <w:trPr/>
        <w:tc>
          <w:tcPr>
            <w:tcW w:w="3485"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8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Parent</w:t>
            </w:r>
          </w:p>
        </w:tc>
        <w:tc>
          <w:tcPr>
            <w:tcW w:w="181" w:type="dxa"/>
            <w:tcBorders/>
            <w:shd w:fill="auto" w:val="clear"/>
            <w:vAlign w:val="bottom"/>
          </w:tcPr>
          <w:p>
            <w:pPr>
              <w:pStyle w:val="TableContents"/>
              <w:spacing w:before="0" w:after="0"/>
              <w:ind w:left="0" w:right="0" w:hanging="0"/>
              <w:jc w:val="center"/>
              <w:rPr/>
            </w:pPr>
            <w:r>
              <w:rPr/>
              <w:t> </w:t>
            </w:r>
          </w:p>
        </w:tc>
        <w:tc>
          <w:tcPr>
            <w:tcW w:w="11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81" w:type="dxa"/>
            <w:tcBorders/>
            <w:shd w:fill="auto" w:val="clear"/>
            <w:vAlign w:val="bottom"/>
          </w:tcPr>
          <w:p>
            <w:pPr>
              <w:pStyle w:val="TableContents"/>
              <w:spacing w:before="0" w:after="0"/>
              <w:ind w:left="0" w:right="0" w:hanging="0"/>
              <w:jc w:val="center"/>
              <w:rPr/>
            </w:pPr>
            <w:r>
              <w:rPr/>
              <w:t> </w:t>
            </w:r>
          </w:p>
        </w:tc>
        <w:tc>
          <w:tcPr>
            <w:tcW w:w="139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81" w:type="dxa"/>
            <w:tcBorders/>
            <w:shd w:fill="auto" w:val="clear"/>
            <w:vAlign w:val="bottom"/>
          </w:tcPr>
          <w:p>
            <w:pPr>
              <w:pStyle w:val="TableContents"/>
              <w:spacing w:before="0" w:after="0"/>
              <w:ind w:left="0" w:right="0" w:hanging="0"/>
              <w:jc w:val="center"/>
              <w:rPr/>
            </w:pPr>
            <w:r>
              <w:rPr/>
              <w:t> </w:t>
            </w:r>
          </w:p>
        </w:tc>
        <w:tc>
          <w:tcPr>
            <w:tcW w:w="11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Eliminations</w:t>
            </w:r>
          </w:p>
        </w:tc>
        <w:tc>
          <w:tcPr>
            <w:tcW w:w="194" w:type="dxa"/>
            <w:tcBorders/>
            <w:shd w:fill="auto" w:val="clear"/>
            <w:vAlign w:val="bottom"/>
          </w:tcPr>
          <w:p>
            <w:pPr>
              <w:pStyle w:val="TableContents"/>
              <w:spacing w:before="0" w:after="0"/>
              <w:ind w:left="0" w:right="0" w:hanging="0"/>
              <w:jc w:val="center"/>
              <w:rPr/>
            </w:pPr>
            <w:r>
              <w:rPr/>
              <w:t> </w:t>
            </w:r>
          </w:p>
        </w:tc>
        <w:tc>
          <w:tcPr>
            <w:tcW w:w="11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Consolidated</w:t>
            </w:r>
          </w:p>
        </w:tc>
        <w:tc>
          <w:tcPr>
            <w:tcW w:w="117" w:type="dxa"/>
            <w:tcBorders/>
            <w:shd w:fill="auto" w:val="clear"/>
            <w:vAlign w:val="bottom"/>
          </w:tcPr>
          <w:p>
            <w:pPr>
              <w:pStyle w:val="TableContents"/>
              <w:spacing w:before="0" w:after="0"/>
              <w:ind w:left="0" w:right="0" w:hanging="0"/>
              <w:jc w:val="center"/>
              <w:rPr/>
            </w:pPr>
            <w:r>
              <w:rPr/>
              <w:t> </w:t>
            </w:r>
          </w:p>
        </w:tc>
      </w:tr>
      <w:tr>
        <w:trPr/>
        <w:tc>
          <w:tcPr>
            <w:tcW w:w="348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181" w:type="dxa"/>
            <w:tcBorders/>
            <w:shd w:fill="CCEEFF" w:val="clear"/>
            <w:vAlign w:val="bottom"/>
          </w:tcPr>
          <w:p>
            <w:pPr>
              <w:pStyle w:val="TableContents"/>
              <w:spacing w:before="0" w:after="0"/>
              <w:ind w:left="0" w:right="0" w:hanging="0"/>
              <w:rPr/>
            </w:pPr>
            <w:r>
              <w:rPr/>
              <w:t> </w:t>
            </w:r>
          </w:p>
        </w:tc>
        <w:tc>
          <w:tcPr>
            <w:tcW w:w="841"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134"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393"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1163"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34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assets</w:t>
            </w:r>
          </w:p>
        </w:tc>
        <w:tc>
          <w:tcPr>
            <w:tcW w:w="181"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3,065</w:t>
            </w:r>
          </w:p>
        </w:tc>
        <w:tc>
          <w:tcPr>
            <w:tcW w:w="181"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3,523</w:t>
            </w:r>
          </w:p>
        </w:tc>
        <w:tc>
          <w:tcPr>
            <w:tcW w:w="181"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181"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(3,484</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3,341</w:t>
            </w:r>
          </w:p>
        </w:tc>
        <w:tc>
          <w:tcPr>
            <w:tcW w:w="117" w:type="dxa"/>
            <w:tcBorders/>
            <w:shd w:fill="auto" w:val="clear"/>
            <w:vAlign w:val="bottom"/>
          </w:tcPr>
          <w:p>
            <w:pPr>
              <w:pStyle w:val="TableContents"/>
              <w:spacing w:before="0" w:after="0"/>
              <w:ind w:left="0" w:right="0" w:hanging="0"/>
              <w:rPr/>
            </w:pPr>
            <w:r>
              <w:rPr/>
              <w:t> </w:t>
            </w:r>
          </w:p>
        </w:tc>
      </w:tr>
      <w:tr>
        <w:trPr/>
        <w:tc>
          <w:tcPr>
            <w:tcW w:w="34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Property, plant and equipment, net</w:t>
            </w:r>
          </w:p>
        </w:tc>
        <w:tc>
          <w:tcPr>
            <w:tcW w:w="181" w:type="dxa"/>
            <w:tcBorders/>
            <w:shd w:fill="CCEEFF" w:val="clear"/>
            <w:vAlign w:val="bottom"/>
          </w:tcPr>
          <w:p>
            <w:pPr>
              <w:pStyle w:val="TableContents"/>
              <w:spacing w:before="0" w:after="0"/>
              <w:ind w:left="0" w:right="0" w:hanging="0"/>
              <w:rPr/>
            </w:pPr>
            <w:r>
              <w:rPr/>
              <w:t> </w:t>
            </w:r>
          </w:p>
        </w:tc>
        <w:tc>
          <w:tcPr>
            <w:tcW w:w="8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1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4,663</w:t>
            </w:r>
          </w:p>
        </w:tc>
        <w:tc>
          <w:tcPr>
            <w:tcW w:w="181" w:type="dxa"/>
            <w:tcBorders/>
            <w:shd w:fill="CCEEFF" w:val="clear"/>
            <w:vAlign w:val="bottom"/>
          </w:tcPr>
          <w:p>
            <w:pPr>
              <w:pStyle w:val="TableContents"/>
              <w:spacing w:before="0" w:after="0"/>
              <w:ind w:left="0" w:right="0" w:hanging="0"/>
              <w:rPr/>
            </w:pPr>
            <w:r>
              <w:rPr/>
              <w:t> </w:t>
            </w:r>
          </w:p>
        </w:tc>
        <w:tc>
          <w:tcPr>
            <w:tcW w:w="13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1,749</w:t>
            </w:r>
          </w:p>
        </w:tc>
        <w:tc>
          <w:tcPr>
            <w:tcW w:w="181"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4" w:type="dxa"/>
            <w:tcBorders/>
            <w:shd w:fill="CCEEFF" w:val="clear"/>
            <w:vAlign w:val="bottom"/>
          </w:tcPr>
          <w:p>
            <w:pPr>
              <w:pStyle w:val="TableContents"/>
              <w:spacing w:before="0" w:after="0"/>
              <w:ind w:left="0" w:right="0" w:hanging="0"/>
              <w:rPr/>
            </w:pPr>
            <w:r>
              <w:rPr/>
              <w:t> </w:t>
            </w:r>
          </w:p>
        </w:tc>
        <w:tc>
          <w:tcPr>
            <w:tcW w:w="11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6,412</w:t>
            </w:r>
          </w:p>
        </w:tc>
        <w:tc>
          <w:tcPr>
            <w:tcW w:w="117" w:type="dxa"/>
            <w:tcBorders/>
            <w:shd w:fill="CCEEFF" w:val="clear"/>
            <w:vAlign w:val="bottom"/>
          </w:tcPr>
          <w:p>
            <w:pPr>
              <w:pStyle w:val="TableContents"/>
              <w:spacing w:before="0" w:after="0"/>
              <w:ind w:left="0" w:right="0" w:hanging="0"/>
              <w:rPr/>
            </w:pPr>
            <w:r>
              <w:rPr/>
              <w:t> </w:t>
            </w:r>
          </w:p>
        </w:tc>
      </w:tr>
      <w:tr>
        <w:trPr/>
        <w:tc>
          <w:tcPr>
            <w:tcW w:w="34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assets, net</w:t>
            </w:r>
          </w:p>
        </w:tc>
        <w:tc>
          <w:tcPr>
            <w:tcW w:w="181" w:type="dxa"/>
            <w:tcBorders/>
            <w:shd w:fill="auto" w:val="clear"/>
            <w:vAlign w:val="bottom"/>
          </w:tcPr>
          <w:p>
            <w:pPr>
              <w:pStyle w:val="TableContents"/>
              <w:spacing w:before="0" w:after="0"/>
              <w:ind w:left="0" w:right="0" w:hanging="0"/>
              <w:rPr/>
            </w:pPr>
            <w:r>
              <w:rPr/>
              <w:t> </w:t>
            </w:r>
          </w:p>
        </w:tc>
        <w:tc>
          <w:tcPr>
            <w:tcW w:w="8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5,602</w:t>
            </w:r>
          </w:p>
        </w:tc>
        <w:tc>
          <w:tcPr>
            <w:tcW w:w="181" w:type="dxa"/>
            <w:tcBorders/>
            <w:shd w:fill="auto" w:val="clear"/>
            <w:vAlign w:val="bottom"/>
          </w:tcPr>
          <w:p>
            <w:pPr>
              <w:pStyle w:val="TableContents"/>
              <w:spacing w:before="0" w:after="0"/>
              <w:ind w:left="0" w:right="0" w:hanging="0"/>
              <w:rPr/>
            </w:pPr>
            <w:r>
              <w:rPr/>
              <w:t> </w:t>
            </w:r>
          </w:p>
        </w:tc>
        <w:tc>
          <w:tcPr>
            <w:tcW w:w="11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4,007</w:t>
            </w:r>
          </w:p>
        </w:tc>
        <w:tc>
          <w:tcPr>
            <w:tcW w:w="181" w:type="dxa"/>
            <w:tcBorders/>
            <w:shd w:fill="auto" w:val="clear"/>
            <w:vAlign w:val="bottom"/>
          </w:tcPr>
          <w:p>
            <w:pPr>
              <w:pStyle w:val="TableContents"/>
              <w:spacing w:before="0" w:after="0"/>
              <w:ind w:left="0" w:right="0" w:hanging="0"/>
              <w:rPr/>
            </w:pPr>
            <w:r>
              <w:rPr/>
              <w:t> </w:t>
            </w:r>
          </w:p>
        </w:tc>
        <w:tc>
          <w:tcPr>
            <w:tcW w:w="13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367</w:t>
            </w:r>
          </w:p>
        </w:tc>
        <w:tc>
          <w:tcPr>
            <w:tcW w:w="181" w:type="dxa"/>
            <w:tcBorders/>
            <w:shd w:fill="auto" w:val="clear"/>
            <w:vAlign w:val="bottom"/>
          </w:tcPr>
          <w:p>
            <w:pPr>
              <w:pStyle w:val="TableContents"/>
              <w:spacing w:before="0" w:after="0"/>
              <w:ind w:left="0" w:right="0" w:hanging="0"/>
              <w:rPr/>
            </w:pPr>
            <w:r>
              <w:rPr/>
              <w:t> </w:t>
            </w:r>
          </w:p>
        </w:tc>
        <w:tc>
          <w:tcPr>
            <w:tcW w:w="11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(7,627</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2,349</w:t>
            </w:r>
          </w:p>
        </w:tc>
        <w:tc>
          <w:tcPr>
            <w:tcW w:w="117" w:type="dxa"/>
            <w:tcBorders/>
            <w:shd w:fill="auto" w:val="clear"/>
            <w:vAlign w:val="bottom"/>
          </w:tcPr>
          <w:p>
            <w:pPr>
              <w:pStyle w:val="TableContents"/>
              <w:spacing w:before="0" w:after="0"/>
              <w:ind w:left="0" w:right="0" w:hanging="0"/>
              <w:rPr/>
            </w:pPr>
            <w:r>
              <w:rPr/>
              <w:t> </w:t>
            </w:r>
          </w:p>
        </w:tc>
      </w:tr>
      <w:tr>
        <w:trPr/>
        <w:tc>
          <w:tcPr>
            <w:tcW w:w="34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181"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8,667</w:t>
            </w:r>
          </w:p>
        </w:tc>
        <w:tc>
          <w:tcPr>
            <w:tcW w:w="181" w:type="dxa"/>
            <w:tcBorders/>
            <w:shd w:fill="CCEEFF" w:val="clear"/>
            <w:vAlign w:val="bottom"/>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12,193</w:t>
            </w:r>
          </w:p>
        </w:tc>
        <w:tc>
          <w:tcPr>
            <w:tcW w:w="181" w:type="dxa"/>
            <w:tcBorders/>
            <w:shd w:fill="CCEEFF" w:val="clear"/>
            <w:vAlign w:val="bottom"/>
          </w:tcPr>
          <w:p>
            <w:pPr>
              <w:pStyle w:val="TableContents"/>
              <w:spacing w:before="0" w:after="0"/>
              <w:ind w:left="0" w:right="0" w:hanging="0"/>
              <w:rPr/>
            </w:pPr>
            <w:r>
              <w:rPr/>
              <w:t> </w:t>
            </w:r>
          </w:p>
        </w:tc>
        <w:tc>
          <w:tcPr>
            <w:tcW w:w="19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2,353</w:t>
            </w:r>
          </w:p>
        </w:tc>
        <w:tc>
          <w:tcPr>
            <w:tcW w:w="181"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(11,111</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12,102</w:t>
            </w:r>
          </w:p>
        </w:tc>
        <w:tc>
          <w:tcPr>
            <w:tcW w:w="117" w:type="dxa"/>
            <w:tcBorders/>
            <w:shd w:fill="CCEEFF" w:val="clear"/>
            <w:vAlign w:val="bottom"/>
          </w:tcPr>
          <w:p>
            <w:pPr>
              <w:pStyle w:val="TableContents"/>
              <w:spacing w:before="0" w:after="0"/>
              <w:ind w:left="0" w:right="0" w:hanging="0"/>
              <w:rPr/>
            </w:pPr>
            <w:r>
              <w:rPr/>
              <w:t> </w:t>
            </w:r>
          </w:p>
        </w:tc>
      </w:tr>
      <w:tr>
        <w:trPr/>
        <w:tc>
          <w:tcPr>
            <w:tcW w:w="3485"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8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34"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393"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54"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1163"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348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181" w:type="dxa"/>
            <w:tcBorders/>
            <w:shd w:fill="CCEEFF" w:val="clear"/>
            <w:vAlign w:val="bottom"/>
          </w:tcPr>
          <w:p>
            <w:pPr>
              <w:pStyle w:val="TableContents"/>
              <w:spacing w:before="0" w:after="0"/>
              <w:ind w:left="0" w:right="0" w:hanging="0"/>
              <w:rPr/>
            </w:pPr>
            <w:r>
              <w:rPr/>
              <w:t> </w:t>
            </w:r>
          </w:p>
        </w:tc>
        <w:tc>
          <w:tcPr>
            <w:tcW w:w="841"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134"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393"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1163"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34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liabilities</w:t>
            </w:r>
          </w:p>
        </w:tc>
        <w:tc>
          <w:tcPr>
            <w:tcW w:w="181"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181"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6,364</w:t>
            </w:r>
          </w:p>
        </w:tc>
        <w:tc>
          <w:tcPr>
            <w:tcW w:w="181"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w:t>
            </w:r>
          </w:p>
        </w:tc>
        <w:tc>
          <w:tcPr>
            <w:tcW w:w="181"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(3,484</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3,496</w:t>
            </w:r>
          </w:p>
        </w:tc>
        <w:tc>
          <w:tcPr>
            <w:tcW w:w="117" w:type="dxa"/>
            <w:tcBorders/>
            <w:shd w:fill="auto" w:val="clear"/>
            <w:vAlign w:val="bottom"/>
          </w:tcPr>
          <w:p>
            <w:pPr>
              <w:pStyle w:val="TableContents"/>
              <w:spacing w:before="0" w:after="0"/>
              <w:ind w:left="0" w:right="0" w:hanging="0"/>
              <w:rPr/>
            </w:pPr>
            <w:r>
              <w:rPr/>
              <w:t> </w:t>
            </w:r>
          </w:p>
        </w:tc>
      </w:tr>
      <w:tr>
        <w:trPr/>
        <w:tc>
          <w:tcPr>
            <w:tcW w:w="34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181" w:type="dxa"/>
            <w:tcBorders/>
            <w:shd w:fill="CCEEFF" w:val="clear"/>
            <w:vAlign w:val="bottom"/>
          </w:tcPr>
          <w:p>
            <w:pPr>
              <w:pStyle w:val="TableContents"/>
              <w:spacing w:before="0" w:after="0"/>
              <w:ind w:left="0" w:right="0" w:hanging="0"/>
              <w:rPr/>
            </w:pPr>
            <w:r>
              <w:rPr/>
              <w:t> </w:t>
            </w:r>
          </w:p>
        </w:tc>
        <w:tc>
          <w:tcPr>
            <w:tcW w:w="8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4,138</w:t>
            </w:r>
          </w:p>
        </w:tc>
        <w:tc>
          <w:tcPr>
            <w:tcW w:w="181" w:type="dxa"/>
            <w:tcBorders/>
            <w:shd w:fill="CCEEFF" w:val="clear"/>
            <w:vAlign w:val="bottom"/>
          </w:tcPr>
          <w:p>
            <w:pPr>
              <w:pStyle w:val="TableContents"/>
              <w:spacing w:before="0" w:after="0"/>
              <w:ind w:left="0" w:right="0" w:hanging="0"/>
              <w:rPr/>
            </w:pPr>
            <w:r>
              <w:rPr/>
              <w:t> </w:t>
            </w:r>
          </w:p>
        </w:tc>
        <w:tc>
          <w:tcPr>
            <w:tcW w:w="11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1" w:type="dxa"/>
            <w:tcBorders/>
            <w:shd w:fill="CCEEFF" w:val="clear"/>
            <w:vAlign w:val="bottom"/>
          </w:tcPr>
          <w:p>
            <w:pPr>
              <w:pStyle w:val="TableContents"/>
              <w:spacing w:before="0" w:after="0"/>
              <w:ind w:left="0" w:right="0" w:hanging="0"/>
              <w:rPr/>
            </w:pPr>
            <w:r>
              <w:rPr/>
              <w:t> </w:t>
            </w:r>
          </w:p>
        </w:tc>
        <w:tc>
          <w:tcPr>
            <w:tcW w:w="13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474</w:t>
            </w:r>
          </w:p>
        </w:tc>
        <w:tc>
          <w:tcPr>
            <w:tcW w:w="181"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(474</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4,144</w:t>
            </w:r>
          </w:p>
        </w:tc>
        <w:tc>
          <w:tcPr>
            <w:tcW w:w="117" w:type="dxa"/>
            <w:tcBorders/>
            <w:shd w:fill="CCEEFF" w:val="clear"/>
            <w:vAlign w:val="bottom"/>
          </w:tcPr>
          <w:p>
            <w:pPr>
              <w:pStyle w:val="TableContents"/>
              <w:spacing w:before="0" w:after="0"/>
              <w:ind w:left="0" w:right="0" w:hanging="0"/>
              <w:rPr/>
            </w:pPr>
            <w:r>
              <w:rPr/>
              <w:t> </w:t>
            </w:r>
          </w:p>
        </w:tc>
      </w:tr>
      <w:tr>
        <w:trPr/>
        <w:tc>
          <w:tcPr>
            <w:tcW w:w="34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81" w:type="dxa"/>
            <w:tcBorders/>
            <w:shd w:fill="auto" w:val="clear"/>
            <w:vAlign w:val="bottom"/>
          </w:tcPr>
          <w:p>
            <w:pPr>
              <w:pStyle w:val="TableContents"/>
              <w:spacing w:before="0" w:after="0"/>
              <w:ind w:left="0" w:right="0" w:hanging="0"/>
              <w:rPr/>
            </w:pPr>
            <w:r>
              <w:rPr/>
              <w:t> </w:t>
            </w:r>
          </w:p>
        </w:tc>
        <w:tc>
          <w:tcPr>
            <w:tcW w:w="8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11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181" w:type="dxa"/>
            <w:tcBorders/>
            <w:shd w:fill="auto" w:val="clear"/>
            <w:vAlign w:val="bottom"/>
          </w:tcPr>
          <w:p>
            <w:pPr>
              <w:pStyle w:val="TableContents"/>
              <w:spacing w:before="0" w:after="0"/>
              <w:ind w:left="0" w:right="0" w:hanging="0"/>
              <w:rPr/>
            </w:pPr>
            <w:r>
              <w:rPr/>
              <w:t> </w:t>
            </w:r>
          </w:p>
        </w:tc>
        <w:tc>
          <w:tcPr>
            <w:tcW w:w="13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1" w:type="dxa"/>
            <w:tcBorders/>
            <w:shd w:fill="auto" w:val="clear"/>
            <w:vAlign w:val="bottom"/>
          </w:tcPr>
          <w:p>
            <w:pPr>
              <w:pStyle w:val="TableContents"/>
              <w:spacing w:before="0" w:after="0"/>
              <w:ind w:left="0" w:right="0" w:hanging="0"/>
              <w:rPr/>
            </w:pPr>
            <w:r>
              <w:rPr/>
              <w:t> </w:t>
            </w:r>
          </w:p>
        </w:tc>
        <w:tc>
          <w:tcPr>
            <w:tcW w:w="11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4" w:type="dxa"/>
            <w:tcBorders/>
            <w:shd w:fill="auto" w:val="clear"/>
            <w:vAlign w:val="bottom"/>
          </w:tcPr>
          <w:p>
            <w:pPr>
              <w:pStyle w:val="TableContents"/>
              <w:spacing w:before="0" w:after="0"/>
              <w:ind w:left="0" w:right="0" w:hanging="0"/>
              <w:rPr/>
            </w:pPr>
            <w:r>
              <w:rPr/>
              <w:t> </w:t>
            </w:r>
          </w:p>
        </w:tc>
        <w:tc>
          <w:tcPr>
            <w:tcW w:w="11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117" w:type="dxa"/>
            <w:tcBorders/>
            <w:shd w:fill="auto" w:val="clear"/>
            <w:vAlign w:val="bottom"/>
          </w:tcPr>
          <w:p>
            <w:pPr>
              <w:pStyle w:val="TableContents"/>
              <w:spacing w:before="0" w:after="0"/>
              <w:ind w:left="0" w:right="0" w:hanging="0"/>
              <w:rPr/>
            </w:pPr>
            <w:r>
              <w:rPr/>
              <w:t> </w:t>
            </w:r>
          </w:p>
        </w:tc>
      </w:tr>
      <w:tr>
        <w:trPr/>
        <w:tc>
          <w:tcPr>
            <w:tcW w:w="34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181" w:type="dxa"/>
            <w:tcBorders/>
            <w:shd w:fill="CCEEFF" w:val="clear"/>
            <w:vAlign w:val="bottom"/>
          </w:tcPr>
          <w:p>
            <w:pPr>
              <w:pStyle w:val="TableContents"/>
              <w:spacing w:before="0" w:after="0"/>
              <w:ind w:left="0" w:right="0" w:hanging="0"/>
              <w:rPr/>
            </w:pPr>
            <w:r>
              <w:rPr/>
              <w:t> </w:t>
            </w:r>
          </w:p>
        </w:tc>
        <w:tc>
          <w:tcPr>
            <w:tcW w:w="8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4,458</w:t>
            </w:r>
          </w:p>
        </w:tc>
        <w:tc>
          <w:tcPr>
            <w:tcW w:w="181" w:type="dxa"/>
            <w:tcBorders/>
            <w:shd w:fill="CCEEFF" w:val="clear"/>
            <w:vAlign w:val="bottom"/>
          </w:tcPr>
          <w:p>
            <w:pPr>
              <w:pStyle w:val="TableContents"/>
              <w:spacing w:before="0" w:after="0"/>
              <w:ind w:left="0" w:right="0" w:hanging="0"/>
              <w:rPr/>
            </w:pPr>
            <w:r>
              <w:rPr/>
              <w:t> </w:t>
            </w:r>
          </w:p>
        </w:tc>
        <w:tc>
          <w:tcPr>
            <w:tcW w:w="11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6,619</w:t>
            </w:r>
          </w:p>
        </w:tc>
        <w:tc>
          <w:tcPr>
            <w:tcW w:w="181" w:type="dxa"/>
            <w:tcBorders/>
            <w:shd w:fill="CCEEFF" w:val="clear"/>
            <w:vAlign w:val="bottom"/>
          </w:tcPr>
          <w:p>
            <w:pPr>
              <w:pStyle w:val="TableContents"/>
              <w:spacing w:before="0" w:after="0"/>
              <w:ind w:left="0" w:right="0" w:hanging="0"/>
              <w:rPr/>
            </w:pPr>
            <w:r>
              <w:rPr/>
              <w:t> </w:t>
            </w:r>
          </w:p>
        </w:tc>
        <w:tc>
          <w:tcPr>
            <w:tcW w:w="13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181" w:type="dxa"/>
            <w:tcBorders/>
            <w:shd w:fill="CCEEFF" w:val="clear"/>
            <w:vAlign w:val="bottom"/>
          </w:tcPr>
          <w:p>
            <w:pPr>
              <w:pStyle w:val="TableContents"/>
              <w:spacing w:before="0" w:after="0"/>
              <w:ind w:left="0" w:right="0" w:hanging="0"/>
              <w:rPr/>
            </w:pPr>
            <w:r>
              <w:rPr/>
              <w:t> </w:t>
            </w:r>
          </w:p>
        </w:tc>
        <w:tc>
          <w:tcPr>
            <w:tcW w:w="11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(3,958</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7,893</w:t>
            </w:r>
          </w:p>
        </w:tc>
        <w:tc>
          <w:tcPr>
            <w:tcW w:w="117" w:type="dxa"/>
            <w:tcBorders/>
            <w:shd w:fill="CCEEFF" w:val="clear"/>
            <w:vAlign w:val="bottom"/>
          </w:tcPr>
          <w:p>
            <w:pPr>
              <w:pStyle w:val="TableContents"/>
              <w:spacing w:before="0" w:after="0"/>
              <w:ind w:left="0" w:right="0" w:hanging="0"/>
              <w:rPr/>
            </w:pPr>
            <w:r>
              <w:rPr/>
              <w:t> </w:t>
            </w:r>
          </w:p>
        </w:tc>
      </w:tr>
      <w:tr>
        <w:trPr/>
        <w:tc>
          <w:tcPr>
            <w:tcW w:w="3485"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8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34"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393"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54"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1163"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34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Partners capital excluding noncontrolling interest</w:t>
            </w:r>
          </w:p>
        </w:tc>
        <w:tc>
          <w:tcPr>
            <w:tcW w:w="181" w:type="dxa"/>
            <w:tcBorders/>
            <w:shd w:fill="CCEEFF" w:val="clear"/>
            <w:vAlign w:val="bottom"/>
          </w:tcPr>
          <w:p>
            <w:pPr>
              <w:pStyle w:val="TableContents"/>
              <w:spacing w:before="0" w:after="0"/>
              <w:ind w:left="0" w:right="0" w:hanging="0"/>
              <w:rPr/>
            </w:pPr>
            <w:r>
              <w:rPr/>
              <w:t> </w:t>
            </w:r>
          </w:p>
        </w:tc>
        <w:tc>
          <w:tcPr>
            <w:tcW w:w="8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4,146</w:t>
            </w:r>
          </w:p>
        </w:tc>
        <w:tc>
          <w:tcPr>
            <w:tcW w:w="181" w:type="dxa"/>
            <w:tcBorders/>
            <w:shd w:fill="CCEEFF" w:val="clear"/>
            <w:vAlign w:val="bottom"/>
          </w:tcPr>
          <w:p>
            <w:pPr>
              <w:pStyle w:val="TableContents"/>
              <w:spacing w:before="0" w:after="0"/>
              <w:ind w:left="0" w:right="0" w:hanging="0"/>
              <w:rPr/>
            </w:pPr>
            <w:r>
              <w:rPr/>
              <w:t> </w:t>
            </w:r>
          </w:p>
        </w:tc>
        <w:tc>
          <w:tcPr>
            <w:tcW w:w="11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5,511</w:t>
            </w:r>
          </w:p>
        </w:tc>
        <w:tc>
          <w:tcPr>
            <w:tcW w:w="181" w:type="dxa"/>
            <w:tcBorders/>
            <w:shd w:fill="CCEEFF" w:val="clear"/>
            <w:vAlign w:val="bottom"/>
          </w:tcPr>
          <w:p>
            <w:pPr>
              <w:pStyle w:val="TableContents"/>
              <w:spacing w:before="0" w:after="0"/>
              <w:ind w:left="0" w:right="0" w:hanging="0"/>
              <w:rPr/>
            </w:pPr>
            <w:r>
              <w:rPr/>
              <w:t> </w:t>
            </w:r>
          </w:p>
        </w:tc>
        <w:tc>
          <w:tcPr>
            <w:tcW w:w="13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1,579</w:t>
            </w:r>
          </w:p>
        </w:tc>
        <w:tc>
          <w:tcPr>
            <w:tcW w:w="181"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(7,090</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4,146</w:t>
            </w:r>
          </w:p>
        </w:tc>
        <w:tc>
          <w:tcPr>
            <w:tcW w:w="117" w:type="dxa"/>
            <w:tcBorders/>
            <w:shd w:fill="CCEEFF" w:val="clear"/>
            <w:vAlign w:val="bottom"/>
          </w:tcPr>
          <w:p>
            <w:pPr>
              <w:pStyle w:val="TableContents"/>
              <w:spacing w:before="0" w:after="0"/>
              <w:ind w:left="0" w:right="0" w:hanging="0"/>
              <w:rPr/>
            </w:pPr>
            <w:r>
              <w:rPr/>
              <w:t> </w:t>
            </w:r>
          </w:p>
        </w:tc>
      </w:tr>
      <w:tr>
        <w:trPr/>
        <w:tc>
          <w:tcPr>
            <w:tcW w:w="34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Noncontrolling interest</w:t>
            </w:r>
          </w:p>
        </w:tc>
        <w:tc>
          <w:tcPr>
            <w:tcW w:w="181" w:type="dxa"/>
            <w:tcBorders/>
            <w:shd w:fill="auto" w:val="clear"/>
            <w:vAlign w:val="bottom"/>
          </w:tcPr>
          <w:p>
            <w:pPr>
              <w:pStyle w:val="TableContents"/>
              <w:spacing w:before="0" w:after="0"/>
              <w:ind w:left="0" w:right="0" w:hanging="0"/>
              <w:rPr/>
            </w:pPr>
            <w:r>
              <w:rPr/>
              <w:t> </w:t>
            </w:r>
          </w:p>
        </w:tc>
        <w:tc>
          <w:tcPr>
            <w:tcW w:w="8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81" w:type="dxa"/>
            <w:tcBorders/>
            <w:shd w:fill="auto" w:val="clear"/>
            <w:vAlign w:val="bottom"/>
          </w:tcPr>
          <w:p>
            <w:pPr>
              <w:pStyle w:val="TableContents"/>
              <w:spacing w:before="0" w:after="0"/>
              <w:ind w:left="0" w:right="0" w:hanging="0"/>
              <w:rPr/>
            </w:pPr>
            <w:r>
              <w:rPr/>
              <w:t> </w:t>
            </w:r>
          </w:p>
        </w:tc>
        <w:tc>
          <w:tcPr>
            <w:tcW w:w="11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81" w:type="dxa"/>
            <w:tcBorders/>
            <w:shd w:fill="auto" w:val="clear"/>
            <w:vAlign w:val="bottom"/>
          </w:tcPr>
          <w:p>
            <w:pPr>
              <w:pStyle w:val="TableContents"/>
              <w:spacing w:before="0" w:after="0"/>
              <w:ind w:left="0" w:right="0" w:hanging="0"/>
              <w:rPr/>
            </w:pPr>
            <w:r>
              <w:rPr/>
              <w:t> </w:t>
            </w:r>
          </w:p>
        </w:tc>
        <w:tc>
          <w:tcPr>
            <w:tcW w:w="13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11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17" w:type="dxa"/>
            <w:tcBorders/>
            <w:shd w:fill="auto" w:val="clear"/>
            <w:vAlign w:val="bottom"/>
          </w:tcPr>
          <w:p>
            <w:pPr>
              <w:pStyle w:val="TableContents"/>
              <w:spacing w:before="0" w:after="0"/>
              <w:ind w:left="0" w:right="0" w:hanging="0"/>
              <w:rPr/>
            </w:pPr>
            <w:r>
              <w:rPr/>
              <w:t> </w:t>
            </w:r>
          </w:p>
        </w:tc>
      </w:tr>
      <w:tr>
        <w:trPr/>
        <w:tc>
          <w:tcPr>
            <w:tcW w:w="34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181" w:type="dxa"/>
            <w:tcBorders/>
            <w:shd w:fill="CCEEFF" w:val="clear"/>
            <w:vAlign w:val="bottom"/>
          </w:tcPr>
          <w:p>
            <w:pPr>
              <w:pStyle w:val="TableContents"/>
              <w:spacing w:before="0" w:after="0"/>
              <w:ind w:left="0" w:right="0" w:hanging="0"/>
              <w:rPr/>
            </w:pPr>
            <w:r>
              <w:rPr/>
              <w:t> </w:t>
            </w:r>
          </w:p>
        </w:tc>
        <w:tc>
          <w:tcPr>
            <w:tcW w:w="8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4,209</w:t>
            </w:r>
          </w:p>
        </w:tc>
        <w:tc>
          <w:tcPr>
            <w:tcW w:w="181" w:type="dxa"/>
            <w:tcBorders/>
            <w:shd w:fill="CCEEFF" w:val="clear"/>
            <w:vAlign w:val="bottom"/>
          </w:tcPr>
          <w:p>
            <w:pPr>
              <w:pStyle w:val="TableContents"/>
              <w:spacing w:before="0" w:after="0"/>
              <w:ind w:left="0" w:right="0" w:hanging="0"/>
              <w:rPr/>
            </w:pPr>
            <w:r>
              <w:rPr/>
              <w:t> </w:t>
            </w:r>
          </w:p>
        </w:tc>
        <w:tc>
          <w:tcPr>
            <w:tcW w:w="11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5,574</w:t>
            </w:r>
          </w:p>
        </w:tc>
        <w:tc>
          <w:tcPr>
            <w:tcW w:w="181" w:type="dxa"/>
            <w:tcBorders/>
            <w:shd w:fill="CCEEFF" w:val="clear"/>
            <w:vAlign w:val="bottom"/>
          </w:tcPr>
          <w:p>
            <w:pPr>
              <w:pStyle w:val="TableContents"/>
              <w:spacing w:before="0" w:after="0"/>
              <w:ind w:left="0" w:right="0" w:hanging="0"/>
              <w:rPr/>
            </w:pPr>
            <w:r>
              <w:rPr/>
              <w:t> </w:t>
            </w:r>
          </w:p>
        </w:tc>
        <w:tc>
          <w:tcPr>
            <w:tcW w:w="13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1,579</w:t>
            </w:r>
          </w:p>
        </w:tc>
        <w:tc>
          <w:tcPr>
            <w:tcW w:w="181" w:type="dxa"/>
            <w:tcBorders/>
            <w:shd w:fill="CCEEFF" w:val="clear"/>
            <w:vAlign w:val="bottom"/>
          </w:tcPr>
          <w:p>
            <w:pPr>
              <w:pStyle w:val="TableContents"/>
              <w:spacing w:before="0" w:after="0"/>
              <w:ind w:left="0" w:right="0" w:hanging="0"/>
              <w:rPr/>
            </w:pPr>
            <w:r>
              <w:rPr/>
              <w:t> </w:t>
            </w:r>
          </w:p>
        </w:tc>
        <w:tc>
          <w:tcPr>
            <w:tcW w:w="11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(7,153</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4,209</w:t>
            </w:r>
          </w:p>
        </w:tc>
        <w:tc>
          <w:tcPr>
            <w:tcW w:w="117" w:type="dxa"/>
            <w:tcBorders/>
            <w:shd w:fill="CCEEFF" w:val="clear"/>
            <w:vAlign w:val="bottom"/>
          </w:tcPr>
          <w:p>
            <w:pPr>
              <w:pStyle w:val="TableContents"/>
              <w:spacing w:before="0" w:after="0"/>
              <w:ind w:left="0" w:right="0" w:hanging="0"/>
              <w:rPr/>
            </w:pPr>
            <w:r>
              <w:rPr/>
              <w:t> </w:t>
            </w:r>
          </w:p>
        </w:tc>
      </w:tr>
      <w:tr>
        <w:trPr/>
        <w:tc>
          <w:tcPr>
            <w:tcW w:w="3485"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8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34"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393"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54"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1163"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34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181"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8,667</w:t>
            </w:r>
          </w:p>
        </w:tc>
        <w:tc>
          <w:tcPr>
            <w:tcW w:w="181" w:type="dxa"/>
            <w:tcBorders/>
            <w:shd w:fill="CCEEFF" w:val="clear"/>
            <w:vAlign w:val="bottom"/>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12,193</w:t>
            </w:r>
          </w:p>
        </w:tc>
        <w:tc>
          <w:tcPr>
            <w:tcW w:w="181" w:type="dxa"/>
            <w:tcBorders/>
            <w:shd w:fill="CCEEFF" w:val="clear"/>
            <w:vAlign w:val="bottom"/>
          </w:tcPr>
          <w:p>
            <w:pPr>
              <w:pStyle w:val="TableContents"/>
              <w:spacing w:before="0" w:after="0"/>
              <w:ind w:left="0" w:right="0" w:hanging="0"/>
              <w:rPr/>
            </w:pPr>
            <w:r>
              <w:rPr/>
              <w:t> </w:t>
            </w:r>
          </w:p>
        </w:tc>
        <w:tc>
          <w:tcPr>
            <w:tcW w:w="19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2,353</w:t>
            </w:r>
          </w:p>
        </w:tc>
        <w:tc>
          <w:tcPr>
            <w:tcW w:w="181"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(11,111</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12,102</w:t>
            </w:r>
          </w:p>
        </w:tc>
        <w:tc>
          <w:tcPr>
            <w:tcW w:w="11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485"/>
        <w:gridCol w:w="181"/>
        <w:gridCol w:w="141"/>
        <w:gridCol w:w="700"/>
        <w:gridCol w:w="181"/>
        <w:gridCol w:w="157"/>
        <w:gridCol w:w="977"/>
        <w:gridCol w:w="181"/>
        <w:gridCol w:w="195"/>
        <w:gridCol w:w="1198"/>
        <w:gridCol w:w="181"/>
        <w:gridCol w:w="153"/>
        <w:gridCol w:w="1001"/>
        <w:gridCol w:w="194"/>
        <w:gridCol w:w="162"/>
        <w:gridCol w:w="1001"/>
        <w:gridCol w:w="117"/>
      </w:tblGrid>
      <w:tr>
        <w:trPr/>
        <w:tc>
          <w:tcPr>
            <w:tcW w:w="3485"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6422"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 of December 31, 2009</w:t>
            </w:r>
          </w:p>
        </w:tc>
        <w:tc>
          <w:tcPr>
            <w:tcW w:w="117" w:type="dxa"/>
            <w:tcBorders/>
            <w:shd w:fill="auto" w:val="clear"/>
            <w:vAlign w:val="bottom"/>
          </w:tcPr>
          <w:p>
            <w:pPr>
              <w:pStyle w:val="TableContents"/>
              <w:spacing w:before="0" w:after="0"/>
              <w:ind w:left="0" w:right="0" w:hanging="0"/>
              <w:jc w:val="center"/>
              <w:rPr/>
            </w:pPr>
            <w:r>
              <w:rPr/>
              <w:t> </w:t>
            </w:r>
          </w:p>
        </w:tc>
      </w:tr>
      <w:tr>
        <w:trPr/>
        <w:tc>
          <w:tcPr>
            <w:tcW w:w="3485"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841" w:type="dxa"/>
            <w:gridSpan w:val="2"/>
            <w:tcBorders/>
            <w:shd w:fill="auto" w:val="clear"/>
            <w:vAlign w:val="bottom"/>
          </w:tcPr>
          <w:p>
            <w:pPr>
              <w:pStyle w:val="TableContents"/>
              <w:spacing w:before="0" w:after="0"/>
              <w:ind w:left="0" w:right="0" w:hanging="0"/>
              <w:jc w:val="center"/>
              <w:rPr/>
            </w:pPr>
            <w:r>
              <w:rPr/>
              <w:t> </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34"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9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54"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9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6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7" w:type="dxa"/>
            <w:tcBorders/>
            <w:shd w:fill="auto" w:val="clear"/>
            <w:vAlign w:val="bottom"/>
          </w:tcPr>
          <w:p>
            <w:pPr>
              <w:pStyle w:val="TableContents"/>
              <w:spacing w:before="0" w:after="0"/>
              <w:ind w:left="0" w:right="0" w:hanging="0"/>
              <w:jc w:val="center"/>
              <w:rPr/>
            </w:pPr>
            <w:r>
              <w:rPr/>
              <w:t> </w:t>
            </w:r>
          </w:p>
        </w:tc>
      </w:tr>
      <w:tr>
        <w:trPr/>
        <w:tc>
          <w:tcPr>
            <w:tcW w:w="3485"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841" w:type="dxa"/>
            <w:gridSpan w:val="2"/>
            <w:tcBorders/>
            <w:shd w:fill="auto" w:val="clear"/>
            <w:vAlign w:val="bottom"/>
          </w:tcPr>
          <w:p>
            <w:pPr>
              <w:pStyle w:val="TableContents"/>
              <w:spacing w:before="0" w:after="0"/>
              <w:ind w:left="0" w:right="0" w:hanging="0"/>
              <w:jc w:val="center"/>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113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Guarantor</w:t>
            </w:r>
          </w:p>
        </w:tc>
        <w:tc>
          <w:tcPr>
            <w:tcW w:w="181" w:type="dxa"/>
            <w:tcBorders/>
            <w:shd w:fill="auto" w:val="clear"/>
            <w:vAlign w:val="bottom"/>
          </w:tcPr>
          <w:p>
            <w:pPr>
              <w:pStyle w:val="TableContents"/>
              <w:spacing w:before="0" w:after="0"/>
              <w:ind w:left="0" w:right="0" w:hanging="0"/>
              <w:jc w:val="center"/>
              <w:rPr/>
            </w:pPr>
            <w:r>
              <w:rPr/>
              <w:t> </w:t>
            </w:r>
          </w:p>
        </w:tc>
        <w:tc>
          <w:tcPr>
            <w:tcW w:w="139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Non-Guarantor</w:t>
            </w:r>
          </w:p>
        </w:tc>
        <w:tc>
          <w:tcPr>
            <w:tcW w:w="181" w:type="dxa"/>
            <w:tcBorders/>
            <w:shd w:fill="auto" w:val="clear"/>
            <w:vAlign w:val="bottom"/>
          </w:tcPr>
          <w:p>
            <w:pPr>
              <w:pStyle w:val="TableContents"/>
              <w:spacing w:before="0" w:after="0"/>
              <w:ind w:left="0" w:right="0" w:hanging="0"/>
              <w:jc w:val="center"/>
              <w:rPr/>
            </w:pPr>
            <w:r>
              <w:rPr/>
              <w:t> </w:t>
            </w:r>
          </w:p>
        </w:tc>
        <w:tc>
          <w:tcPr>
            <w:tcW w:w="1154" w:type="dxa"/>
            <w:gridSpan w:val="2"/>
            <w:tcBorders/>
            <w:shd w:fill="auto" w:val="clear"/>
            <w:vAlign w:val="bottom"/>
          </w:tcPr>
          <w:p>
            <w:pPr>
              <w:pStyle w:val="TableContents"/>
              <w:spacing w:before="0" w:after="0"/>
              <w:ind w:left="0" w:right="0" w:hanging="0"/>
              <w:jc w:val="center"/>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1163" w:type="dxa"/>
            <w:gridSpan w:val="2"/>
            <w:tcBorders/>
            <w:shd w:fill="auto" w:val="clear"/>
            <w:vAlign w:val="bottom"/>
          </w:tcPr>
          <w:p>
            <w:pPr>
              <w:pStyle w:val="TableContents"/>
              <w:spacing w:before="0" w:after="0"/>
              <w:ind w:left="0" w:right="0" w:hanging="0"/>
              <w:jc w:val="center"/>
              <w:rPr/>
            </w:pPr>
            <w:r>
              <w:rPr/>
              <w:t> </w:t>
            </w:r>
          </w:p>
        </w:tc>
        <w:tc>
          <w:tcPr>
            <w:tcW w:w="117" w:type="dxa"/>
            <w:tcBorders/>
            <w:shd w:fill="auto" w:val="clear"/>
            <w:vAlign w:val="bottom"/>
          </w:tcPr>
          <w:p>
            <w:pPr>
              <w:pStyle w:val="TableContents"/>
              <w:spacing w:before="0" w:after="0"/>
              <w:ind w:left="0" w:right="0" w:hanging="0"/>
              <w:jc w:val="center"/>
              <w:rPr/>
            </w:pPr>
            <w:r>
              <w:rPr/>
              <w:t> </w:t>
            </w:r>
          </w:p>
        </w:tc>
      </w:tr>
      <w:tr>
        <w:trPr/>
        <w:tc>
          <w:tcPr>
            <w:tcW w:w="3485"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8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Parent</w:t>
            </w:r>
          </w:p>
        </w:tc>
        <w:tc>
          <w:tcPr>
            <w:tcW w:w="181" w:type="dxa"/>
            <w:tcBorders/>
            <w:shd w:fill="auto" w:val="clear"/>
            <w:vAlign w:val="bottom"/>
          </w:tcPr>
          <w:p>
            <w:pPr>
              <w:pStyle w:val="TableContents"/>
              <w:spacing w:before="0" w:after="0"/>
              <w:ind w:left="0" w:right="0" w:hanging="0"/>
              <w:jc w:val="center"/>
              <w:rPr/>
            </w:pPr>
            <w:r>
              <w:rPr/>
              <w:t> </w:t>
            </w:r>
          </w:p>
        </w:tc>
        <w:tc>
          <w:tcPr>
            <w:tcW w:w="11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81" w:type="dxa"/>
            <w:tcBorders/>
            <w:shd w:fill="auto" w:val="clear"/>
            <w:vAlign w:val="bottom"/>
          </w:tcPr>
          <w:p>
            <w:pPr>
              <w:pStyle w:val="TableContents"/>
              <w:spacing w:before="0" w:after="0"/>
              <w:ind w:left="0" w:right="0" w:hanging="0"/>
              <w:jc w:val="center"/>
              <w:rPr/>
            </w:pPr>
            <w:r>
              <w:rPr/>
              <w:t> </w:t>
            </w:r>
          </w:p>
        </w:tc>
        <w:tc>
          <w:tcPr>
            <w:tcW w:w="139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81" w:type="dxa"/>
            <w:tcBorders/>
            <w:shd w:fill="auto" w:val="clear"/>
            <w:vAlign w:val="bottom"/>
          </w:tcPr>
          <w:p>
            <w:pPr>
              <w:pStyle w:val="TableContents"/>
              <w:spacing w:before="0" w:after="0"/>
              <w:ind w:left="0" w:right="0" w:hanging="0"/>
              <w:jc w:val="center"/>
              <w:rPr/>
            </w:pPr>
            <w:r>
              <w:rPr/>
              <w:t> </w:t>
            </w:r>
          </w:p>
        </w:tc>
        <w:tc>
          <w:tcPr>
            <w:tcW w:w="11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Eliminations</w:t>
            </w:r>
          </w:p>
        </w:tc>
        <w:tc>
          <w:tcPr>
            <w:tcW w:w="194" w:type="dxa"/>
            <w:tcBorders/>
            <w:shd w:fill="auto" w:val="clear"/>
            <w:vAlign w:val="bottom"/>
          </w:tcPr>
          <w:p>
            <w:pPr>
              <w:pStyle w:val="TableContents"/>
              <w:spacing w:before="0" w:after="0"/>
              <w:ind w:left="0" w:right="0" w:hanging="0"/>
              <w:jc w:val="center"/>
              <w:rPr/>
            </w:pPr>
            <w:r>
              <w:rPr/>
              <w:t> </w:t>
            </w:r>
          </w:p>
        </w:tc>
        <w:tc>
          <w:tcPr>
            <w:tcW w:w="11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Consolidated</w:t>
            </w:r>
          </w:p>
        </w:tc>
        <w:tc>
          <w:tcPr>
            <w:tcW w:w="117" w:type="dxa"/>
            <w:tcBorders/>
            <w:shd w:fill="auto" w:val="clear"/>
            <w:vAlign w:val="bottom"/>
          </w:tcPr>
          <w:p>
            <w:pPr>
              <w:pStyle w:val="TableContents"/>
              <w:spacing w:before="0" w:after="0"/>
              <w:ind w:left="0" w:right="0" w:hanging="0"/>
              <w:jc w:val="center"/>
              <w:rPr/>
            </w:pPr>
            <w:r>
              <w:rPr/>
              <w:t> </w:t>
            </w:r>
          </w:p>
        </w:tc>
      </w:tr>
      <w:tr>
        <w:trPr/>
        <w:tc>
          <w:tcPr>
            <w:tcW w:w="348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181" w:type="dxa"/>
            <w:tcBorders/>
            <w:shd w:fill="CCEEFF" w:val="clear"/>
            <w:vAlign w:val="bottom"/>
          </w:tcPr>
          <w:p>
            <w:pPr>
              <w:pStyle w:val="TableContents"/>
              <w:spacing w:before="0" w:after="0"/>
              <w:ind w:left="0" w:right="0" w:hanging="0"/>
              <w:rPr/>
            </w:pPr>
            <w:r>
              <w:rPr/>
              <w:t> </w:t>
            </w:r>
          </w:p>
        </w:tc>
        <w:tc>
          <w:tcPr>
            <w:tcW w:w="841"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134"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393"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1163"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34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assets</w:t>
            </w:r>
          </w:p>
        </w:tc>
        <w:tc>
          <w:tcPr>
            <w:tcW w:w="181"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3,428</w:t>
            </w:r>
          </w:p>
        </w:tc>
        <w:tc>
          <w:tcPr>
            <w:tcW w:w="181"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3,831</w:t>
            </w:r>
          </w:p>
        </w:tc>
        <w:tc>
          <w:tcPr>
            <w:tcW w:w="181"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w:t>
            </w:r>
          </w:p>
        </w:tc>
        <w:tc>
          <w:tcPr>
            <w:tcW w:w="181"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(3,810</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3,658</w:t>
            </w:r>
          </w:p>
        </w:tc>
        <w:tc>
          <w:tcPr>
            <w:tcW w:w="117" w:type="dxa"/>
            <w:tcBorders/>
            <w:shd w:fill="auto" w:val="clear"/>
            <w:vAlign w:val="bottom"/>
          </w:tcPr>
          <w:p>
            <w:pPr>
              <w:pStyle w:val="TableContents"/>
              <w:spacing w:before="0" w:after="0"/>
              <w:ind w:left="0" w:right="0" w:hanging="0"/>
              <w:rPr/>
            </w:pPr>
            <w:r>
              <w:rPr/>
              <w:t> </w:t>
            </w:r>
          </w:p>
        </w:tc>
      </w:tr>
      <w:tr>
        <w:trPr/>
        <w:tc>
          <w:tcPr>
            <w:tcW w:w="34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Property, plant and equipment, net</w:t>
            </w:r>
          </w:p>
        </w:tc>
        <w:tc>
          <w:tcPr>
            <w:tcW w:w="181" w:type="dxa"/>
            <w:tcBorders/>
            <w:shd w:fill="CCEEFF" w:val="clear"/>
            <w:vAlign w:val="bottom"/>
          </w:tcPr>
          <w:p>
            <w:pPr>
              <w:pStyle w:val="TableContents"/>
              <w:spacing w:before="0" w:after="0"/>
              <w:ind w:left="0" w:right="0" w:hanging="0"/>
              <w:rPr/>
            </w:pPr>
            <w:r>
              <w:rPr/>
              <w:t> </w:t>
            </w:r>
          </w:p>
        </w:tc>
        <w:tc>
          <w:tcPr>
            <w:tcW w:w="8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1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4,606</w:t>
            </w:r>
          </w:p>
        </w:tc>
        <w:tc>
          <w:tcPr>
            <w:tcW w:w="181" w:type="dxa"/>
            <w:tcBorders/>
            <w:shd w:fill="CCEEFF" w:val="clear"/>
            <w:vAlign w:val="bottom"/>
          </w:tcPr>
          <w:p>
            <w:pPr>
              <w:pStyle w:val="TableContents"/>
              <w:spacing w:before="0" w:after="0"/>
              <w:ind w:left="0" w:right="0" w:hanging="0"/>
              <w:rPr/>
            </w:pPr>
            <w:r>
              <w:rPr/>
              <w:t> </w:t>
            </w:r>
          </w:p>
        </w:tc>
        <w:tc>
          <w:tcPr>
            <w:tcW w:w="13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1,734</w:t>
            </w:r>
          </w:p>
        </w:tc>
        <w:tc>
          <w:tcPr>
            <w:tcW w:w="181"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4" w:type="dxa"/>
            <w:tcBorders/>
            <w:shd w:fill="CCEEFF" w:val="clear"/>
            <w:vAlign w:val="bottom"/>
          </w:tcPr>
          <w:p>
            <w:pPr>
              <w:pStyle w:val="TableContents"/>
              <w:spacing w:before="0" w:after="0"/>
              <w:ind w:left="0" w:right="0" w:hanging="0"/>
              <w:rPr/>
            </w:pPr>
            <w:r>
              <w:rPr/>
              <w:t> </w:t>
            </w:r>
          </w:p>
        </w:tc>
        <w:tc>
          <w:tcPr>
            <w:tcW w:w="11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6,340</w:t>
            </w:r>
          </w:p>
        </w:tc>
        <w:tc>
          <w:tcPr>
            <w:tcW w:w="117" w:type="dxa"/>
            <w:tcBorders/>
            <w:shd w:fill="CCEEFF" w:val="clear"/>
            <w:vAlign w:val="bottom"/>
          </w:tcPr>
          <w:p>
            <w:pPr>
              <w:pStyle w:val="TableContents"/>
              <w:spacing w:before="0" w:after="0"/>
              <w:ind w:left="0" w:right="0" w:hanging="0"/>
              <w:rPr/>
            </w:pPr>
            <w:r>
              <w:rPr/>
              <w:t> </w:t>
            </w:r>
          </w:p>
        </w:tc>
      </w:tr>
      <w:tr>
        <w:trPr/>
        <w:tc>
          <w:tcPr>
            <w:tcW w:w="34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assets, net</w:t>
            </w:r>
          </w:p>
        </w:tc>
        <w:tc>
          <w:tcPr>
            <w:tcW w:w="181" w:type="dxa"/>
            <w:tcBorders/>
            <w:shd w:fill="auto" w:val="clear"/>
            <w:vAlign w:val="bottom"/>
          </w:tcPr>
          <w:p>
            <w:pPr>
              <w:pStyle w:val="TableContents"/>
              <w:spacing w:before="0" w:after="0"/>
              <w:ind w:left="0" w:right="0" w:hanging="0"/>
              <w:rPr/>
            </w:pPr>
            <w:r>
              <w:rPr/>
              <w:t> </w:t>
            </w:r>
          </w:p>
        </w:tc>
        <w:tc>
          <w:tcPr>
            <w:tcW w:w="8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5,324</w:t>
            </w:r>
          </w:p>
        </w:tc>
        <w:tc>
          <w:tcPr>
            <w:tcW w:w="181" w:type="dxa"/>
            <w:tcBorders/>
            <w:shd w:fill="auto" w:val="clear"/>
            <w:vAlign w:val="bottom"/>
          </w:tcPr>
          <w:p>
            <w:pPr>
              <w:pStyle w:val="TableContents"/>
              <w:spacing w:before="0" w:after="0"/>
              <w:ind w:left="0" w:right="0" w:hanging="0"/>
              <w:rPr/>
            </w:pPr>
            <w:r>
              <w:rPr/>
              <w:t> </w:t>
            </w:r>
          </w:p>
        </w:tc>
        <w:tc>
          <w:tcPr>
            <w:tcW w:w="11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3,994</w:t>
            </w:r>
          </w:p>
        </w:tc>
        <w:tc>
          <w:tcPr>
            <w:tcW w:w="181" w:type="dxa"/>
            <w:tcBorders/>
            <w:shd w:fill="auto" w:val="clear"/>
            <w:vAlign w:val="bottom"/>
          </w:tcPr>
          <w:p>
            <w:pPr>
              <w:pStyle w:val="TableContents"/>
              <w:spacing w:before="0" w:after="0"/>
              <w:ind w:left="0" w:right="0" w:hanging="0"/>
              <w:rPr/>
            </w:pPr>
            <w:r>
              <w:rPr/>
              <w:t> </w:t>
            </w:r>
          </w:p>
        </w:tc>
        <w:tc>
          <w:tcPr>
            <w:tcW w:w="13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367</w:t>
            </w:r>
          </w:p>
        </w:tc>
        <w:tc>
          <w:tcPr>
            <w:tcW w:w="181" w:type="dxa"/>
            <w:tcBorders/>
            <w:shd w:fill="auto" w:val="clear"/>
            <w:vAlign w:val="bottom"/>
          </w:tcPr>
          <w:p>
            <w:pPr>
              <w:pStyle w:val="TableContents"/>
              <w:spacing w:before="0" w:after="0"/>
              <w:ind w:left="0" w:right="0" w:hanging="0"/>
              <w:rPr/>
            </w:pPr>
            <w:r>
              <w:rPr/>
              <w:t> </w:t>
            </w:r>
          </w:p>
        </w:tc>
        <w:tc>
          <w:tcPr>
            <w:tcW w:w="11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(7,325</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2,360</w:t>
            </w:r>
          </w:p>
        </w:tc>
        <w:tc>
          <w:tcPr>
            <w:tcW w:w="117" w:type="dxa"/>
            <w:tcBorders/>
            <w:shd w:fill="auto" w:val="clear"/>
            <w:vAlign w:val="bottom"/>
          </w:tcPr>
          <w:p>
            <w:pPr>
              <w:pStyle w:val="TableContents"/>
              <w:spacing w:before="0" w:after="0"/>
              <w:ind w:left="0" w:right="0" w:hanging="0"/>
              <w:rPr/>
            </w:pPr>
            <w:r>
              <w:rPr/>
              <w:t> </w:t>
            </w:r>
          </w:p>
        </w:tc>
      </w:tr>
      <w:tr>
        <w:trPr/>
        <w:tc>
          <w:tcPr>
            <w:tcW w:w="34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181"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8,752</w:t>
            </w:r>
          </w:p>
        </w:tc>
        <w:tc>
          <w:tcPr>
            <w:tcW w:w="181" w:type="dxa"/>
            <w:tcBorders/>
            <w:shd w:fill="CCEEFF" w:val="clear"/>
            <w:vAlign w:val="bottom"/>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12,431</w:t>
            </w:r>
          </w:p>
        </w:tc>
        <w:tc>
          <w:tcPr>
            <w:tcW w:w="181" w:type="dxa"/>
            <w:tcBorders/>
            <w:shd w:fill="CCEEFF" w:val="clear"/>
            <w:vAlign w:val="bottom"/>
          </w:tcPr>
          <w:p>
            <w:pPr>
              <w:pStyle w:val="TableContents"/>
              <w:spacing w:before="0" w:after="0"/>
              <w:ind w:left="0" w:right="0" w:hanging="0"/>
              <w:rPr/>
            </w:pPr>
            <w:r>
              <w:rPr/>
              <w:t> </w:t>
            </w:r>
          </w:p>
        </w:tc>
        <w:tc>
          <w:tcPr>
            <w:tcW w:w="19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2,310</w:t>
            </w:r>
          </w:p>
        </w:tc>
        <w:tc>
          <w:tcPr>
            <w:tcW w:w="181"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(11,135</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12,358</w:t>
            </w:r>
          </w:p>
        </w:tc>
        <w:tc>
          <w:tcPr>
            <w:tcW w:w="117" w:type="dxa"/>
            <w:tcBorders/>
            <w:shd w:fill="CCEEFF" w:val="clear"/>
            <w:vAlign w:val="bottom"/>
          </w:tcPr>
          <w:p>
            <w:pPr>
              <w:pStyle w:val="TableContents"/>
              <w:spacing w:before="0" w:after="0"/>
              <w:ind w:left="0" w:right="0" w:hanging="0"/>
              <w:rPr/>
            </w:pPr>
            <w:r>
              <w:rPr/>
              <w:t> </w:t>
            </w:r>
          </w:p>
        </w:tc>
      </w:tr>
      <w:tr>
        <w:trPr/>
        <w:tc>
          <w:tcPr>
            <w:tcW w:w="3485"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8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34"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393"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54"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1163"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348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181" w:type="dxa"/>
            <w:tcBorders/>
            <w:shd w:fill="CCEEFF" w:val="clear"/>
            <w:vAlign w:val="bottom"/>
          </w:tcPr>
          <w:p>
            <w:pPr>
              <w:pStyle w:val="TableContents"/>
              <w:spacing w:before="0" w:after="0"/>
              <w:ind w:left="0" w:right="0" w:hanging="0"/>
              <w:rPr/>
            </w:pPr>
            <w:r>
              <w:rPr/>
              <w:t> </w:t>
            </w:r>
          </w:p>
        </w:tc>
        <w:tc>
          <w:tcPr>
            <w:tcW w:w="841"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134"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393"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1163"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34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liabilities</w:t>
            </w:r>
          </w:p>
        </w:tc>
        <w:tc>
          <w:tcPr>
            <w:tcW w:w="181"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456</w:t>
            </w:r>
          </w:p>
        </w:tc>
        <w:tc>
          <w:tcPr>
            <w:tcW w:w="181"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6,849</w:t>
            </w:r>
          </w:p>
        </w:tc>
        <w:tc>
          <w:tcPr>
            <w:tcW w:w="181"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181"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(3,810</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3,782</w:t>
            </w:r>
          </w:p>
        </w:tc>
        <w:tc>
          <w:tcPr>
            <w:tcW w:w="117" w:type="dxa"/>
            <w:tcBorders/>
            <w:shd w:fill="auto" w:val="clear"/>
            <w:vAlign w:val="bottom"/>
          </w:tcPr>
          <w:p>
            <w:pPr>
              <w:pStyle w:val="TableContents"/>
              <w:spacing w:before="0" w:after="0"/>
              <w:ind w:left="0" w:right="0" w:hanging="0"/>
              <w:rPr/>
            </w:pPr>
            <w:r>
              <w:rPr/>
              <w:t> </w:t>
            </w:r>
          </w:p>
        </w:tc>
      </w:tr>
      <w:tr>
        <w:trPr/>
        <w:tc>
          <w:tcPr>
            <w:tcW w:w="34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181" w:type="dxa"/>
            <w:tcBorders/>
            <w:shd w:fill="CCEEFF" w:val="clear"/>
            <w:vAlign w:val="bottom"/>
          </w:tcPr>
          <w:p>
            <w:pPr>
              <w:pStyle w:val="TableContents"/>
              <w:spacing w:before="0" w:after="0"/>
              <w:ind w:left="0" w:right="0" w:hanging="0"/>
              <w:rPr/>
            </w:pPr>
            <w:r>
              <w:rPr/>
              <w:t> </w:t>
            </w:r>
          </w:p>
        </w:tc>
        <w:tc>
          <w:tcPr>
            <w:tcW w:w="8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4,137</w:t>
            </w:r>
          </w:p>
        </w:tc>
        <w:tc>
          <w:tcPr>
            <w:tcW w:w="181" w:type="dxa"/>
            <w:tcBorders/>
            <w:shd w:fill="CCEEFF" w:val="clear"/>
            <w:vAlign w:val="bottom"/>
          </w:tcPr>
          <w:p>
            <w:pPr>
              <w:pStyle w:val="TableContents"/>
              <w:spacing w:before="0" w:after="0"/>
              <w:ind w:left="0" w:right="0" w:hanging="0"/>
              <w:rPr/>
            </w:pPr>
            <w:r>
              <w:rPr/>
              <w:t> </w:t>
            </w:r>
          </w:p>
        </w:tc>
        <w:tc>
          <w:tcPr>
            <w:tcW w:w="11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81" w:type="dxa"/>
            <w:tcBorders/>
            <w:shd w:fill="CCEEFF" w:val="clear"/>
            <w:vAlign w:val="bottom"/>
          </w:tcPr>
          <w:p>
            <w:pPr>
              <w:pStyle w:val="TableContents"/>
              <w:spacing w:before="0" w:after="0"/>
              <w:ind w:left="0" w:right="0" w:hanging="0"/>
              <w:rPr/>
            </w:pPr>
            <w:r>
              <w:rPr/>
              <w:t> </w:t>
            </w:r>
          </w:p>
        </w:tc>
        <w:tc>
          <w:tcPr>
            <w:tcW w:w="13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w:t>
            </w:r>
          </w:p>
        </w:tc>
        <w:tc>
          <w:tcPr>
            <w:tcW w:w="181"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(460</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4,142</w:t>
            </w:r>
          </w:p>
        </w:tc>
        <w:tc>
          <w:tcPr>
            <w:tcW w:w="117" w:type="dxa"/>
            <w:tcBorders/>
            <w:shd w:fill="CCEEFF" w:val="clear"/>
            <w:vAlign w:val="bottom"/>
          </w:tcPr>
          <w:p>
            <w:pPr>
              <w:pStyle w:val="TableContents"/>
              <w:spacing w:before="0" w:after="0"/>
              <w:ind w:left="0" w:right="0" w:hanging="0"/>
              <w:rPr/>
            </w:pPr>
            <w:r>
              <w:rPr/>
              <w:t> </w:t>
            </w:r>
          </w:p>
        </w:tc>
      </w:tr>
      <w:tr>
        <w:trPr/>
        <w:tc>
          <w:tcPr>
            <w:tcW w:w="34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81" w:type="dxa"/>
            <w:tcBorders/>
            <w:shd w:fill="auto" w:val="clear"/>
            <w:vAlign w:val="bottom"/>
          </w:tcPr>
          <w:p>
            <w:pPr>
              <w:pStyle w:val="TableContents"/>
              <w:spacing w:before="0" w:after="0"/>
              <w:ind w:left="0" w:right="0" w:hanging="0"/>
              <w:rPr/>
            </w:pPr>
            <w:r>
              <w:rPr/>
              <w:t> </w:t>
            </w:r>
          </w:p>
        </w:tc>
        <w:tc>
          <w:tcPr>
            <w:tcW w:w="8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11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271</w:t>
            </w:r>
          </w:p>
        </w:tc>
        <w:tc>
          <w:tcPr>
            <w:tcW w:w="181" w:type="dxa"/>
            <w:tcBorders/>
            <w:shd w:fill="auto" w:val="clear"/>
            <w:vAlign w:val="bottom"/>
          </w:tcPr>
          <w:p>
            <w:pPr>
              <w:pStyle w:val="TableContents"/>
              <w:spacing w:before="0" w:after="0"/>
              <w:ind w:left="0" w:right="0" w:hanging="0"/>
              <w:rPr/>
            </w:pPr>
            <w:r>
              <w:rPr/>
              <w:t> </w:t>
            </w:r>
          </w:p>
        </w:tc>
        <w:tc>
          <w:tcPr>
            <w:tcW w:w="13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1" w:type="dxa"/>
            <w:tcBorders/>
            <w:shd w:fill="auto" w:val="clear"/>
            <w:vAlign w:val="bottom"/>
          </w:tcPr>
          <w:p>
            <w:pPr>
              <w:pStyle w:val="TableContents"/>
              <w:spacing w:before="0" w:after="0"/>
              <w:ind w:left="0" w:right="0" w:hanging="0"/>
              <w:rPr/>
            </w:pPr>
            <w:r>
              <w:rPr/>
              <w:t> </w:t>
            </w:r>
          </w:p>
        </w:tc>
        <w:tc>
          <w:tcPr>
            <w:tcW w:w="11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4" w:type="dxa"/>
            <w:tcBorders/>
            <w:shd w:fill="auto" w:val="clear"/>
            <w:vAlign w:val="bottom"/>
          </w:tcPr>
          <w:p>
            <w:pPr>
              <w:pStyle w:val="TableContents"/>
              <w:spacing w:before="0" w:after="0"/>
              <w:ind w:left="0" w:right="0" w:hanging="0"/>
              <w:rPr/>
            </w:pPr>
            <w:r>
              <w:rPr/>
              <w:t> </w:t>
            </w:r>
          </w:p>
        </w:tc>
        <w:tc>
          <w:tcPr>
            <w:tcW w:w="11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117" w:type="dxa"/>
            <w:tcBorders/>
            <w:shd w:fill="auto" w:val="clear"/>
            <w:vAlign w:val="bottom"/>
          </w:tcPr>
          <w:p>
            <w:pPr>
              <w:pStyle w:val="TableContents"/>
              <w:spacing w:before="0" w:after="0"/>
              <w:ind w:left="0" w:right="0" w:hanging="0"/>
              <w:rPr/>
            </w:pPr>
            <w:r>
              <w:rPr/>
              <w:t> </w:t>
            </w:r>
          </w:p>
        </w:tc>
      </w:tr>
      <w:tr>
        <w:trPr/>
        <w:tc>
          <w:tcPr>
            <w:tcW w:w="34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181" w:type="dxa"/>
            <w:tcBorders/>
            <w:shd w:fill="CCEEFF" w:val="clear"/>
            <w:vAlign w:val="bottom"/>
          </w:tcPr>
          <w:p>
            <w:pPr>
              <w:pStyle w:val="TableContents"/>
              <w:spacing w:before="0" w:after="0"/>
              <w:ind w:left="0" w:right="0" w:hanging="0"/>
              <w:rPr/>
            </w:pPr>
            <w:r>
              <w:rPr/>
              <w:t> </w:t>
            </w:r>
          </w:p>
        </w:tc>
        <w:tc>
          <w:tcPr>
            <w:tcW w:w="8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4,593</w:t>
            </w:r>
          </w:p>
        </w:tc>
        <w:tc>
          <w:tcPr>
            <w:tcW w:w="181" w:type="dxa"/>
            <w:tcBorders/>
            <w:shd w:fill="CCEEFF" w:val="clear"/>
            <w:vAlign w:val="bottom"/>
          </w:tcPr>
          <w:p>
            <w:pPr>
              <w:pStyle w:val="TableContents"/>
              <w:spacing w:before="0" w:after="0"/>
              <w:ind w:left="0" w:right="0" w:hanging="0"/>
              <w:rPr/>
            </w:pPr>
            <w:r>
              <w:rPr/>
              <w:t> </w:t>
            </w:r>
          </w:p>
        </w:tc>
        <w:tc>
          <w:tcPr>
            <w:tcW w:w="11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7,135</w:t>
            </w:r>
          </w:p>
        </w:tc>
        <w:tc>
          <w:tcPr>
            <w:tcW w:w="181" w:type="dxa"/>
            <w:tcBorders/>
            <w:shd w:fill="CCEEFF" w:val="clear"/>
            <w:vAlign w:val="bottom"/>
          </w:tcPr>
          <w:p>
            <w:pPr>
              <w:pStyle w:val="TableContents"/>
              <w:spacing w:before="0" w:after="0"/>
              <w:ind w:left="0" w:right="0" w:hanging="0"/>
              <w:rPr/>
            </w:pPr>
            <w:r>
              <w:rPr/>
              <w:t> </w:t>
            </w:r>
          </w:p>
        </w:tc>
        <w:tc>
          <w:tcPr>
            <w:tcW w:w="13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741</w:t>
            </w:r>
          </w:p>
        </w:tc>
        <w:tc>
          <w:tcPr>
            <w:tcW w:w="181" w:type="dxa"/>
            <w:tcBorders/>
            <w:shd w:fill="CCEEFF" w:val="clear"/>
            <w:vAlign w:val="bottom"/>
          </w:tcPr>
          <w:p>
            <w:pPr>
              <w:pStyle w:val="TableContents"/>
              <w:spacing w:before="0" w:after="0"/>
              <w:ind w:left="0" w:right="0" w:hanging="0"/>
              <w:rPr/>
            </w:pPr>
            <w:r>
              <w:rPr/>
              <w:t> </w:t>
            </w:r>
          </w:p>
        </w:tc>
        <w:tc>
          <w:tcPr>
            <w:tcW w:w="11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(4,270</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8,199</w:t>
            </w:r>
          </w:p>
        </w:tc>
        <w:tc>
          <w:tcPr>
            <w:tcW w:w="117" w:type="dxa"/>
            <w:tcBorders/>
            <w:shd w:fill="CCEEFF" w:val="clear"/>
            <w:vAlign w:val="bottom"/>
          </w:tcPr>
          <w:p>
            <w:pPr>
              <w:pStyle w:val="TableContents"/>
              <w:spacing w:before="0" w:after="0"/>
              <w:ind w:left="0" w:right="0" w:hanging="0"/>
              <w:rPr/>
            </w:pPr>
            <w:r>
              <w:rPr/>
              <w:t> </w:t>
            </w:r>
          </w:p>
        </w:tc>
      </w:tr>
      <w:tr>
        <w:trPr/>
        <w:tc>
          <w:tcPr>
            <w:tcW w:w="3485"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8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34"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393"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54"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1163"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34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Partners capital excluding noncontrolling interest</w:t>
            </w:r>
          </w:p>
        </w:tc>
        <w:tc>
          <w:tcPr>
            <w:tcW w:w="181" w:type="dxa"/>
            <w:tcBorders/>
            <w:shd w:fill="CCEEFF" w:val="clear"/>
            <w:vAlign w:val="bottom"/>
          </w:tcPr>
          <w:p>
            <w:pPr>
              <w:pStyle w:val="TableContents"/>
              <w:spacing w:before="0" w:after="0"/>
              <w:ind w:left="0" w:right="0" w:hanging="0"/>
              <w:rPr/>
            </w:pPr>
            <w:r>
              <w:rPr/>
              <w:t> </w:t>
            </w:r>
          </w:p>
        </w:tc>
        <w:tc>
          <w:tcPr>
            <w:tcW w:w="8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4,096</w:t>
            </w:r>
          </w:p>
        </w:tc>
        <w:tc>
          <w:tcPr>
            <w:tcW w:w="181" w:type="dxa"/>
            <w:tcBorders/>
            <w:shd w:fill="CCEEFF" w:val="clear"/>
            <w:vAlign w:val="bottom"/>
          </w:tcPr>
          <w:p>
            <w:pPr>
              <w:pStyle w:val="TableContents"/>
              <w:spacing w:before="0" w:after="0"/>
              <w:ind w:left="0" w:right="0" w:hanging="0"/>
              <w:rPr/>
            </w:pPr>
            <w:r>
              <w:rPr/>
              <w:t> </w:t>
            </w:r>
          </w:p>
        </w:tc>
        <w:tc>
          <w:tcPr>
            <w:tcW w:w="11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5,233</w:t>
            </w:r>
          </w:p>
        </w:tc>
        <w:tc>
          <w:tcPr>
            <w:tcW w:w="181" w:type="dxa"/>
            <w:tcBorders/>
            <w:shd w:fill="CCEEFF" w:val="clear"/>
            <w:vAlign w:val="bottom"/>
          </w:tcPr>
          <w:p>
            <w:pPr>
              <w:pStyle w:val="TableContents"/>
              <w:spacing w:before="0" w:after="0"/>
              <w:ind w:left="0" w:right="0" w:hanging="0"/>
              <w:rPr/>
            </w:pPr>
            <w:r>
              <w:rPr/>
              <w:t> </w:t>
            </w:r>
          </w:p>
        </w:tc>
        <w:tc>
          <w:tcPr>
            <w:tcW w:w="13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1,569</w:t>
            </w:r>
          </w:p>
        </w:tc>
        <w:tc>
          <w:tcPr>
            <w:tcW w:w="181"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(6,802</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4,096</w:t>
            </w:r>
          </w:p>
        </w:tc>
        <w:tc>
          <w:tcPr>
            <w:tcW w:w="117" w:type="dxa"/>
            <w:tcBorders/>
            <w:shd w:fill="CCEEFF" w:val="clear"/>
            <w:vAlign w:val="bottom"/>
          </w:tcPr>
          <w:p>
            <w:pPr>
              <w:pStyle w:val="TableContents"/>
              <w:spacing w:before="0" w:after="0"/>
              <w:ind w:left="0" w:right="0" w:hanging="0"/>
              <w:rPr/>
            </w:pPr>
            <w:r>
              <w:rPr/>
              <w:t> </w:t>
            </w:r>
          </w:p>
        </w:tc>
      </w:tr>
      <w:tr>
        <w:trPr/>
        <w:tc>
          <w:tcPr>
            <w:tcW w:w="34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Noncontrolling interest</w:t>
            </w:r>
          </w:p>
        </w:tc>
        <w:tc>
          <w:tcPr>
            <w:tcW w:w="181" w:type="dxa"/>
            <w:tcBorders/>
            <w:shd w:fill="auto" w:val="clear"/>
            <w:vAlign w:val="bottom"/>
          </w:tcPr>
          <w:p>
            <w:pPr>
              <w:pStyle w:val="TableContents"/>
              <w:spacing w:before="0" w:after="0"/>
              <w:ind w:left="0" w:right="0" w:hanging="0"/>
              <w:rPr/>
            </w:pPr>
            <w:r>
              <w:rPr/>
              <w:t> </w:t>
            </w:r>
          </w:p>
        </w:tc>
        <w:tc>
          <w:tcPr>
            <w:tcW w:w="8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81" w:type="dxa"/>
            <w:tcBorders/>
            <w:shd w:fill="auto" w:val="clear"/>
            <w:vAlign w:val="bottom"/>
          </w:tcPr>
          <w:p>
            <w:pPr>
              <w:pStyle w:val="TableContents"/>
              <w:spacing w:before="0" w:after="0"/>
              <w:ind w:left="0" w:right="0" w:hanging="0"/>
              <w:rPr/>
            </w:pPr>
            <w:r>
              <w:rPr/>
              <w:t> </w:t>
            </w:r>
          </w:p>
        </w:tc>
        <w:tc>
          <w:tcPr>
            <w:tcW w:w="11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81" w:type="dxa"/>
            <w:tcBorders/>
            <w:shd w:fill="auto" w:val="clear"/>
            <w:vAlign w:val="bottom"/>
          </w:tcPr>
          <w:p>
            <w:pPr>
              <w:pStyle w:val="TableContents"/>
              <w:spacing w:before="0" w:after="0"/>
              <w:ind w:left="0" w:right="0" w:hanging="0"/>
              <w:rPr/>
            </w:pPr>
            <w:r>
              <w:rPr/>
              <w:t> </w:t>
            </w:r>
          </w:p>
        </w:tc>
        <w:tc>
          <w:tcPr>
            <w:tcW w:w="13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11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17" w:type="dxa"/>
            <w:tcBorders/>
            <w:shd w:fill="auto" w:val="clear"/>
            <w:vAlign w:val="bottom"/>
          </w:tcPr>
          <w:p>
            <w:pPr>
              <w:pStyle w:val="TableContents"/>
              <w:spacing w:before="0" w:after="0"/>
              <w:ind w:left="0" w:right="0" w:hanging="0"/>
              <w:rPr/>
            </w:pPr>
            <w:r>
              <w:rPr/>
              <w:t> </w:t>
            </w:r>
          </w:p>
        </w:tc>
      </w:tr>
      <w:tr>
        <w:trPr/>
        <w:tc>
          <w:tcPr>
            <w:tcW w:w="34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181" w:type="dxa"/>
            <w:tcBorders/>
            <w:shd w:fill="CCEEFF" w:val="clear"/>
            <w:vAlign w:val="bottom"/>
          </w:tcPr>
          <w:p>
            <w:pPr>
              <w:pStyle w:val="TableContents"/>
              <w:spacing w:before="0" w:after="0"/>
              <w:ind w:left="0" w:right="0" w:hanging="0"/>
              <w:rPr/>
            </w:pPr>
            <w:r>
              <w:rPr/>
              <w:t> </w:t>
            </w:r>
          </w:p>
        </w:tc>
        <w:tc>
          <w:tcPr>
            <w:tcW w:w="8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4,159</w:t>
            </w:r>
          </w:p>
        </w:tc>
        <w:tc>
          <w:tcPr>
            <w:tcW w:w="181" w:type="dxa"/>
            <w:tcBorders/>
            <w:shd w:fill="CCEEFF" w:val="clear"/>
            <w:vAlign w:val="bottom"/>
          </w:tcPr>
          <w:p>
            <w:pPr>
              <w:pStyle w:val="TableContents"/>
              <w:spacing w:before="0" w:after="0"/>
              <w:ind w:left="0" w:right="0" w:hanging="0"/>
              <w:rPr/>
            </w:pPr>
            <w:r>
              <w:rPr/>
              <w:t> </w:t>
            </w:r>
          </w:p>
        </w:tc>
        <w:tc>
          <w:tcPr>
            <w:tcW w:w="11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5,296</w:t>
            </w:r>
          </w:p>
        </w:tc>
        <w:tc>
          <w:tcPr>
            <w:tcW w:w="181" w:type="dxa"/>
            <w:tcBorders/>
            <w:shd w:fill="CCEEFF" w:val="clear"/>
            <w:vAlign w:val="bottom"/>
          </w:tcPr>
          <w:p>
            <w:pPr>
              <w:pStyle w:val="TableContents"/>
              <w:spacing w:before="0" w:after="0"/>
              <w:ind w:left="0" w:right="0" w:hanging="0"/>
              <w:rPr/>
            </w:pPr>
            <w:r>
              <w:rPr/>
              <w:t> </w:t>
            </w:r>
          </w:p>
        </w:tc>
        <w:tc>
          <w:tcPr>
            <w:tcW w:w="13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1,569</w:t>
            </w:r>
          </w:p>
        </w:tc>
        <w:tc>
          <w:tcPr>
            <w:tcW w:w="181" w:type="dxa"/>
            <w:tcBorders/>
            <w:shd w:fill="CCEEFF" w:val="clear"/>
            <w:vAlign w:val="bottom"/>
          </w:tcPr>
          <w:p>
            <w:pPr>
              <w:pStyle w:val="TableContents"/>
              <w:spacing w:before="0" w:after="0"/>
              <w:ind w:left="0" w:right="0" w:hanging="0"/>
              <w:rPr/>
            </w:pPr>
            <w:r>
              <w:rPr/>
              <w:t> </w:t>
            </w:r>
          </w:p>
        </w:tc>
        <w:tc>
          <w:tcPr>
            <w:tcW w:w="11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(6,865</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4,159</w:t>
            </w:r>
          </w:p>
        </w:tc>
        <w:tc>
          <w:tcPr>
            <w:tcW w:w="117" w:type="dxa"/>
            <w:tcBorders/>
            <w:shd w:fill="CCEEFF" w:val="clear"/>
            <w:vAlign w:val="bottom"/>
          </w:tcPr>
          <w:p>
            <w:pPr>
              <w:pStyle w:val="TableContents"/>
              <w:spacing w:before="0" w:after="0"/>
              <w:ind w:left="0" w:right="0" w:hanging="0"/>
              <w:rPr/>
            </w:pPr>
            <w:r>
              <w:rPr/>
              <w:t> </w:t>
            </w:r>
          </w:p>
        </w:tc>
      </w:tr>
      <w:tr>
        <w:trPr/>
        <w:tc>
          <w:tcPr>
            <w:tcW w:w="3485"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8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34"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393"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54"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1163"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34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181"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8,752</w:t>
            </w:r>
          </w:p>
        </w:tc>
        <w:tc>
          <w:tcPr>
            <w:tcW w:w="181" w:type="dxa"/>
            <w:tcBorders/>
            <w:shd w:fill="CCEEFF" w:val="clear"/>
            <w:vAlign w:val="bottom"/>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12,431</w:t>
            </w:r>
          </w:p>
        </w:tc>
        <w:tc>
          <w:tcPr>
            <w:tcW w:w="181" w:type="dxa"/>
            <w:tcBorders/>
            <w:shd w:fill="CCEEFF" w:val="clear"/>
            <w:vAlign w:val="bottom"/>
          </w:tcPr>
          <w:p>
            <w:pPr>
              <w:pStyle w:val="TableContents"/>
              <w:spacing w:before="0" w:after="0"/>
              <w:ind w:left="0" w:right="0" w:hanging="0"/>
              <w:rPr/>
            </w:pPr>
            <w:r>
              <w:rPr/>
              <w:t> </w:t>
            </w:r>
          </w:p>
        </w:tc>
        <w:tc>
          <w:tcPr>
            <w:tcW w:w="19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2,310</w:t>
            </w:r>
          </w:p>
        </w:tc>
        <w:tc>
          <w:tcPr>
            <w:tcW w:w="181"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(11,135</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12,358</w:t>
            </w:r>
          </w:p>
        </w:tc>
        <w:tc>
          <w:tcPr>
            <w:tcW w:w="11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27</w:t>
      </w:r>
      <w:bookmarkStart w:id="50" w:name="PB_27_150805_4141"/>
      <w:bookmarkEnd w:id="5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Condensed Consolidating Statements of Operations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79"/>
        <w:gridCol w:w="177"/>
        <w:gridCol w:w="202"/>
        <w:gridCol w:w="708"/>
        <w:gridCol w:w="193"/>
        <w:gridCol w:w="235"/>
        <w:gridCol w:w="970"/>
        <w:gridCol w:w="193"/>
        <w:gridCol w:w="339"/>
        <w:gridCol w:w="1013"/>
        <w:gridCol w:w="193"/>
        <w:gridCol w:w="335"/>
        <w:gridCol w:w="895"/>
        <w:gridCol w:w="193"/>
        <w:gridCol w:w="247"/>
        <w:gridCol w:w="995"/>
        <w:gridCol w:w="138"/>
      </w:tblGrid>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6711"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March 31, 2010</w:t>
            </w:r>
          </w:p>
        </w:tc>
        <w:tc>
          <w:tcPr>
            <w:tcW w:w="138" w:type="dxa"/>
            <w:tcBorders/>
            <w:shd w:fill="auto" w:val="clear"/>
            <w:vAlign w:val="bottom"/>
          </w:tcPr>
          <w:p>
            <w:pPr>
              <w:pStyle w:val="TableContents"/>
              <w:spacing w:before="0" w:after="0"/>
              <w:ind w:left="0" w:right="0" w:hanging="0"/>
              <w:jc w:val="center"/>
              <w:rPr/>
            </w:pPr>
            <w:r>
              <w:rPr/>
              <w:t> </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910" w:type="dxa"/>
            <w:gridSpan w:val="2"/>
            <w:tcBorders/>
            <w:shd w:fill="auto" w:val="clear"/>
            <w:vAlign w:val="bottom"/>
          </w:tcPr>
          <w:p>
            <w:pPr>
              <w:pStyle w:val="TableContents"/>
              <w:spacing w:before="0" w:after="0"/>
              <w:ind w:left="0" w:right="0" w:hanging="0"/>
              <w:jc w:val="center"/>
              <w:rPr/>
            </w:pPr>
            <w:r>
              <w:rPr/>
              <w:t> </w:t>
            </w:r>
          </w:p>
        </w:tc>
        <w:tc>
          <w:tcPr>
            <w:tcW w:w="19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05"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5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3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9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4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8" w:type="dxa"/>
            <w:tcBorders/>
            <w:shd w:fill="auto" w:val="clear"/>
            <w:vAlign w:val="bottom"/>
          </w:tcPr>
          <w:p>
            <w:pPr>
              <w:pStyle w:val="TableContents"/>
              <w:spacing w:before="0" w:after="0"/>
              <w:ind w:left="0" w:right="0" w:hanging="0"/>
              <w:jc w:val="center"/>
              <w:rPr/>
            </w:pPr>
            <w:r>
              <w:rPr/>
              <w:t> </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910"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20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Guarantor</w:t>
            </w:r>
          </w:p>
        </w:tc>
        <w:tc>
          <w:tcPr>
            <w:tcW w:w="193" w:type="dxa"/>
            <w:tcBorders/>
            <w:shd w:fill="auto" w:val="clear"/>
            <w:vAlign w:val="bottom"/>
          </w:tcPr>
          <w:p>
            <w:pPr>
              <w:pStyle w:val="TableContents"/>
              <w:spacing w:before="0" w:after="0"/>
              <w:ind w:left="0" w:right="0" w:hanging="0"/>
              <w:jc w:val="center"/>
              <w:rPr/>
            </w:pPr>
            <w:r>
              <w:rPr/>
              <w:t> </w:t>
            </w:r>
          </w:p>
        </w:tc>
        <w:tc>
          <w:tcPr>
            <w:tcW w:w="135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Non-Guarantor</w:t>
            </w:r>
          </w:p>
        </w:tc>
        <w:tc>
          <w:tcPr>
            <w:tcW w:w="193" w:type="dxa"/>
            <w:tcBorders/>
            <w:shd w:fill="auto" w:val="clear"/>
            <w:vAlign w:val="bottom"/>
          </w:tcPr>
          <w:p>
            <w:pPr>
              <w:pStyle w:val="TableContents"/>
              <w:spacing w:before="0" w:after="0"/>
              <w:ind w:left="0" w:right="0" w:hanging="0"/>
              <w:jc w:val="center"/>
              <w:rPr/>
            </w:pPr>
            <w:r>
              <w:rPr/>
              <w:t> </w:t>
            </w:r>
          </w:p>
        </w:tc>
        <w:tc>
          <w:tcPr>
            <w:tcW w:w="1230"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242" w:type="dxa"/>
            <w:gridSpan w:val="2"/>
            <w:tcBorders/>
            <w:shd w:fill="auto" w:val="clear"/>
            <w:vAlign w:val="bottom"/>
          </w:tcPr>
          <w:p>
            <w:pPr>
              <w:pStyle w:val="TableContents"/>
              <w:spacing w:before="0" w:after="0"/>
              <w:ind w:left="0" w:right="0" w:hanging="0"/>
              <w:jc w:val="center"/>
              <w:rPr/>
            </w:pPr>
            <w:r>
              <w:rPr/>
              <w:t> </w:t>
            </w:r>
          </w:p>
        </w:tc>
        <w:tc>
          <w:tcPr>
            <w:tcW w:w="138" w:type="dxa"/>
            <w:tcBorders/>
            <w:shd w:fill="auto" w:val="clear"/>
            <w:vAlign w:val="bottom"/>
          </w:tcPr>
          <w:p>
            <w:pPr>
              <w:pStyle w:val="TableContents"/>
              <w:spacing w:before="0" w:after="0"/>
              <w:ind w:left="0" w:right="0" w:hanging="0"/>
              <w:jc w:val="center"/>
              <w:rPr/>
            </w:pPr>
            <w:r>
              <w:rPr/>
              <w:t> </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9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Parent</w:t>
            </w:r>
          </w:p>
        </w:tc>
        <w:tc>
          <w:tcPr>
            <w:tcW w:w="193" w:type="dxa"/>
            <w:tcBorders/>
            <w:shd w:fill="auto" w:val="clear"/>
            <w:vAlign w:val="bottom"/>
          </w:tcPr>
          <w:p>
            <w:pPr>
              <w:pStyle w:val="TableContents"/>
              <w:spacing w:before="0" w:after="0"/>
              <w:ind w:left="0" w:right="0" w:hanging="0"/>
              <w:jc w:val="center"/>
              <w:rPr/>
            </w:pPr>
            <w:r>
              <w:rPr/>
              <w:t> </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3" w:type="dxa"/>
            <w:tcBorders/>
            <w:shd w:fill="auto" w:val="clear"/>
            <w:vAlign w:val="bottom"/>
          </w:tcPr>
          <w:p>
            <w:pPr>
              <w:pStyle w:val="TableContents"/>
              <w:spacing w:before="0" w:after="0"/>
              <w:ind w:left="0" w:right="0" w:hanging="0"/>
              <w:jc w:val="center"/>
              <w:rPr/>
            </w:pPr>
            <w:r>
              <w:rPr/>
              <w:t> </w:t>
            </w:r>
          </w:p>
        </w:tc>
        <w:tc>
          <w:tcPr>
            <w:tcW w:w="13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3" w:type="dxa"/>
            <w:tcBorders/>
            <w:shd w:fill="auto" w:val="clear"/>
            <w:vAlign w:val="bottom"/>
          </w:tcPr>
          <w:p>
            <w:pPr>
              <w:pStyle w:val="TableContents"/>
              <w:spacing w:before="0" w:after="0"/>
              <w:ind w:left="0" w:right="0" w:hanging="0"/>
              <w:jc w:val="center"/>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Eliminations</w:t>
            </w:r>
          </w:p>
        </w:tc>
        <w:tc>
          <w:tcPr>
            <w:tcW w:w="193" w:type="dxa"/>
            <w:tcBorders/>
            <w:shd w:fill="auto" w:val="clear"/>
            <w:vAlign w:val="bottom"/>
          </w:tcPr>
          <w:p>
            <w:pPr>
              <w:pStyle w:val="TableContents"/>
              <w:spacing w:before="0" w:after="0"/>
              <w:ind w:left="0" w:right="0" w:hanging="0"/>
              <w:jc w:val="center"/>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Consolidated</w:t>
            </w:r>
          </w:p>
        </w:tc>
        <w:tc>
          <w:tcPr>
            <w:tcW w:w="138" w:type="dxa"/>
            <w:tcBorders/>
            <w:shd w:fill="auto" w:val="clear"/>
            <w:vAlign w:val="bottom"/>
          </w:tcPr>
          <w:p>
            <w:pPr>
              <w:pStyle w:val="TableContents"/>
              <w:spacing w:before="0" w:after="0"/>
              <w:ind w:left="0" w:right="0" w:hanging="0"/>
              <w:jc w:val="center"/>
              <w:rPr/>
            </w:pPr>
            <w:r>
              <w:rPr/>
              <w:t> </w:t>
            </w:r>
          </w:p>
        </w:tc>
      </w:tr>
      <w:tr>
        <w:trPr/>
        <w:tc>
          <w:tcPr>
            <w:tcW w:w="3179" w:type="dxa"/>
            <w:tcBorders/>
            <w:shd w:fill="CCEEFF" w:val="clear"/>
            <w:vAlign w:val="bottom"/>
          </w:tcPr>
          <w:p>
            <w:pPr>
              <w:pStyle w:val="TableContents"/>
              <w:spacing w:before="0" w:after="0"/>
              <w:ind w:left="0" w:right="0" w:hanging="0"/>
              <w:rPr/>
            </w:pPr>
            <w:r>
              <w:rPr>
                <w:rFonts w:ascii="Times New Roman" w:hAnsi="Times New Roman"/>
                <w:sz w:val="17"/>
              </w:rPr>
              <w:t xml:space="preserve">Net operating revenues </w:t>
            </w:r>
            <w:r>
              <w:rPr>
                <w:sz w:val="11"/>
              </w:rPr>
              <w:t>(1)</w:t>
            </w:r>
          </w:p>
        </w:tc>
        <w:tc>
          <w:tcPr>
            <w:tcW w:w="177" w:type="dxa"/>
            <w:tcBorders/>
            <w:shd w:fill="CCEEFF" w:val="cle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2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452</w:t>
            </w:r>
          </w:p>
        </w:tc>
        <w:tc>
          <w:tcPr>
            <w:tcW w:w="193" w:type="dxa"/>
            <w:tcBorders/>
            <w:shd w:fill="CCEEFF" w:val="clear"/>
            <w:vAlign w:val="bottom"/>
          </w:tcPr>
          <w:p>
            <w:pPr>
              <w:pStyle w:val="TableContents"/>
              <w:spacing w:before="0" w:after="0"/>
              <w:ind w:left="0" w:right="0" w:hanging="0"/>
              <w:rPr/>
            </w:pPr>
            <w:r>
              <w:rPr/>
              <w:t> </w:t>
            </w:r>
          </w:p>
        </w:tc>
        <w:tc>
          <w:tcPr>
            <w:tcW w:w="3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93" w:type="dxa"/>
            <w:tcBorders/>
            <w:shd w:fill="CCEEFF" w:val="clear"/>
            <w:vAlign w:val="bottom"/>
          </w:tcPr>
          <w:p>
            <w:pPr>
              <w:pStyle w:val="TableContents"/>
              <w:spacing w:before="0" w:after="0"/>
              <w:ind w:left="0" w:right="0" w:hanging="0"/>
              <w:rPr/>
            </w:pPr>
            <w:r>
              <w:rPr/>
              <w:t> </w:t>
            </w:r>
          </w:p>
        </w:tc>
        <w:tc>
          <w:tcPr>
            <w:tcW w:w="3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2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77"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177"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77" w:type="dxa"/>
            <w:tcBorders/>
            <w:shd w:fill="auto" w:val="clear"/>
            <w:vAlign w:val="bottom"/>
          </w:tcPr>
          <w:p>
            <w:pPr>
              <w:pStyle w:val="TableContents"/>
              <w:spacing w:before="0" w:after="0"/>
              <w:ind w:left="0" w:right="0" w:hanging="0"/>
              <w:rPr/>
            </w:pPr>
            <w:r>
              <w:rPr/>
              <w:t> </w:t>
            </w:r>
          </w:p>
        </w:tc>
        <w:tc>
          <w:tcPr>
            <w:tcW w:w="9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CCEEFF" w:val="clear"/>
            <w:vAlign w:val="bottom"/>
          </w:tcPr>
          <w:p>
            <w:pPr>
              <w:pStyle w:val="TableContents"/>
              <w:spacing w:before="0" w:after="0"/>
              <w:ind w:left="0" w:right="0" w:hanging="0"/>
              <w:rPr/>
            </w:pPr>
            <w:r>
              <w:rPr/>
              <w:t> </w:t>
            </w:r>
          </w:p>
        </w:tc>
        <w:tc>
          <w:tcPr>
            <w:tcW w:w="177"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Operating income/(loss)</w:t>
            </w:r>
          </w:p>
        </w:tc>
        <w:tc>
          <w:tcPr>
            <w:tcW w:w="177" w:type="dxa"/>
            <w:tcBorders/>
            <w:shd w:fill="auto" w:val="clear"/>
            <w:vAlign w:val="bottom"/>
          </w:tcPr>
          <w:p>
            <w:pPr>
              <w:pStyle w:val="TableContents"/>
              <w:spacing w:before="0" w:after="0"/>
              <w:ind w:left="0" w:right="0" w:hanging="0"/>
              <w:rPr/>
            </w:pPr>
            <w:r>
              <w:rPr/>
              <w:t> </w:t>
            </w:r>
          </w:p>
        </w:tc>
        <w:tc>
          <w:tcPr>
            <w:tcW w:w="9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pPr>
            <w:r>
              <w:rPr/>
              <w:t> </w:t>
            </w:r>
          </w:p>
        </w:tc>
        <w:tc>
          <w:tcPr>
            <w:tcW w:w="177"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77"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income/(expense)</w:t>
            </w:r>
          </w:p>
        </w:tc>
        <w:tc>
          <w:tcPr>
            <w:tcW w:w="177"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77"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77" w:type="dxa"/>
            <w:tcBorders/>
            <w:shd w:fill="CCEEFF" w:val="clear"/>
            <w:vAlign w:val="bottom"/>
          </w:tcPr>
          <w:p>
            <w:pPr>
              <w:pStyle w:val="TableContents"/>
              <w:spacing w:before="0" w:after="0"/>
              <w:ind w:left="0" w:right="0" w:hanging="0"/>
              <w:rPr/>
            </w:pPr>
            <w:r>
              <w:rPr/>
              <w:t> </w:t>
            </w:r>
          </w:p>
        </w:tc>
        <w:tc>
          <w:tcPr>
            <w:tcW w:w="9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77" w:type="dxa"/>
            <w:tcBorders/>
            <w:shd w:fill="auto" w:val="clear"/>
            <w:vAlign w:val="bottom"/>
          </w:tcPr>
          <w:p>
            <w:pPr>
              <w:pStyle w:val="TableContents"/>
              <w:spacing w:before="0" w:after="0"/>
              <w:ind w:left="0" w:right="0" w:hanging="0"/>
              <w:rPr/>
            </w:pPr>
            <w:r>
              <w:rPr/>
              <w:t> </w:t>
            </w:r>
          </w:p>
        </w:tc>
        <w:tc>
          <w:tcPr>
            <w:tcW w:w="91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79"/>
        <w:gridCol w:w="177"/>
        <w:gridCol w:w="202"/>
        <w:gridCol w:w="708"/>
        <w:gridCol w:w="193"/>
        <w:gridCol w:w="235"/>
        <w:gridCol w:w="970"/>
        <w:gridCol w:w="193"/>
        <w:gridCol w:w="339"/>
        <w:gridCol w:w="1013"/>
        <w:gridCol w:w="193"/>
        <w:gridCol w:w="335"/>
        <w:gridCol w:w="895"/>
        <w:gridCol w:w="193"/>
        <w:gridCol w:w="247"/>
        <w:gridCol w:w="995"/>
        <w:gridCol w:w="138"/>
      </w:tblGrid>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6711"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March 31, 2009</w:t>
            </w:r>
          </w:p>
        </w:tc>
        <w:tc>
          <w:tcPr>
            <w:tcW w:w="138" w:type="dxa"/>
            <w:tcBorders/>
            <w:shd w:fill="auto" w:val="clear"/>
            <w:vAlign w:val="bottom"/>
          </w:tcPr>
          <w:p>
            <w:pPr>
              <w:pStyle w:val="TableContents"/>
              <w:spacing w:before="0" w:after="0"/>
              <w:ind w:left="0" w:right="0" w:hanging="0"/>
              <w:jc w:val="center"/>
              <w:rPr/>
            </w:pPr>
            <w:r>
              <w:rPr/>
              <w:t> </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910"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20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3" w:type="dxa"/>
            <w:tcBorders/>
            <w:shd w:fill="auto" w:val="clear"/>
            <w:vAlign w:val="bottom"/>
          </w:tcPr>
          <w:p>
            <w:pPr>
              <w:pStyle w:val="TableContents"/>
              <w:spacing w:before="0" w:after="0"/>
              <w:ind w:left="0" w:right="0" w:hanging="0"/>
              <w:jc w:val="center"/>
              <w:rPr/>
            </w:pPr>
            <w:r>
              <w:rPr/>
              <w:t> </w:t>
            </w:r>
          </w:p>
        </w:tc>
        <w:tc>
          <w:tcPr>
            <w:tcW w:w="135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3" w:type="dxa"/>
            <w:tcBorders/>
            <w:shd w:fill="auto" w:val="clear"/>
            <w:vAlign w:val="bottom"/>
          </w:tcPr>
          <w:p>
            <w:pPr>
              <w:pStyle w:val="TableContents"/>
              <w:spacing w:before="0" w:after="0"/>
              <w:ind w:left="0" w:right="0" w:hanging="0"/>
              <w:jc w:val="center"/>
              <w:rPr/>
            </w:pPr>
            <w:r>
              <w:rPr/>
              <w:t> </w:t>
            </w:r>
          </w:p>
        </w:tc>
        <w:tc>
          <w:tcPr>
            <w:tcW w:w="1230"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242" w:type="dxa"/>
            <w:gridSpan w:val="2"/>
            <w:tcBorders/>
            <w:shd w:fill="auto" w:val="clear"/>
            <w:vAlign w:val="bottom"/>
          </w:tcPr>
          <w:p>
            <w:pPr>
              <w:pStyle w:val="TableContents"/>
              <w:spacing w:before="0" w:after="0"/>
              <w:ind w:left="0" w:right="0" w:hanging="0"/>
              <w:jc w:val="center"/>
              <w:rPr/>
            </w:pPr>
            <w:r>
              <w:rPr/>
              <w:t> </w:t>
            </w:r>
          </w:p>
        </w:tc>
        <w:tc>
          <w:tcPr>
            <w:tcW w:w="138" w:type="dxa"/>
            <w:tcBorders/>
            <w:shd w:fill="auto" w:val="clear"/>
            <w:vAlign w:val="bottom"/>
          </w:tcPr>
          <w:p>
            <w:pPr>
              <w:pStyle w:val="TableContents"/>
              <w:spacing w:before="0" w:after="0"/>
              <w:ind w:left="0" w:right="0" w:hanging="0"/>
              <w:jc w:val="center"/>
              <w:rPr/>
            </w:pPr>
            <w:r>
              <w:rPr/>
              <w:t> </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910"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20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Guarantor</w:t>
            </w:r>
          </w:p>
        </w:tc>
        <w:tc>
          <w:tcPr>
            <w:tcW w:w="193" w:type="dxa"/>
            <w:tcBorders/>
            <w:shd w:fill="auto" w:val="clear"/>
            <w:vAlign w:val="bottom"/>
          </w:tcPr>
          <w:p>
            <w:pPr>
              <w:pStyle w:val="TableContents"/>
              <w:spacing w:before="0" w:after="0"/>
              <w:ind w:left="0" w:right="0" w:hanging="0"/>
              <w:jc w:val="center"/>
              <w:rPr/>
            </w:pPr>
            <w:r>
              <w:rPr/>
              <w:t> </w:t>
            </w:r>
          </w:p>
        </w:tc>
        <w:tc>
          <w:tcPr>
            <w:tcW w:w="135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Non-Guarantor</w:t>
            </w:r>
          </w:p>
        </w:tc>
        <w:tc>
          <w:tcPr>
            <w:tcW w:w="193" w:type="dxa"/>
            <w:tcBorders/>
            <w:shd w:fill="auto" w:val="clear"/>
            <w:vAlign w:val="bottom"/>
          </w:tcPr>
          <w:p>
            <w:pPr>
              <w:pStyle w:val="TableContents"/>
              <w:spacing w:before="0" w:after="0"/>
              <w:ind w:left="0" w:right="0" w:hanging="0"/>
              <w:jc w:val="center"/>
              <w:rPr/>
            </w:pPr>
            <w:r>
              <w:rPr/>
              <w:t> </w:t>
            </w:r>
          </w:p>
        </w:tc>
        <w:tc>
          <w:tcPr>
            <w:tcW w:w="1230"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242" w:type="dxa"/>
            <w:gridSpan w:val="2"/>
            <w:tcBorders/>
            <w:shd w:fill="auto" w:val="clear"/>
            <w:vAlign w:val="bottom"/>
          </w:tcPr>
          <w:p>
            <w:pPr>
              <w:pStyle w:val="TableContents"/>
              <w:spacing w:before="0" w:after="0"/>
              <w:ind w:left="0" w:right="0" w:hanging="0"/>
              <w:jc w:val="center"/>
              <w:rPr/>
            </w:pPr>
            <w:r>
              <w:rPr/>
              <w:t> </w:t>
            </w:r>
          </w:p>
        </w:tc>
        <w:tc>
          <w:tcPr>
            <w:tcW w:w="138" w:type="dxa"/>
            <w:tcBorders/>
            <w:shd w:fill="auto" w:val="clear"/>
            <w:vAlign w:val="bottom"/>
          </w:tcPr>
          <w:p>
            <w:pPr>
              <w:pStyle w:val="TableContents"/>
              <w:spacing w:before="0" w:after="0"/>
              <w:ind w:left="0" w:right="0" w:hanging="0"/>
              <w:jc w:val="center"/>
              <w:rPr/>
            </w:pPr>
            <w:r>
              <w:rPr/>
              <w:t> </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9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Parent</w:t>
            </w:r>
          </w:p>
        </w:tc>
        <w:tc>
          <w:tcPr>
            <w:tcW w:w="193" w:type="dxa"/>
            <w:tcBorders/>
            <w:shd w:fill="auto" w:val="clear"/>
            <w:vAlign w:val="bottom"/>
          </w:tcPr>
          <w:p>
            <w:pPr>
              <w:pStyle w:val="TableContents"/>
              <w:spacing w:before="0" w:after="0"/>
              <w:ind w:left="0" w:right="0" w:hanging="0"/>
              <w:jc w:val="center"/>
              <w:rPr/>
            </w:pPr>
            <w:r>
              <w:rPr/>
              <w:t> </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3" w:type="dxa"/>
            <w:tcBorders/>
            <w:shd w:fill="auto" w:val="clear"/>
            <w:vAlign w:val="bottom"/>
          </w:tcPr>
          <w:p>
            <w:pPr>
              <w:pStyle w:val="TableContents"/>
              <w:spacing w:before="0" w:after="0"/>
              <w:ind w:left="0" w:right="0" w:hanging="0"/>
              <w:jc w:val="center"/>
              <w:rPr/>
            </w:pPr>
            <w:r>
              <w:rPr/>
              <w:t> </w:t>
            </w:r>
          </w:p>
        </w:tc>
        <w:tc>
          <w:tcPr>
            <w:tcW w:w="13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3" w:type="dxa"/>
            <w:tcBorders/>
            <w:shd w:fill="auto" w:val="clear"/>
            <w:vAlign w:val="bottom"/>
          </w:tcPr>
          <w:p>
            <w:pPr>
              <w:pStyle w:val="TableContents"/>
              <w:spacing w:before="0" w:after="0"/>
              <w:ind w:left="0" w:right="0" w:hanging="0"/>
              <w:jc w:val="center"/>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Eliminations</w:t>
            </w:r>
          </w:p>
        </w:tc>
        <w:tc>
          <w:tcPr>
            <w:tcW w:w="193" w:type="dxa"/>
            <w:tcBorders/>
            <w:shd w:fill="auto" w:val="clear"/>
            <w:vAlign w:val="bottom"/>
          </w:tcPr>
          <w:p>
            <w:pPr>
              <w:pStyle w:val="TableContents"/>
              <w:spacing w:before="0" w:after="0"/>
              <w:ind w:left="0" w:right="0" w:hanging="0"/>
              <w:jc w:val="center"/>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Consolidated</w:t>
            </w:r>
          </w:p>
        </w:tc>
        <w:tc>
          <w:tcPr>
            <w:tcW w:w="138" w:type="dxa"/>
            <w:tcBorders/>
            <w:shd w:fill="auto" w:val="clear"/>
            <w:vAlign w:val="bottom"/>
          </w:tcPr>
          <w:p>
            <w:pPr>
              <w:pStyle w:val="TableContents"/>
              <w:spacing w:before="0" w:after="0"/>
              <w:ind w:left="0" w:right="0" w:hanging="0"/>
              <w:jc w:val="center"/>
              <w:rPr/>
            </w:pPr>
            <w:r>
              <w:rPr/>
              <w:t> </w:t>
            </w:r>
          </w:p>
        </w:tc>
      </w:tr>
      <w:tr>
        <w:trPr/>
        <w:tc>
          <w:tcPr>
            <w:tcW w:w="3179" w:type="dxa"/>
            <w:tcBorders/>
            <w:shd w:fill="CCEEFF" w:val="clear"/>
            <w:vAlign w:val="bottom"/>
          </w:tcPr>
          <w:p>
            <w:pPr>
              <w:pStyle w:val="TableContents"/>
              <w:spacing w:before="0" w:after="0"/>
              <w:ind w:left="0" w:right="0" w:hanging="0"/>
              <w:rPr/>
            </w:pPr>
            <w:r>
              <w:rPr>
                <w:rFonts w:ascii="Times New Roman" w:hAnsi="Times New Roman"/>
                <w:sz w:val="17"/>
              </w:rPr>
              <w:t xml:space="preserve">Net operating revenues </w:t>
            </w:r>
            <w:r>
              <w:rPr>
                <w:sz w:val="11"/>
              </w:rPr>
              <w:t>(1)</w:t>
            </w:r>
          </w:p>
        </w:tc>
        <w:tc>
          <w:tcPr>
            <w:tcW w:w="177" w:type="dxa"/>
            <w:tcBorders/>
            <w:shd w:fill="CCEEFF" w:val="cle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2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484</w:t>
            </w:r>
          </w:p>
        </w:tc>
        <w:tc>
          <w:tcPr>
            <w:tcW w:w="193" w:type="dxa"/>
            <w:tcBorders/>
            <w:shd w:fill="CCEEFF" w:val="clear"/>
            <w:vAlign w:val="bottom"/>
          </w:tcPr>
          <w:p>
            <w:pPr>
              <w:pStyle w:val="TableContents"/>
              <w:spacing w:before="0" w:after="0"/>
              <w:ind w:left="0" w:right="0" w:hanging="0"/>
              <w:rPr/>
            </w:pPr>
            <w:r>
              <w:rPr/>
              <w:t> </w:t>
            </w:r>
          </w:p>
        </w:tc>
        <w:tc>
          <w:tcPr>
            <w:tcW w:w="3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93" w:type="dxa"/>
            <w:tcBorders/>
            <w:shd w:fill="CCEEFF" w:val="clear"/>
            <w:vAlign w:val="bottom"/>
          </w:tcPr>
          <w:p>
            <w:pPr>
              <w:pStyle w:val="TableContents"/>
              <w:spacing w:before="0" w:after="0"/>
              <w:ind w:left="0" w:right="0" w:hanging="0"/>
              <w:rPr/>
            </w:pPr>
            <w:r>
              <w:rPr/>
              <w:t> </w:t>
            </w:r>
          </w:p>
        </w:tc>
        <w:tc>
          <w:tcPr>
            <w:tcW w:w="3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2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512</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77"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177"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77" w:type="dxa"/>
            <w:tcBorders/>
            <w:shd w:fill="auto" w:val="clear"/>
            <w:vAlign w:val="bottom"/>
          </w:tcPr>
          <w:p>
            <w:pPr>
              <w:pStyle w:val="TableContents"/>
              <w:spacing w:before="0" w:after="0"/>
              <w:ind w:left="0" w:right="0" w:hanging="0"/>
              <w:rPr/>
            </w:pPr>
            <w:r>
              <w:rPr/>
              <w:t> </w:t>
            </w:r>
          </w:p>
        </w:tc>
        <w:tc>
          <w:tcPr>
            <w:tcW w:w="9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CCEEFF" w:val="clear"/>
            <w:vAlign w:val="bottom"/>
          </w:tcPr>
          <w:p>
            <w:pPr>
              <w:pStyle w:val="TableContents"/>
              <w:spacing w:before="0" w:after="0"/>
              <w:ind w:left="0" w:right="0" w:hanging="0"/>
              <w:rPr/>
            </w:pPr>
            <w:r>
              <w:rPr/>
              <w:t> </w:t>
            </w:r>
          </w:p>
        </w:tc>
        <w:tc>
          <w:tcPr>
            <w:tcW w:w="177"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Operating income/(loss)</w:t>
            </w:r>
          </w:p>
        </w:tc>
        <w:tc>
          <w:tcPr>
            <w:tcW w:w="177" w:type="dxa"/>
            <w:tcBorders/>
            <w:shd w:fill="auto" w:val="clear"/>
            <w:vAlign w:val="bottom"/>
          </w:tcPr>
          <w:p>
            <w:pPr>
              <w:pStyle w:val="TableContents"/>
              <w:spacing w:before="0" w:after="0"/>
              <w:ind w:left="0" w:right="0" w:hanging="0"/>
              <w:rPr/>
            </w:pPr>
            <w:r>
              <w:rPr/>
              <w:t> </w:t>
            </w:r>
          </w:p>
        </w:tc>
        <w:tc>
          <w:tcPr>
            <w:tcW w:w="9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pPr>
            <w:r>
              <w:rPr/>
              <w:t> </w:t>
            </w:r>
          </w:p>
        </w:tc>
        <w:tc>
          <w:tcPr>
            <w:tcW w:w="177"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77"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77"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77"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77" w:type="dxa"/>
            <w:tcBorders/>
            <w:shd w:fill="CCEEFF" w:val="clear"/>
            <w:vAlign w:val="bottom"/>
          </w:tcPr>
          <w:p>
            <w:pPr>
              <w:pStyle w:val="TableContents"/>
              <w:spacing w:before="0" w:after="0"/>
              <w:ind w:left="0" w:right="0" w:hanging="0"/>
              <w:rPr/>
            </w:pPr>
            <w:r>
              <w:rPr/>
              <w:t> </w:t>
            </w:r>
          </w:p>
        </w:tc>
        <w:tc>
          <w:tcPr>
            <w:tcW w:w="9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77" w:type="dxa"/>
            <w:tcBorders/>
            <w:shd w:fill="auto" w:val="clear"/>
            <w:vAlign w:val="bottom"/>
          </w:tcPr>
          <w:p>
            <w:pPr>
              <w:pStyle w:val="TableContents"/>
              <w:spacing w:before="0" w:after="0"/>
              <w:ind w:left="0" w:right="0" w:hanging="0"/>
              <w:rPr/>
            </w:pPr>
            <w:r>
              <w:rPr/>
              <w:t> </w:t>
            </w:r>
          </w:p>
        </w:tc>
        <w:tc>
          <w:tcPr>
            <w:tcW w:w="91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263</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w:t>
      </w:r>
      <w:r>
        <w:rPr>
          <w:rFonts w:ascii="Times New Roman" w:hAnsi="Times New Roman"/>
          <w:sz w:val="17"/>
        </w:rPr>
        <w:t>Net operating revenues are calculated as Total revenues less Purchases and related costs.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28</w:t>
      </w:r>
      <w:bookmarkStart w:id="51" w:name="PB_28_150806_8627"/>
      <w:bookmarkEnd w:id="5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Condensed Consolidating Statements of Cash Flows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271"/>
        <w:gridCol w:w="166"/>
        <w:gridCol w:w="149"/>
        <w:gridCol w:w="656"/>
        <w:gridCol w:w="182"/>
        <w:gridCol w:w="233"/>
        <w:gridCol w:w="873"/>
        <w:gridCol w:w="182"/>
        <w:gridCol w:w="339"/>
        <w:gridCol w:w="1091"/>
        <w:gridCol w:w="182"/>
        <w:gridCol w:w="217"/>
        <w:gridCol w:w="914"/>
        <w:gridCol w:w="181"/>
        <w:gridCol w:w="244"/>
        <w:gridCol w:w="899"/>
        <w:gridCol w:w="426"/>
      </w:tblGrid>
      <w:tr>
        <w:trPr/>
        <w:tc>
          <w:tcPr>
            <w:tcW w:w="3271"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jc w:val="center"/>
              <w:rPr/>
            </w:pPr>
            <w:r>
              <w:rPr/>
              <w:t> </w:t>
            </w:r>
          </w:p>
        </w:tc>
        <w:tc>
          <w:tcPr>
            <w:tcW w:w="6342"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March 31, 2010</w:t>
            </w:r>
          </w:p>
        </w:tc>
        <w:tc>
          <w:tcPr>
            <w:tcW w:w="426" w:type="dxa"/>
            <w:tcBorders/>
            <w:shd w:fill="auto" w:val="clear"/>
            <w:vAlign w:val="bottom"/>
          </w:tcPr>
          <w:p>
            <w:pPr>
              <w:pStyle w:val="TableContents"/>
              <w:spacing w:before="0" w:after="0"/>
              <w:ind w:left="0" w:right="0" w:hanging="0"/>
              <w:jc w:val="center"/>
              <w:rPr/>
            </w:pPr>
            <w:r>
              <w:rPr/>
              <w:t> </w:t>
            </w:r>
          </w:p>
        </w:tc>
      </w:tr>
      <w:tr>
        <w:trPr/>
        <w:tc>
          <w:tcPr>
            <w:tcW w:w="3271"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jc w:val="center"/>
              <w:rPr/>
            </w:pPr>
            <w:r>
              <w:rPr/>
              <w:t> </w:t>
            </w:r>
          </w:p>
        </w:tc>
        <w:tc>
          <w:tcPr>
            <w:tcW w:w="805" w:type="dxa"/>
            <w:gridSpan w:val="2"/>
            <w:tcBorders/>
            <w:shd w:fill="auto" w:val="clear"/>
            <w:vAlign w:val="bottom"/>
          </w:tcPr>
          <w:p>
            <w:pPr>
              <w:pStyle w:val="TableContents"/>
              <w:spacing w:before="0" w:after="0"/>
              <w:ind w:left="0" w:right="0" w:hanging="0"/>
              <w:jc w:val="center"/>
              <w:rPr/>
            </w:pPr>
            <w:r>
              <w:rPr/>
              <w:t> </w:t>
            </w:r>
          </w:p>
        </w:tc>
        <w:tc>
          <w:tcPr>
            <w:tcW w:w="18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0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8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43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8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31"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4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426" w:type="dxa"/>
            <w:tcBorders/>
            <w:shd w:fill="auto" w:val="clear"/>
            <w:vAlign w:val="bottom"/>
          </w:tcPr>
          <w:p>
            <w:pPr>
              <w:pStyle w:val="TableContents"/>
              <w:spacing w:before="0" w:after="0"/>
              <w:ind w:left="0" w:right="0" w:hanging="0"/>
              <w:jc w:val="center"/>
              <w:rPr/>
            </w:pPr>
            <w:r>
              <w:rPr/>
              <w:t> </w:t>
            </w:r>
          </w:p>
        </w:tc>
      </w:tr>
      <w:tr>
        <w:trPr/>
        <w:tc>
          <w:tcPr>
            <w:tcW w:w="3271"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jc w:val="center"/>
              <w:rPr/>
            </w:pPr>
            <w:r>
              <w:rPr/>
              <w:t> </w:t>
            </w:r>
          </w:p>
        </w:tc>
        <w:tc>
          <w:tcPr>
            <w:tcW w:w="805" w:type="dxa"/>
            <w:gridSpan w:val="2"/>
            <w:tcBorders/>
            <w:shd w:fill="auto" w:val="clear"/>
            <w:vAlign w:val="bottom"/>
          </w:tcPr>
          <w:p>
            <w:pPr>
              <w:pStyle w:val="TableContents"/>
              <w:spacing w:before="0" w:after="0"/>
              <w:ind w:left="0" w:right="0" w:hanging="0"/>
              <w:jc w:val="center"/>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110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Guarantor</w:t>
            </w:r>
          </w:p>
        </w:tc>
        <w:tc>
          <w:tcPr>
            <w:tcW w:w="182" w:type="dxa"/>
            <w:tcBorders/>
            <w:shd w:fill="auto" w:val="clear"/>
            <w:vAlign w:val="bottom"/>
          </w:tcPr>
          <w:p>
            <w:pPr>
              <w:pStyle w:val="TableContents"/>
              <w:spacing w:before="0" w:after="0"/>
              <w:ind w:left="0" w:right="0" w:hanging="0"/>
              <w:jc w:val="center"/>
              <w:rPr/>
            </w:pPr>
            <w:r>
              <w:rPr/>
              <w:t> </w:t>
            </w:r>
          </w:p>
        </w:tc>
        <w:tc>
          <w:tcPr>
            <w:tcW w:w="143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Non-Guarantor</w:t>
            </w:r>
          </w:p>
        </w:tc>
        <w:tc>
          <w:tcPr>
            <w:tcW w:w="182" w:type="dxa"/>
            <w:tcBorders/>
            <w:shd w:fill="auto" w:val="clear"/>
            <w:vAlign w:val="bottom"/>
          </w:tcPr>
          <w:p>
            <w:pPr>
              <w:pStyle w:val="TableContents"/>
              <w:spacing w:before="0" w:after="0"/>
              <w:ind w:left="0" w:right="0" w:hanging="0"/>
              <w:jc w:val="center"/>
              <w:rPr/>
            </w:pPr>
            <w:r>
              <w:rPr/>
              <w:t> </w:t>
            </w:r>
          </w:p>
        </w:tc>
        <w:tc>
          <w:tcPr>
            <w:tcW w:w="1131" w:type="dxa"/>
            <w:gridSpan w:val="2"/>
            <w:tcBorders/>
            <w:shd w:fill="auto" w:val="clear"/>
            <w:vAlign w:val="bottom"/>
          </w:tcPr>
          <w:p>
            <w:pPr>
              <w:pStyle w:val="TableContents"/>
              <w:spacing w:before="0" w:after="0"/>
              <w:ind w:left="0" w:right="0" w:hanging="0"/>
              <w:jc w:val="center"/>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1143" w:type="dxa"/>
            <w:gridSpan w:val="2"/>
            <w:tcBorders/>
            <w:shd w:fill="auto" w:val="clear"/>
            <w:vAlign w:val="bottom"/>
          </w:tcPr>
          <w:p>
            <w:pPr>
              <w:pStyle w:val="TableContents"/>
              <w:spacing w:before="0" w:after="0"/>
              <w:ind w:left="0" w:right="0" w:hanging="0"/>
              <w:jc w:val="center"/>
              <w:rPr/>
            </w:pPr>
            <w:r>
              <w:rPr/>
              <w:t> </w:t>
            </w:r>
          </w:p>
        </w:tc>
        <w:tc>
          <w:tcPr>
            <w:tcW w:w="426" w:type="dxa"/>
            <w:tcBorders/>
            <w:shd w:fill="auto" w:val="clear"/>
            <w:vAlign w:val="bottom"/>
          </w:tcPr>
          <w:p>
            <w:pPr>
              <w:pStyle w:val="TableContents"/>
              <w:spacing w:before="0" w:after="0"/>
              <w:ind w:left="0" w:right="0" w:hanging="0"/>
              <w:jc w:val="center"/>
              <w:rPr/>
            </w:pPr>
            <w:r>
              <w:rPr/>
              <w:t> </w:t>
            </w:r>
          </w:p>
        </w:tc>
      </w:tr>
      <w:tr>
        <w:trPr/>
        <w:tc>
          <w:tcPr>
            <w:tcW w:w="3271"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jc w:val="center"/>
              <w:rPr/>
            </w:pPr>
            <w:r>
              <w:rPr/>
              <w:t> </w:t>
            </w:r>
          </w:p>
        </w:tc>
        <w:tc>
          <w:tcPr>
            <w:tcW w:w="8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Parent</w:t>
            </w:r>
          </w:p>
        </w:tc>
        <w:tc>
          <w:tcPr>
            <w:tcW w:w="182" w:type="dxa"/>
            <w:tcBorders/>
            <w:shd w:fill="auto" w:val="clear"/>
            <w:vAlign w:val="bottom"/>
          </w:tcPr>
          <w:p>
            <w:pPr>
              <w:pStyle w:val="TableContents"/>
              <w:spacing w:before="0" w:after="0"/>
              <w:ind w:left="0" w:right="0" w:hanging="0"/>
              <w:jc w:val="center"/>
              <w:rPr/>
            </w:pPr>
            <w:r>
              <w:rPr/>
              <w:t> </w:t>
            </w:r>
          </w:p>
        </w:tc>
        <w:tc>
          <w:tcPr>
            <w:tcW w:w="110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82" w:type="dxa"/>
            <w:tcBorders/>
            <w:shd w:fill="auto" w:val="clear"/>
            <w:vAlign w:val="bottom"/>
          </w:tcPr>
          <w:p>
            <w:pPr>
              <w:pStyle w:val="TableContents"/>
              <w:spacing w:before="0" w:after="0"/>
              <w:ind w:left="0" w:right="0" w:hanging="0"/>
              <w:jc w:val="center"/>
              <w:rPr/>
            </w:pPr>
            <w:r>
              <w:rPr/>
              <w:t> </w:t>
            </w:r>
          </w:p>
        </w:tc>
        <w:tc>
          <w:tcPr>
            <w:tcW w:w="143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82" w:type="dxa"/>
            <w:tcBorders/>
            <w:shd w:fill="auto" w:val="clear"/>
            <w:vAlign w:val="bottom"/>
          </w:tcPr>
          <w:p>
            <w:pPr>
              <w:pStyle w:val="TableContents"/>
              <w:spacing w:before="0" w:after="0"/>
              <w:ind w:left="0" w:right="0" w:hanging="0"/>
              <w:jc w:val="center"/>
              <w:rPr/>
            </w:pPr>
            <w:r>
              <w:rPr/>
              <w:t> </w:t>
            </w:r>
          </w:p>
        </w:tc>
        <w:tc>
          <w:tcPr>
            <w:tcW w:w="113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Eliminations</w:t>
            </w:r>
          </w:p>
        </w:tc>
        <w:tc>
          <w:tcPr>
            <w:tcW w:w="181" w:type="dxa"/>
            <w:tcBorders/>
            <w:shd w:fill="auto" w:val="clear"/>
            <w:vAlign w:val="bottom"/>
          </w:tcPr>
          <w:p>
            <w:pPr>
              <w:pStyle w:val="TableContents"/>
              <w:spacing w:before="0" w:after="0"/>
              <w:ind w:left="0" w:right="0" w:hanging="0"/>
              <w:jc w:val="center"/>
              <w:rPr/>
            </w:pPr>
            <w:r>
              <w:rPr/>
              <w:t> </w:t>
            </w:r>
          </w:p>
        </w:tc>
        <w:tc>
          <w:tcPr>
            <w:tcW w:w="114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Consolidated</w:t>
            </w:r>
          </w:p>
        </w:tc>
        <w:tc>
          <w:tcPr>
            <w:tcW w:w="426" w:type="dxa"/>
            <w:tcBorders/>
            <w:shd w:fill="auto" w:val="clear"/>
            <w:vAlign w:val="bottom"/>
          </w:tcPr>
          <w:p>
            <w:pPr>
              <w:pStyle w:val="TableContents"/>
              <w:spacing w:before="0" w:after="0"/>
              <w:ind w:left="0" w:right="0" w:hanging="0"/>
              <w:jc w:val="center"/>
              <w:rPr/>
            </w:pPr>
            <w:r>
              <w:rPr/>
              <w:t> </w:t>
            </w:r>
          </w:p>
        </w:tc>
      </w:tr>
      <w:tr>
        <w:trPr/>
        <w:tc>
          <w:tcPr>
            <w:tcW w:w="327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OPERATING ACTIVITIES</w:t>
            </w:r>
          </w:p>
        </w:tc>
        <w:tc>
          <w:tcPr>
            <w:tcW w:w="166" w:type="dxa"/>
            <w:tcBorders/>
            <w:shd w:fill="CCEEFF" w:val="clear"/>
            <w:vAlign w:val="bottom"/>
          </w:tcPr>
          <w:p>
            <w:pPr>
              <w:pStyle w:val="TableContents"/>
              <w:spacing w:before="0" w:after="0"/>
              <w:ind w:left="0" w:right="0" w:hanging="0"/>
              <w:rPr/>
            </w:pPr>
            <w:r>
              <w:rPr/>
              <w:t> </w:t>
            </w:r>
          </w:p>
        </w:tc>
        <w:tc>
          <w:tcPr>
            <w:tcW w:w="805"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430"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131"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143" w:type="dxa"/>
            <w:gridSpan w:val="2"/>
            <w:tcBorders/>
            <w:shd w:fill="CCEEFF" w:val="clear"/>
            <w:vAlign w:val="bottom"/>
          </w:tcPr>
          <w:p>
            <w:pPr>
              <w:pStyle w:val="TableContents"/>
              <w:spacing w:before="0" w:after="0"/>
              <w:ind w:left="0" w:right="0" w:hanging="0"/>
              <w:jc w:val="right"/>
              <w:rPr/>
            </w:pPr>
            <w:r>
              <w:rPr/>
              <w:t> </w:t>
            </w:r>
          </w:p>
        </w:tc>
        <w:tc>
          <w:tcPr>
            <w:tcW w:w="426" w:type="dxa"/>
            <w:tcBorders/>
            <w:shd w:fill="CCEEFF" w:val="clear"/>
            <w:vAlign w:val="bottom"/>
          </w:tcPr>
          <w:p>
            <w:pPr>
              <w:pStyle w:val="TableContents"/>
              <w:spacing w:before="0" w:after="0"/>
              <w:ind w:left="0" w:right="0" w:hanging="0"/>
              <w:rPr/>
            </w:pPr>
            <w:r>
              <w:rPr/>
              <w:t> </w:t>
            </w:r>
          </w:p>
        </w:tc>
      </w:tr>
      <w:tr>
        <w:trPr/>
        <w:tc>
          <w:tcPr>
            <w:tcW w:w="3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66"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6" w:type="dxa"/>
            <w:tcBorders/>
            <w:shd w:fill="auto" w:val="clear"/>
            <w:vAlign w:val="bottom"/>
          </w:tcPr>
          <w:p>
            <w:pPr>
              <w:pStyle w:val="TableContents"/>
              <w:spacing w:before="0" w:after="0"/>
              <w:ind w:left="0" w:right="0" w:hanging="0"/>
              <w:jc w:val="right"/>
              <w:rPr/>
            </w:pPr>
            <w:r>
              <w:rPr/>
              <w:t xml:space="preserve">   </w:t>
            </w:r>
            <w:r>
              <w:rPr>
                <w:rFonts w:ascii="Times New Roman" w:hAnsi="Times New Roman"/>
                <w:sz w:val="17"/>
              </w:rPr>
              <w:t>151</w:t>
            </w:r>
          </w:p>
        </w:tc>
        <w:tc>
          <w:tcPr>
            <w:tcW w:w="182" w:type="dxa"/>
            <w:tcBorders/>
            <w:shd w:fill="auto" w:val="clear"/>
            <w:vAlign w:val="bottom"/>
          </w:tcPr>
          <w:p>
            <w:pPr>
              <w:pStyle w:val="TableContents"/>
              <w:spacing w:before="0" w:after="0"/>
              <w:ind w:left="0" w:right="0" w:hanging="0"/>
              <w:rPr/>
            </w:pPr>
            <w:r>
              <w:rPr/>
              <w:t> </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shd w:fill="auto" w:val="clear"/>
            <w:vAlign w:val="bottom"/>
          </w:tcPr>
          <w:p>
            <w:pPr>
              <w:pStyle w:val="TableContents"/>
              <w:spacing w:before="0" w:after="0"/>
              <w:ind w:left="0" w:right="0" w:hanging="0"/>
              <w:jc w:val="right"/>
              <w:rPr/>
            </w:pPr>
            <w:r>
              <w:rPr/>
              <w:t xml:space="preserve">  </w:t>
            </w:r>
            <w:r>
              <w:rPr>
                <w:rFonts w:ascii="Times New Roman" w:hAnsi="Times New Roman"/>
                <w:sz w:val="17"/>
              </w:rPr>
              <w:t>215</w:t>
            </w:r>
          </w:p>
        </w:tc>
        <w:tc>
          <w:tcPr>
            <w:tcW w:w="182" w:type="dxa"/>
            <w:tcBorders/>
            <w:shd w:fill="auto" w:val="clear"/>
            <w:vAlign w:val="bottom"/>
          </w:tcPr>
          <w:p>
            <w:pPr>
              <w:pStyle w:val="TableContents"/>
              <w:spacing w:before="0" w:after="0"/>
              <w:ind w:left="0" w:right="0" w:hanging="0"/>
              <w:rPr/>
            </w:pPr>
            <w:r>
              <w:rPr/>
              <w:t> </w:t>
            </w:r>
          </w:p>
        </w:tc>
        <w:tc>
          <w:tcPr>
            <w:tcW w:w="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82" w:type="dxa"/>
            <w:tcBorders/>
            <w:shd w:fill="auto" w:val="clear"/>
            <w:vAlign w:val="bottom"/>
          </w:tcPr>
          <w:p>
            <w:pPr>
              <w:pStyle w:val="TableContents"/>
              <w:spacing w:before="0" w:after="0"/>
              <w:ind w:left="0" w:right="0" w:hanging="0"/>
              <w:rPr/>
            </w:pPr>
            <w:r>
              <w:rPr/>
              <w:t> </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426" w:type="dxa"/>
            <w:tcBorders/>
            <w:shd w:fill="auto" w:val="clear"/>
            <w:vAlign w:val="bottom"/>
          </w:tcPr>
          <w:p>
            <w:pPr>
              <w:pStyle w:val="TableContents"/>
              <w:spacing w:before="0" w:after="0"/>
              <w:ind w:left="0" w:right="0" w:hanging="0"/>
              <w:rPr/>
            </w:pPr>
            <w:r>
              <w:rPr/>
              <w:t> </w:t>
            </w:r>
          </w:p>
        </w:tc>
      </w:tr>
      <w:tr>
        <w:trPr/>
        <w:tc>
          <w:tcPr>
            <w:tcW w:w="32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Reconciliation of net income to net cash provided by operating activities:</w:t>
            </w:r>
          </w:p>
        </w:tc>
        <w:tc>
          <w:tcPr>
            <w:tcW w:w="166" w:type="dxa"/>
            <w:tcBorders/>
            <w:shd w:fill="CCEEFF" w:val="clear"/>
            <w:vAlign w:val="bottom"/>
          </w:tcPr>
          <w:p>
            <w:pPr>
              <w:pStyle w:val="TableContents"/>
              <w:spacing w:before="0" w:after="0"/>
              <w:ind w:left="0" w:right="0" w:hanging="0"/>
              <w:rPr/>
            </w:pPr>
            <w:r>
              <w:rPr/>
              <w:t> </w:t>
            </w:r>
          </w:p>
        </w:tc>
        <w:tc>
          <w:tcPr>
            <w:tcW w:w="805"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430"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131"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143" w:type="dxa"/>
            <w:gridSpan w:val="2"/>
            <w:tcBorders/>
            <w:shd w:fill="CCEEFF" w:val="clear"/>
            <w:vAlign w:val="bottom"/>
          </w:tcPr>
          <w:p>
            <w:pPr>
              <w:pStyle w:val="TableContents"/>
              <w:spacing w:before="0" w:after="0"/>
              <w:ind w:left="0" w:right="0" w:hanging="0"/>
              <w:jc w:val="right"/>
              <w:rPr/>
            </w:pPr>
            <w:r>
              <w:rPr/>
              <w:t> </w:t>
            </w:r>
          </w:p>
        </w:tc>
        <w:tc>
          <w:tcPr>
            <w:tcW w:w="426" w:type="dxa"/>
            <w:tcBorders/>
            <w:shd w:fill="CCEEFF" w:val="clear"/>
            <w:vAlign w:val="bottom"/>
          </w:tcPr>
          <w:p>
            <w:pPr>
              <w:pStyle w:val="TableContents"/>
              <w:spacing w:before="0" w:after="0"/>
              <w:ind w:left="0" w:right="0" w:hanging="0"/>
              <w:rPr/>
            </w:pPr>
            <w:r>
              <w:rPr/>
              <w:t> </w:t>
            </w:r>
          </w:p>
        </w:tc>
      </w:tr>
      <w:tr>
        <w:trPr/>
        <w:tc>
          <w:tcPr>
            <w:tcW w:w="3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66" w:type="dxa"/>
            <w:tcBorders/>
            <w:shd w:fill="auto" w:val="clear"/>
            <w:vAlign w:val="bottom"/>
          </w:tcPr>
          <w:p>
            <w:pPr>
              <w:pStyle w:val="TableContents"/>
              <w:spacing w:before="0" w:after="0"/>
              <w:ind w:left="0" w:right="0" w:hanging="0"/>
              <w:rPr/>
            </w:pPr>
            <w:r>
              <w:rPr/>
              <w:t> </w:t>
            </w:r>
          </w:p>
        </w:tc>
        <w:tc>
          <w:tcPr>
            <w:tcW w:w="8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82" w:type="dxa"/>
            <w:tcBorders/>
            <w:shd w:fill="auto" w:val="clear"/>
            <w:vAlign w:val="bottom"/>
          </w:tcPr>
          <w:p>
            <w:pPr>
              <w:pStyle w:val="TableContents"/>
              <w:spacing w:before="0" w:after="0"/>
              <w:ind w:left="0" w:right="0" w:hanging="0"/>
              <w:rPr/>
            </w:pPr>
            <w:r>
              <w:rPr/>
              <w:t> </w:t>
            </w:r>
          </w:p>
        </w:tc>
        <w:tc>
          <w:tcPr>
            <w:tcW w:w="14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82" w:type="dxa"/>
            <w:tcBorders/>
            <w:shd w:fill="auto" w:val="clear"/>
            <w:vAlign w:val="bottom"/>
          </w:tcPr>
          <w:p>
            <w:pPr>
              <w:pStyle w:val="TableContents"/>
              <w:spacing w:before="0" w:after="0"/>
              <w:ind w:left="0" w:right="0" w:hanging="0"/>
              <w:rPr/>
            </w:pPr>
            <w:r>
              <w:rPr/>
              <w:t> </w:t>
            </w:r>
          </w:p>
        </w:tc>
        <w:tc>
          <w:tcPr>
            <w:tcW w:w="11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11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426" w:type="dxa"/>
            <w:tcBorders/>
            <w:shd w:fill="auto" w:val="clear"/>
            <w:vAlign w:val="bottom"/>
          </w:tcPr>
          <w:p>
            <w:pPr>
              <w:pStyle w:val="TableContents"/>
              <w:spacing w:before="0" w:after="0"/>
              <w:ind w:left="0" w:right="0" w:hanging="0"/>
              <w:rPr/>
            </w:pPr>
            <w:r>
              <w:rPr/>
              <w:t> </w:t>
            </w:r>
          </w:p>
        </w:tc>
      </w:tr>
      <w:tr>
        <w:trPr/>
        <w:tc>
          <w:tcPr>
            <w:tcW w:w="32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charge</w:t>
            </w:r>
          </w:p>
        </w:tc>
        <w:tc>
          <w:tcPr>
            <w:tcW w:w="166" w:type="dxa"/>
            <w:tcBorders/>
            <w:shd w:fill="CCEEFF" w:val="clear"/>
            <w:vAlign w:val="bottom"/>
          </w:tcPr>
          <w:p>
            <w:pPr>
              <w:pStyle w:val="TableContents"/>
              <w:spacing w:before="0" w:after="0"/>
              <w:ind w:left="0" w:right="0" w:hanging="0"/>
              <w:rPr/>
            </w:pPr>
            <w:r>
              <w:rPr/>
              <w:t> </w:t>
            </w:r>
          </w:p>
        </w:tc>
        <w:tc>
          <w:tcPr>
            <w:tcW w:w="8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82" w:type="dxa"/>
            <w:tcBorders/>
            <w:shd w:fill="CCEEFF" w:val="clear"/>
            <w:vAlign w:val="bottom"/>
          </w:tcPr>
          <w:p>
            <w:pPr>
              <w:pStyle w:val="TableContents"/>
              <w:spacing w:before="0" w:after="0"/>
              <w:ind w:left="0" w:right="0" w:hanging="0"/>
              <w:rPr/>
            </w:pPr>
            <w:r>
              <w:rPr/>
              <w:t> </w:t>
            </w:r>
          </w:p>
        </w:tc>
        <w:tc>
          <w:tcPr>
            <w:tcW w:w="14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1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1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426" w:type="dxa"/>
            <w:tcBorders/>
            <w:shd w:fill="CCEEFF" w:val="clear"/>
            <w:vAlign w:val="bottom"/>
          </w:tcPr>
          <w:p>
            <w:pPr>
              <w:pStyle w:val="TableContents"/>
              <w:spacing w:before="0" w:after="0"/>
              <w:ind w:left="0" w:right="0" w:hanging="0"/>
              <w:rPr/>
            </w:pPr>
            <w:r>
              <w:rPr/>
              <w:t> </w:t>
            </w:r>
          </w:p>
        </w:tc>
      </w:tr>
      <w:tr>
        <w:trPr/>
        <w:tc>
          <w:tcPr>
            <w:tcW w:w="3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subsidiaries, net of distributions</w:t>
            </w:r>
          </w:p>
        </w:tc>
        <w:tc>
          <w:tcPr>
            <w:tcW w:w="166" w:type="dxa"/>
            <w:tcBorders/>
            <w:shd w:fill="auto" w:val="clear"/>
            <w:vAlign w:val="bottom"/>
          </w:tcPr>
          <w:p>
            <w:pPr>
              <w:pStyle w:val="TableContents"/>
              <w:spacing w:before="0" w:after="0"/>
              <w:ind w:left="0" w:right="0" w:hanging="0"/>
              <w:rPr/>
            </w:pPr>
            <w:r>
              <w:rPr/>
              <w:t> </w:t>
            </w:r>
          </w:p>
        </w:tc>
        <w:tc>
          <w:tcPr>
            <w:tcW w:w="8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1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181" w:type="dxa"/>
            <w:tcBorders/>
            <w:shd w:fill="auto" w:val="clear"/>
            <w:vAlign w:val="bottom"/>
          </w:tcPr>
          <w:p>
            <w:pPr>
              <w:pStyle w:val="TableContents"/>
              <w:spacing w:before="0" w:after="0"/>
              <w:ind w:left="0" w:right="0" w:hanging="0"/>
              <w:rPr/>
            </w:pPr>
            <w:r>
              <w:rPr/>
              <w:t> </w:t>
            </w:r>
          </w:p>
        </w:tc>
        <w:tc>
          <w:tcPr>
            <w:tcW w:w="11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26" w:type="dxa"/>
            <w:tcBorders/>
            <w:shd w:fill="auto" w:val="clear"/>
            <w:vAlign w:val="bottom"/>
          </w:tcPr>
          <w:p>
            <w:pPr>
              <w:pStyle w:val="TableContents"/>
              <w:spacing w:before="0" w:after="0"/>
              <w:ind w:left="0" w:right="0" w:hanging="0"/>
              <w:rPr/>
            </w:pPr>
            <w:r>
              <w:rPr/>
              <w:t> </w:t>
            </w:r>
          </w:p>
        </w:tc>
      </w:tr>
      <w:tr>
        <w:trPr/>
        <w:tc>
          <w:tcPr>
            <w:tcW w:w="32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66" w:type="dxa"/>
            <w:tcBorders/>
            <w:shd w:fill="CCEEFF" w:val="clear"/>
            <w:vAlign w:val="bottom"/>
          </w:tcPr>
          <w:p>
            <w:pPr>
              <w:pStyle w:val="TableContents"/>
              <w:spacing w:before="0" w:after="0"/>
              <w:ind w:left="0" w:right="0" w:hanging="0"/>
              <w:rPr/>
            </w:pPr>
            <w:r>
              <w:rPr/>
              <w:t> </w:t>
            </w:r>
          </w:p>
        </w:tc>
        <w:tc>
          <w:tcPr>
            <w:tcW w:w="8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1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1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4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Changes in assets and liabilities, net of acquisitions</w:t>
            </w:r>
          </w:p>
        </w:tc>
        <w:tc>
          <w:tcPr>
            <w:tcW w:w="166" w:type="dxa"/>
            <w:tcBorders/>
            <w:shd w:fill="auto" w:val="clear"/>
            <w:vAlign w:val="bottom"/>
          </w:tcPr>
          <w:p>
            <w:pPr>
              <w:pStyle w:val="TableContents"/>
              <w:spacing w:before="0" w:after="0"/>
              <w:ind w:left="0" w:right="0" w:hanging="0"/>
              <w:rPr/>
            </w:pPr>
            <w:r>
              <w:rPr/>
              <w:t> </w:t>
            </w:r>
          </w:p>
        </w:tc>
        <w:tc>
          <w:tcPr>
            <w:tcW w:w="8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182" w:type="dxa"/>
            <w:tcBorders/>
            <w:shd w:fill="auto" w:val="clear"/>
            <w:vAlign w:val="bottom"/>
          </w:tcPr>
          <w:p>
            <w:pPr>
              <w:pStyle w:val="TableContents"/>
              <w:spacing w:before="0" w:after="0"/>
              <w:ind w:left="0" w:right="0" w:hanging="0"/>
              <w:rPr/>
            </w:pPr>
            <w:r>
              <w:rPr/>
              <w:t> </w:t>
            </w:r>
          </w:p>
        </w:tc>
        <w:tc>
          <w:tcPr>
            <w:tcW w:w="11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2" w:type="dxa"/>
            <w:tcBorders/>
            <w:shd w:fill="auto" w:val="clear"/>
            <w:vAlign w:val="bottom"/>
          </w:tcPr>
          <w:p>
            <w:pPr>
              <w:pStyle w:val="TableContents"/>
              <w:spacing w:before="0" w:after="0"/>
              <w:ind w:left="0" w:right="0" w:hanging="0"/>
              <w:rPr/>
            </w:pPr>
            <w:r>
              <w:rPr/>
              <w:t> </w:t>
            </w:r>
          </w:p>
        </w:tc>
        <w:tc>
          <w:tcPr>
            <w:tcW w:w="113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114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426" w:type="dxa"/>
            <w:tcBorders/>
            <w:shd w:fill="auto" w:val="clear"/>
            <w:vAlign w:val="bottom"/>
          </w:tcPr>
          <w:p>
            <w:pPr>
              <w:pStyle w:val="TableContents"/>
              <w:spacing w:before="0" w:after="0"/>
              <w:ind w:left="0" w:right="0" w:hanging="0"/>
              <w:rPr/>
            </w:pPr>
            <w:r>
              <w:rPr/>
              <w:t> </w:t>
            </w:r>
          </w:p>
        </w:tc>
      </w:tr>
      <w:tr>
        <w:trPr/>
        <w:tc>
          <w:tcPr>
            <w:tcW w:w="32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 (used in) operating activities</w:t>
            </w:r>
          </w:p>
        </w:tc>
        <w:tc>
          <w:tcPr>
            <w:tcW w:w="166" w:type="dxa"/>
            <w:tcBorders/>
            <w:shd w:fill="CCEEFF" w:val="clear"/>
            <w:vAlign w:val="bottom"/>
          </w:tcPr>
          <w:p>
            <w:pPr>
              <w:pStyle w:val="TableContents"/>
              <w:spacing w:before="0" w:after="0"/>
              <w:ind w:left="0" w:right="0" w:hanging="0"/>
              <w:rPr/>
            </w:pPr>
            <w:r>
              <w:rPr/>
              <w:t> </w:t>
            </w:r>
          </w:p>
        </w:tc>
        <w:tc>
          <w:tcPr>
            <w:tcW w:w="8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w:t>
            </w:r>
          </w:p>
        </w:tc>
        <w:tc>
          <w:tcPr>
            <w:tcW w:w="18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82" w:type="dxa"/>
            <w:tcBorders/>
            <w:shd w:fill="CCEEFF" w:val="clear"/>
            <w:vAlign w:val="bottom"/>
          </w:tcPr>
          <w:p>
            <w:pPr>
              <w:pStyle w:val="TableContents"/>
              <w:spacing w:before="0" w:after="0"/>
              <w:ind w:left="0" w:right="0" w:hanging="0"/>
              <w:rPr/>
            </w:pPr>
            <w:r>
              <w:rPr/>
              <w:t> </w:t>
            </w:r>
          </w:p>
        </w:tc>
        <w:tc>
          <w:tcPr>
            <w:tcW w:w="14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82" w:type="dxa"/>
            <w:tcBorders/>
            <w:shd w:fill="CCEEFF" w:val="clear"/>
            <w:vAlign w:val="bottom"/>
          </w:tcPr>
          <w:p>
            <w:pPr>
              <w:pStyle w:val="TableContents"/>
              <w:spacing w:before="0" w:after="0"/>
              <w:ind w:left="0" w:right="0" w:hanging="0"/>
              <w:rPr/>
            </w:pPr>
            <w:r>
              <w:rPr/>
              <w:t> </w:t>
            </w:r>
          </w:p>
        </w:tc>
        <w:tc>
          <w:tcPr>
            <w:tcW w:w="11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1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391</w:t>
            </w:r>
          </w:p>
        </w:tc>
        <w:tc>
          <w:tcPr>
            <w:tcW w:w="426" w:type="dxa"/>
            <w:tcBorders/>
            <w:shd w:fill="CCEEFF" w:val="clear"/>
            <w:vAlign w:val="bottom"/>
          </w:tcPr>
          <w:p>
            <w:pPr>
              <w:pStyle w:val="TableContents"/>
              <w:spacing w:before="0" w:after="0"/>
              <w:ind w:left="0" w:right="0" w:hanging="0"/>
              <w:rPr/>
            </w:pPr>
            <w:r>
              <w:rPr/>
              <w:t> </w:t>
            </w:r>
          </w:p>
        </w:tc>
      </w:tr>
      <w:tr>
        <w:trPr/>
        <w:tc>
          <w:tcPr>
            <w:tcW w:w="3271"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pPr>
            <w:r>
              <w:rPr/>
              <w:t> </w:t>
            </w:r>
          </w:p>
        </w:tc>
        <w:tc>
          <w:tcPr>
            <w:tcW w:w="805"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c>
          <w:tcPr>
            <w:tcW w:w="1430"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c>
          <w:tcPr>
            <w:tcW w:w="113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43" w:type="dxa"/>
            <w:gridSpan w:val="2"/>
            <w:tcBorders/>
            <w:shd w:fill="auto" w:val="clear"/>
            <w:vAlign w:val="bottom"/>
          </w:tcPr>
          <w:p>
            <w:pPr>
              <w:pStyle w:val="TableContents"/>
              <w:spacing w:before="0" w:after="0"/>
              <w:ind w:left="0" w:right="0" w:hanging="0"/>
              <w:jc w:val="right"/>
              <w:rPr/>
            </w:pPr>
            <w:r>
              <w:rPr/>
              <w:t> </w:t>
            </w:r>
          </w:p>
        </w:tc>
        <w:tc>
          <w:tcPr>
            <w:tcW w:w="426" w:type="dxa"/>
            <w:tcBorders/>
            <w:shd w:fill="auto" w:val="clear"/>
            <w:vAlign w:val="bottom"/>
          </w:tcPr>
          <w:p>
            <w:pPr>
              <w:pStyle w:val="TableContents"/>
              <w:spacing w:before="0" w:after="0"/>
              <w:ind w:left="0" w:right="0" w:hanging="0"/>
              <w:rPr/>
            </w:pPr>
            <w:r>
              <w:rPr/>
              <w:t> </w:t>
            </w:r>
          </w:p>
        </w:tc>
      </w:tr>
      <w:tr>
        <w:trPr/>
        <w:tc>
          <w:tcPr>
            <w:tcW w:w="327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INVESTING ACTIVITIES</w:t>
            </w:r>
          </w:p>
        </w:tc>
        <w:tc>
          <w:tcPr>
            <w:tcW w:w="166" w:type="dxa"/>
            <w:tcBorders/>
            <w:shd w:fill="CCEEFF" w:val="clear"/>
            <w:vAlign w:val="bottom"/>
          </w:tcPr>
          <w:p>
            <w:pPr>
              <w:pStyle w:val="TableContents"/>
              <w:spacing w:before="0" w:after="0"/>
              <w:ind w:left="0" w:right="0" w:hanging="0"/>
              <w:rPr/>
            </w:pPr>
            <w:r>
              <w:rPr/>
              <w:t> </w:t>
            </w:r>
          </w:p>
        </w:tc>
        <w:tc>
          <w:tcPr>
            <w:tcW w:w="805"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430"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131"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143" w:type="dxa"/>
            <w:gridSpan w:val="2"/>
            <w:tcBorders/>
            <w:shd w:fill="CCEEFF" w:val="clear"/>
            <w:vAlign w:val="bottom"/>
          </w:tcPr>
          <w:p>
            <w:pPr>
              <w:pStyle w:val="TableContents"/>
              <w:spacing w:before="0" w:after="0"/>
              <w:ind w:left="0" w:right="0" w:hanging="0"/>
              <w:jc w:val="right"/>
              <w:rPr/>
            </w:pPr>
            <w:r>
              <w:rPr/>
              <w:t> </w:t>
            </w:r>
          </w:p>
        </w:tc>
        <w:tc>
          <w:tcPr>
            <w:tcW w:w="426" w:type="dxa"/>
            <w:tcBorders/>
            <w:shd w:fill="CCEEFF" w:val="clear"/>
            <w:vAlign w:val="bottom"/>
          </w:tcPr>
          <w:p>
            <w:pPr>
              <w:pStyle w:val="TableContents"/>
              <w:spacing w:before="0" w:after="0"/>
              <w:ind w:left="0" w:right="0" w:hanging="0"/>
              <w:rPr/>
            </w:pPr>
            <w:r>
              <w:rPr/>
              <w:t> </w:t>
            </w:r>
          </w:p>
        </w:tc>
      </w:tr>
      <w:tr>
        <w:trPr/>
        <w:tc>
          <w:tcPr>
            <w:tcW w:w="3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Additions to property, equipment and other</w:t>
            </w:r>
          </w:p>
        </w:tc>
        <w:tc>
          <w:tcPr>
            <w:tcW w:w="166" w:type="dxa"/>
            <w:tcBorders/>
            <w:shd w:fill="auto" w:val="clear"/>
            <w:vAlign w:val="bottom"/>
          </w:tcPr>
          <w:p>
            <w:pPr>
              <w:pStyle w:val="TableContents"/>
              <w:spacing w:before="0" w:after="0"/>
              <w:ind w:left="0" w:right="0" w:hanging="0"/>
              <w:rPr/>
            </w:pPr>
            <w:r>
              <w:rPr/>
              <w:t> </w:t>
            </w:r>
          </w:p>
        </w:tc>
        <w:tc>
          <w:tcPr>
            <w:tcW w:w="8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11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4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cash received for linefill </w:t>
            </w:r>
          </w:p>
        </w:tc>
        <w:tc>
          <w:tcPr>
            <w:tcW w:w="166" w:type="dxa"/>
            <w:tcBorders/>
            <w:shd w:fill="CCEEFF" w:val="clear"/>
            <w:vAlign w:val="bottom"/>
          </w:tcPr>
          <w:p>
            <w:pPr>
              <w:pStyle w:val="TableContents"/>
              <w:spacing w:before="0" w:after="0"/>
              <w:ind w:left="0" w:right="0" w:hanging="0"/>
              <w:rPr/>
            </w:pPr>
            <w:r>
              <w:rPr/>
              <w:t> </w:t>
            </w:r>
          </w:p>
        </w:tc>
        <w:tc>
          <w:tcPr>
            <w:tcW w:w="8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1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1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4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the sale of assets and other</w:t>
            </w:r>
          </w:p>
        </w:tc>
        <w:tc>
          <w:tcPr>
            <w:tcW w:w="166" w:type="dxa"/>
            <w:tcBorders/>
            <w:shd w:fill="auto" w:val="clear"/>
            <w:vAlign w:val="bottom"/>
          </w:tcPr>
          <w:p>
            <w:pPr>
              <w:pStyle w:val="TableContents"/>
              <w:spacing w:before="0" w:after="0"/>
              <w:ind w:left="0" w:right="0" w:hanging="0"/>
              <w:rPr/>
            </w:pPr>
            <w:r>
              <w:rPr/>
              <w:t> </w:t>
            </w:r>
          </w:p>
        </w:tc>
        <w:tc>
          <w:tcPr>
            <w:tcW w:w="8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1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2" w:type="dxa"/>
            <w:tcBorders/>
            <w:shd w:fill="auto" w:val="clear"/>
            <w:vAlign w:val="bottom"/>
          </w:tcPr>
          <w:p>
            <w:pPr>
              <w:pStyle w:val="TableContents"/>
              <w:spacing w:before="0" w:after="0"/>
              <w:ind w:left="0" w:right="0" w:hanging="0"/>
              <w:rPr/>
            </w:pPr>
            <w:r>
              <w:rPr/>
              <w:t> </w:t>
            </w:r>
          </w:p>
        </w:tc>
        <w:tc>
          <w:tcPr>
            <w:tcW w:w="14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13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114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426" w:type="dxa"/>
            <w:tcBorders/>
            <w:shd w:fill="auto" w:val="clear"/>
            <w:vAlign w:val="bottom"/>
          </w:tcPr>
          <w:p>
            <w:pPr>
              <w:pStyle w:val="TableContents"/>
              <w:spacing w:before="0" w:after="0"/>
              <w:ind w:left="0" w:right="0" w:hanging="0"/>
              <w:rPr/>
            </w:pPr>
            <w:r>
              <w:rPr/>
              <w:t> </w:t>
            </w:r>
          </w:p>
        </w:tc>
      </w:tr>
      <w:tr>
        <w:trPr/>
        <w:tc>
          <w:tcPr>
            <w:tcW w:w="32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used in investing activities</w:t>
            </w:r>
          </w:p>
        </w:tc>
        <w:tc>
          <w:tcPr>
            <w:tcW w:w="166" w:type="dxa"/>
            <w:tcBorders/>
            <w:shd w:fill="CCEEFF" w:val="clear"/>
            <w:vAlign w:val="bottom"/>
          </w:tcPr>
          <w:p>
            <w:pPr>
              <w:pStyle w:val="TableContents"/>
              <w:spacing w:before="0" w:after="0"/>
              <w:ind w:left="0" w:right="0" w:hanging="0"/>
              <w:rPr/>
            </w:pPr>
            <w:r>
              <w:rPr/>
              <w:t> </w:t>
            </w:r>
          </w:p>
        </w:tc>
        <w:tc>
          <w:tcPr>
            <w:tcW w:w="8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1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4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71"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pPr>
            <w:r>
              <w:rPr/>
              <w:t> </w:t>
            </w:r>
          </w:p>
        </w:tc>
        <w:tc>
          <w:tcPr>
            <w:tcW w:w="805"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c>
          <w:tcPr>
            <w:tcW w:w="1430"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c>
          <w:tcPr>
            <w:tcW w:w="113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43" w:type="dxa"/>
            <w:gridSpan w:val="2"/>
            <w:tcBorders/>
            <w:shd w:fill="auto" w:val="clear"/>
            <w:vAlign w:val="bottom"/>
          </w:tcPr>
          <w:p>
            <w:pPr>
              <w:pStyle w:val="TableContents"/>
              <w:spacing w:before="0" w:after="0"/>
              <w:ind w:left="0" w:right="0" w:hanging="0"/>
              <w:jc w:val="right"/>
              <w:rPr/>
            </w:pPr>
            <w:r>
              <w:rPr/>
              <w:t> </w:t>
            </w:r>
          </w:p>
        </w:tc>
        <w:tc>
          <w:tcPr>
            <w:tcW w:w="426" w:type="dxa"/>
            <w:tcBorders/>
            <w:shd w:fill="auto" w:val="clear"/>
            <w:vAlign w:val="bottom"/>
          </w:tcPr>
          <w:p>
            <w:pPr>
              <w:pStyle w:val="TableContents"/>
              <w:spacing w:before="0" w:after="0"/>
              <w:ind w:left="0" w:right="0" w:hanging="0"/>
              <w:rPr/>
            </w:pPr>
            <w:r>
              <w:rPr/>
              <w:t> </w:t>
            </w:r>
          </w:p>
        </w:tc>
      </w:tr>
      <w:tr>
        <w:trPr/>
        <w:tc>
          <w:tcPr>
            <w:tcW w:w="327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FINANCING ACTIVITIES</w:t>
            </w:r>
          </w:p>
        </w:tc>
        <w:tc>
          <w:tcPr>
            <w:tcW w:w="166" w:type="dxa"/>
            <w:tcBorders/>
            <w:shd w:fill="CCEEFF" w:val="clear"/>
            <w:vAlign w:val="bottom"/>
          </w:tcPr>
          <w:p>
            <w:pPr>
              <w:pStyle w:val="TableContents"/>
              <w:spacing w:before="0" w:after="0"/>
              <w:ind w:left="0" w:right="0" w:hanging="0"/>
              <w:rPr/>
            </w:pPr>
            <w:r>
              <w:rPr/>
              <w:t> </w:t>
            </w:r>
          </w:p>
        </w:tc>
        <w:tc>
          <w:tcPr>
            <w:tcW w:w="805"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430"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131"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143" w:type="dxa"/>
            <w:gridSpan w:val="2"/>
            <w:tcBorders/>
            <w:shd w:fill="CCEEFF" w:val="clear"/>
            <w:vAlign w:val="bottom"/>
          </w:tcPr>
          <w:p>
            <w:pPr>
              <w:pStyle w:val="TableContents"/>
              <w:spacing w:before="0" w:after="0"/>
              <w:ind w:left="0" w:right="0" w:hanging="0"/>
              <w:jc w:val="right"/>
              <w:rPr/>
            </w:pPr>
            <w:r>
              <w:rPr/>
              <w:t> </w:t>
            </w:r>
          </w:p>
        </w:tc>
        <w:tc>
          <w:tcPr>
            <w:tcW w:w="426" w:type="dxa"/>
            <w:tcBorders/>
            <w:shd w:fill="CCEEFF" w:val="clear"/>
            <w:vAlign w:val="bottom"/>
          </w:tcPr>
          <w:p>
            <w:pPr>
              <w:pStyle w:val="TableContents"/>
              <w:spacing w:before="0" w:after="0"/>
              <w:ind w:left="0" w:right="0" w:hanging="0"/>
              <w:rPr/>
            </w:pPr>
            <w:r>
              <w:rPr/>
              <w:t> </w:t>
            </w:r>
          </w:p>
        </w:tc>
      </w:tr>
      <w:tr>
        <w:trPr/>
        <w:tc>
          <w:tcPr>
            <w:tcW w:w="3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repayments on revolving credit facility</w:t>
            </w:r>
          </w:p>
        </w:tc>
        <w:tc>
          <w:tcPr>
            <w:tcW w:w="166" w:type="dxa"/>
            <w:tcBorders/>
            <w:shd w:fill="auto" w:val="clear"/>
            <w:vAlign w:val="bottom"/>
          </w:tcPr>
          <w:p>
            <w:pPr>
              <w:pStyle w:val="TableContents"/>
              <w:spacing w:before="0" w:after="0"/>
              <w:ind w:left="0" w:right="0" w:hanging="0"/>
              <w:rPr/>
            </w:pPr>
            <w:r>
              <w:rPr/>
              <w:t> </w:t>
            </w:r>
          </w:p>
        </w:tc>
        <w:tc>
          <w:tcPr>
            <w:tcW w:w="8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1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11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(227</w:t>
            </w:r>
          </w:p>
        </w:tc>
        <w:tc>
          <w:tcPr>
            <w:tcW w:w="4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repayments on short-term letter of credit and hedged inventory facility</w:t>
            </w:r>
          </w:p>
        </w:tc>
        <w:tc>
          <w:tcPr>
            <w:tcW w:w="166" w:type="dxa"/>
            <w:tcBorders/>
            <w:shd w:fill="CCEEFF" w:val="clear"/>
            <w:vAlign w:val="bottom"/>
          </w:tcPr>
          <w:p>
            <w:pPr>
              <w:pStyle w:val="TableContents"/>
              <w:spacing w:before="0" w:after="0"/>
              <w:ind w:left="0" w:right="0" w:hanging="0"/>
              <w:rPr/>
            </w:pPr>
            <w:r>
              <w:rPr/>
              <w:t> </w:t>
            </w:r>
          </w:p>
        </w:tc>
        <w:tc>
          <w:tcPr>
            <w:tcW w:w="8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82" w:type="dxa"/>
            <w:tcBorders/>
            <w:shd w:fill="CCEEFF" w:val="clear"/>
            <w:vAlign w:val="bottom"/>
          </w:tcPr>
          <w:p>
            <w:pPr>
              <w:pStyle w:val="TableContents"/>
              <w:spacing w:before="0" w:after="0"/>
              <w:ind w:left="0" w:right="0" w:hanging="0"/>
              <w:rPr/>
            </w:pPr>
            <w:r>
              <w:rPr/>
              <w:t> </w:t>
            </w:r>
          </w:p>
        </w:tc>
        <w:tc>
          <w:tcPr>
            <w:tcW w:w="14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1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1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426" w:type="dxa"/>
            <w:tcBorders/>
            <w:shd w:fill="CCEEFF" w:val="clear"/>
            <w:vAlign w:val="bottom"/>
          </w:tcPr>
          <w:p>
            <w:pPr>
              <w:pStyle w:val="TableContents"/>
              <w:spacing w:before="0" w:after="0"/>
              <w:ind w:left="0" w:right="0" w:hanging="0"/>
              <w:rPr/>
            </w:pPr>
            <w:r>
              <w:rPr/>
              <w:t> </w:t>
            </w:r>
          </w:p>
        </w:tc>
      </w:tr>
      <w:tr>
        <w:trPr/>
        <w:tc>
          <w:tcPr>
            <w:tcW w:w="3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common unitholders and general partner</w:t>
            </w:r>
          </w:p>
        </w:tc>
        <w:tc>
          <w:tcPr>
            <w:tcW w:w="166" w:type="dxa"/>
            <w:tcBorders/>
            <w:shd w:fill="auto" w:val="clear"/>
            <w:vAlign w:val="bottom"/>
          </w:tcPr>
          <w:p>
            <w:pPr>
              <w:pStyle w:val="TableContents"/>
              <w:spacing w:before="0" w:after="0"/>
              <w:ind w:left="0" w:right="0" w:hanging="0"/>
              <w:rPr/>
            </w:pPr>
            <w:r>
              <w:rPr/>
              <w:t> </w:t>
            </w:r>
          </w:p>
        </w:tc>
        <w:tc>
          <w:tcPr>
            <w:tcW w:w="8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4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1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11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4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financing activities</w:t>
            </w:r>
          </w:p>
        </w:tc>
        <w:tc>
          <w:tcPr>
            <w:tcW w:w="166" w:type="dxa"/>
            <w:tcBorders/>
            <w:shd w:fill="CCEEFF" w:val="clear"/>
            <w:vAlign w:val="bottom"/>
          </w:tcPr>
          <w:p>
            <w:pPr>
              <w:pStyle w:val="TableContents"/>
              <w:spacing w:before="0" w:after="0"/>
              <w:ind w:left="0" w:right="0" w:hanging="0"/>
              <w:rPr/>
            </w:pPr>
            <w:r>
              <w:rPr/>
              <w:t> </w:t>
            </w:r>
          </w:p>
        </w:tc>
        <w:tc>
          <w:tcPr>
            <w:tcW w:w="8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1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2" w:type="dxa"/>
            <w:tcBorders/>
            <w:shd w:fill="CCEEFF" w:val="clear"/>
            <w:vAlign w:val="bottom"/>
          </w:tcPr>
          <w:p>
            <w:pPr>
              <w:pStyle w:val="TableContents"/>
              <w:spacing w:before="0" w:after="0"/>
              <w:ind w:left="0" w:right="0" w:hanging="0"/>
              <w:rPr/>
            </w:pPr>
            <w:r>
              <w:rPr/>
              <w:t> </w:t>
            </w:r>
          </w:p>
        </w:tc>
        <w:tc>
          <w:tcPr>
            <w:tcW w:w="143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13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14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426" w:type="dxa"/>
            <w:tcBorders/>
            <w:shd w:fill="CCEEFF" w:val="clear"/>
            <w:vAlign w:val="bottom"/>
          </w:tcPr>
          <w:p>
            <w:pPr>
              <w:pStyle w:val="TableContents"/>
              <w:spacing w:before="0" w:after="0"/>
              <w:ind w:left="0" w:right="0" w:hanging="0"/>
              <w:rPr/>
            </w:pPr>
            <w:r>
              <w:rPr/>
              <w:t> </w:t>
            </w:r>
          </w:p>
        </w:tc>
      </w:tr>
      <w:tr>
        <w:trPr/>
        <w:tc>
          <w:tcPr>
            <w:tcW w:w="3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 (used in) financing activities</w:t>
            </w:r>
          </w:p>
        </w:tc>
        <w:tc>
          <w:tcPr>
            <w:tcW w:w="166" w:type="dxa"/>
            <w:tcBorders/>
            <w:shd w:fill="auto" w:val="clear"/>
            <w:vAlign w:val="bottom"/>
          </w:tcPr>
          <w:p>
            <w:pPr>
              <w:pStyle w:val="TableContents"/>
              <w:spacing w:before="0" w:after="0"/>
              <w:ind w:left="0" w:right="0" w:hanging="0"/>
              <w:rPr/>
            </w:pPr>
            <w:r>
              <w:rPr/>
              <w:t> </w:t>
            </w:r>
          </w:p>
        </w:tc>
        <w:tc>
          <w:tcPr>
            <w:tcW w:w="8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82" w:type="dxa"/>
            <w:tcBorders/>
            <w:shd w:fill="auto" w:val="clear"/>
            <w:vAlign w:val="bottom"/>
          </w:tcPr>
          <w:p>
            <w:pPr>
              <w:pStyle w:val="TableContents"/>
              <w:spacing w:before="0" w:after="0"/>
              <w:ind w:left="0" w:right="0" w:hanging="0"/>
              <w:rPr/>
            </w:pPr>
            <w:r>
              <w:rPr/>
              <w:t> </w:t>
            </w:r>
          </w:p>
        </w:tc>
        <w:tc>
          <w:tcPr>
            <w:tcW w:w="14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1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11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4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71" w:type="dxa"/>
            <w:tcBorders/>
            <w:shd w:fill="CCEEFF" w:val="clear"/>
            <w:vAlign w:val="bottom"/>
          </w:tcPr>
          <w:p>
            <w:pPr>
              <w:pStyle w:val="TableContents"/>
              <w:spacing w:before="0" w:after="0"/>
              <w:ind w:left="0" w:right="0" w:hanging="0"/>
              <w:rPr/>
            </w:pPr>
            <w:r>
              <w:rPr/>
              <w:t> </w:t>
            </w:r>
          </w:p>
        </w:tc>
        <w:tc>
          <w:tcPr>
            <w:tcW w:w="166" w:type="dxa"/>
            <w:tcBorders/>
            <w:shd w:fill="CCEEFF" w:val="clear"/>
            <w:vAlign w:val="bottom"/>
          </w:tcPr>
          <w:p>
            <w:pPr>
              <w:pStyle w:val="TableContents"/>
              <w:spacing w:before="0" w:after="0"/>
              <w:ind w:left="0" w:right="0" w:hanging="0"/>
              <w:rPr/>
            </w:pPr>
            <w:r>
              <w:rPr/>
              <w:t> </w:t>
            </w:r>
          </w:p>
        </w:tc>
        <w:tc>
          <w:tcPr>
            <w:tcW w:w="805"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430"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131"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143" w:type="dxa"/>
            <w:gridSpan w:val="2"/>
            <w:tcBorders/>
            <w:shd w:fill="CCEEFF" w:val="clear"/>
            <w:vAlign w:val="bottom"/>
          </w:tcPr>
          <w:p>
            <w:pPr>
              <w:pStyle w:val="TableContents"/>
              <w:spacing w:before="0" w:after="0"/>
              <w:ind w:left="0" w:right="0" w:hanging="0"/>
              <w:jc w:val="right"/>
              <w:rPr/>
            </w:pPr>
            <w:r>
              <w:rPr/>
              <w:t> </w:t>
            </w:r>
          </w:p>
        </w:tc>
        <w:tc>
          <w:tcPr>
            <w:tcW w:w="426" w:type="dxa"/>
            <w:tcBorders/>
            <w:shd w:fill="CCEEFF" w:val="clear"/>
            <w:vAlign w:val="bottom"/>
          </w:tcPr>
          <w:p>
            <w:pPr>
              <w:pStyle w:val="TableContents"/>
              <w:spacing w:before="0" w:after="0"/>
              <w:ind w:left="0" w:right="0" w:hanging="0"/>
              <w:rPr/>
            </w:pPr>
            <w:r>
              <w:rPr/>
              <w:t> </w:t>
            </w:r>
          </w:p>
        </w:tc>
      </w:tr>
      <w:tr>
        <w:trPr/>
        <w:tc>
          <w:tcPr>
            <w:tcW w:w="3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increase/(decrease) in cash and cash equivalents</w:t>
            </w:r>
          </w:p>
        </w:tc>
        <w:tc>
          <w:tcPr>
            <w:tcW w:w="166" w:type="dxa"/>
            <w:tcBorders/>
            <w:shd w:fill="auto" w:val="clear"/>
            <w:vAlign w:val="bottom"/>
          </w:tcPr>
          <w:p>
            <w:pPr>
              <w:pStyle w:val="TableContents"/>
              <w:spacing w:before="0" w:after="0"/>
              <w:ind w:left="0" w:right="0" w:hanging="0"/>
              <w:rPr/>
            </w:pPr>
            <w:r>
              <w:rPr/>
              <w:t> </w:t>
            </w:r>
          </w:p>
        </w:tc>
        <w:tc>
          <w:tcPr>
            <w:tcW w:w="8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2" w:type="dxa"/>
            <w:tcBorders/>
            <w:shd w:fill="auto" w:val="clear"/>
            <w:vAlign w:val="bottom"/>
          </w:tcPr>
          <w:p>
            <w:pPr>
              <w:pStyle w:val="TableContents"/>
              <w:spacing w:before="0" w:after="0"/>
              <w:ind w:left="0" w:right="0" w:hanging="0"/>
              <w:rPr/>
            </w:pPr>
            <w:r>
              <w:rPr/>
              <w:t> </w:t>
            </w:r>
          </w:p>
        </w:tc>
        <w:tc>
          <w:tcPr>
            <w:tcW w:w="11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11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4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beginning of period</w:t>
            </w:r>
          </w:p>
        </w:tc>
        <w:tc>
          <w:tcPr>
            <w:tcW w:w="166" w:type="dxa"/>
            <w:tcBorders/>
            <w:shd w:fill="CCEEFF" w:val="clear"/>
            <w:vAlign w:val="bottom"/>
          </w:tcPr>
          <w:p>
            <w:pPr>
              <w:pStyle w:val="TableContents"/>
              <w:spacing w:before="0" w:after="0"/>
              <w:ind w:left="0" w:right="0" w:hanging="0"/>
              <w:rPr/>
            </w:pPr>
            <w:r>
              <w:rPr/>
              <w:t> </w:t>
            </w:r>
          </w:p>
        </w:tc>
        <w:tc>
          <w:tcPr>
            <w:tcW w:w="8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2" w:type="dxa"/>
            <w:tcBorders/>
            <w:shd w:fill="CCEEFF" w:val="clear"/>
            <w:vAlign w:val="bottom"/>
          </w:tcPr>
          <w:p>
            <w:pPr>
              <w:pStyle w:val="TableContents"/>
              <w:spacing w:before="0" w:after="0"/>
              <w:ind w:left="0" w:right="0" w:hanging="0"/>
              <w:rPr/>
            </w:pPr>
            <w:r>
              <w:rPr/>
              <w:t> </w:t>
            </w:r>
          </w:p>
        </w:tc>
        <w:tc>
          <w:tcPr>
            <w:tcW w:w="11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82" w:type="dxa"/>
            <w:tcBorders/>
            <w:shd w:fill="CCEEFF" w:val="clear"/>
            <w:vAlign w:val="bottom"/>
          </w:tcPr>
          <w:p>
            <w:pPr>
              <w:pStyle w:val="TableContents"/>
              <w:spacing w:before="0" w:after="0"/>
              <w:ind w:left="0" w:right="0" w:hanging="0"/>
              <w:rPr/>
            </w:pPr>
            <w:r>
              <w:rPr/>
              <w:t> </w:t>
            </w:r>
          </w:p>
        </w:tc>
        <w:tc>
          <w:tcPr>
            <w:tcW w:w="143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2" w:type="dxa"/>
            <w:tcBorders/>
            <w:shd w:fill="CCEEFF" w:val="clear"/>
            <w:vAlign w:val="bottom"/>
          </w:tcPr>
          <w:p>
            <w:pPr>
              <w:pStyle w:val="TableContents"/>
              <w:spacing w:before="0" w:after="0"/>
              <w:ind w:left="0" w:right="0" w:hanging="0"/>
              <w:rPr/>
            </w:pPr>
            <w:r>
              <w:rPr/>
              <w:t> </w:t>
            </w:r>
          </w:p>
        </w:tc>
        <w:tc>
          <w:tcPr>
            <w:tcW w:w="113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14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426" w:type="dxa"/>
            <w:tcBorders/>
            <w:shd w:fill="CCEEFF" w:val="clear"/>
            <w:vAlign w:val="bottom"/>
          </w:tcPr>
          <w:p>
            <w:pPr>
              <w:pStyle w:val="TableContents"/>
              <w:spacing w:before="0" w:after="0"/>
              <w:ind w:left="0" w:right="0" w:hanging="0"/>
              <w:rPr/>
            </w:pPr>
            <w:r>
              <w:rPr/>
              <w:t> </w:t>
            </w:r>
          </w:p>
        </w:tc>
      </w:tr>
      <w:tr>
        <w:trPr/>
        <w:tc>
          <w:tcPr>
            <w:tcW w:w="3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end of period</w:t>
            </w:r>
          </w:p>
        </w:tc>
        <w:tc>
          <w:tcPr>
            <w:tcW w:w="166" w:type="dxa"/>
            <w:tcBorders/>
            <w:shd w:fill="auto" w:val="clear"/>
            <w:vAlign w:val="bottom"/>
          </w:tcPr>
          <w:p>
            <w:pPr>
              <w:pStyle w:val="TableContents"/>
              <w:spacing w:before="0" w:after="0"/>
              <w:ind w:left="0" w:right="0" w:hanging="0"/>
              <w:rPr/>
            </w:pPr>
            <w:r>
              <w:rPr/>
              <w:t> </w:t>
            </w:r>
          </w:p>
        </w:tc>
        <w:tc>
          <w:tcPr>
            <w:tcW w:w="14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2" w:type="dxa"/>
            <w:tcBorders/>
            <w:shd w:fill="auto" w:val="clear"/>
            <w:vAlign w:val="bottom"/>
          </w:tcPr>
          <w:p>
            <w:pPr>
              <w:pStyle w:val="TableContents"/>
              <w:spacing w:before="0" w:after="0"/>
              <w:ind w:left="0" w:right="0" w:hanging="0"/>
              <w:rPr/>
            </w:pPr>
            <w:r>
              <w:rPr/>
              <w:t> </w:t>
            </w:r>
          </w:p>
        </w:tc>
        <w:tc>
          <w:tcPr>
            <w:tcW w:w="2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2" w:type="dxa"/>
            <w:tcBorders/>
            <w:shd w:fill="auto" w:val="clear"/>
            <w:vAlign w:val="bottom"/>
          </w:tcPr>
          <w:p>
            <w:pPr>
              <w:pStyle w:val="TableContents"/>
              <w:spacing w:before="0" w:after="0"/>
              <w:ind w:left="0" w:right="0" w:hanging="0"/>
              <w:rPr/>
            </w:pPr>
            <w:r>
              <w:rPr/>
              <w:t> </w:t>
            </w:r>
          </w:p>
        </w:tc>
        <w:tc>
          <w:tcPr>
            <w:tcW w:w="3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2" w:type="dxa"/>
            <w:tcBorders/>
            <w:shd w:fill="auto" w:val="clear"/>
            <w:vAlign w:val="bottom"/>
          </w:tcPr>
          <w:p>
            <w:pPr>
              <w:pStyle w:val="TableContents"/>
              <w:spacing w:before="0" w:after="0"/>
              <w:ind w:left="0" w:right="0" w:hanging="0"/>
              <w:rPr/>
            </w:pPr>
            <w:r>
              <w:rPr/>
              <w:t> </w:t>
            </w:r>
          </w:p>
        </w:tc>
        <w:tc>
          <w:tcPr>
            <w:tcW w:w="2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24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42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29</w:t>
      </w:r>
      <w:bookmarkStart w:id="52" w:name="PB_29_150806_7906"/>
      <w:bookmarkEnd w:id="5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Condensed Consolidating Statements of Cash Flows (continued)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79"/>
        <w:gridCol w:w="177"/>
        <w:gridCol w:w="155"/>
        <w:gridCol w:w="756"/>
        <w:gridCol w:w="193"/>
        <w:gridCol w:w="235"/>
        <w:gridCol w:w="970"/>
        <w:gridCol w:w="193"/>
        <w:gridCol w:w="339"/>
        <w:gridCol w:w="1013"/>
        <w:gridCol w:w="193"/>
        <w:gridCol w:w="220"/>
        <w:gridCol w:w="1010"/>
        <w:gridCol w:w="193"/>
        <w:gridCol w:w="247"/>
        <w:gridCol w:w="994"/>
        <w:gridCol w:w="138"/>
      </w:tblGrid>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6711"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March 31, 2009</w:t>
            </w:r>
          </w:p>
        </w:tc>
        <w:tc>
          <w:tcPr>
            <w:tcW w:w="138" w:type="dxa"/>
            <w:tcBorders/>
            <w:shd w:fill="auto" w:val="clear"/>
            <w:vAlign w:val="bottom"/>
          </w:tcPr>
          <w:p>
            <w:pPr>
              <w:pStyle w:val="TableContents"/>
              <w:spacing w:before="0" w:after="0"/>
              <w:ind w:left="0" w:right="0" w:hanging="0"/>
              <w:jc w:val="center"/>
              <w:rPr/>
            </w:pPr>
            <w:r>
              <w:rPr/>
              <w:t> </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911" w:type="dxa"/>
            <w:gridSpan w:val="2"/>
            <w:tcBorders/>
            <w:shd w:fill="auto" w:val="clear"/>
            <w:vAlign w:val="bottom"/>
          </w:tcPr>
          <w:p>
            <w:pPr>
              <w:pStyle w:val="TableContents"/>
              <w:spacing w:before="0" w:after="0"/>
              <w:ind w:left="0" w:right="0" w:hanging="0"/>
              <w:jc w:val="center"/>
              <w:rPr/>
            </w:pPr>
            <w:r>
              <w:rPr/>
              <w:t> </w:t>
            </w:r>
          </w:p>
        </w:tc>
        <w:tc>
          <w:tcPr>
            <w:tcW w:w="19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05"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5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3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9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41"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8" w:type="dxa"/>
            <w:tcBorders/>
            <w:shd w:fill="auto" w:val="clear"/>
            <w:vAlign w:val="bottom"/>
          </w:tcPr>
          <w:p>
            <w:pPr>
              <w:pStyle w:val="TableContents"/>
              <w:spacing w:before="0" w:after="0"/>
              <w:ind w:left="0" w:right="0" w:hanging="0"/>
              <w:jc w:val="center"/>
              <w:rPr/>
            </w:pPr>
            <w:r>
              <w:rPr/>
              <w:t> </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911"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20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Guarantor</w:t>
            </w:r>
          </w:p>
        </w:tc>
        <w:tc>
          <w:tcPr>
            <w:tcW w:w="193" w:type="dxa"/>
            <w:tcBorders/>
            <w:shd w:fill="auto" w:val="clear"/>
            <w:vAlign w:val="bottom"/>
          </w:tcPr>
          <w:p>
            <w:pPr>
              <w:pStyle w:val="TableContents"/>
              <w:spacing w:before="0" w:after="0"/>
              <w:ind w:left="0" w:right="0" w:hanging="0"/>
              <w:jc w:val="center"/>
              <w:rPr/>
            </w:pPr>
            <w:r>
              <w:rPr/>
              <w:t> </w:t>
            </w:r>
          </w:p>
        </w:tc>
        <w:tc>
          <w:tcPr>
            <w:tcW w:w="135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Non-Guarantor</w:t>
            </w:r>
          </w:p>
        </w:tc>
        <w:tc>
          <w:tcPr>
            <w:tcW w:w="193" w:type="dxa"/>
            <w:tcBorders/>
            <w:shd w:fill="auto" w:val="clear"/>
            <w:vAlign w:val="bottom"/>
          </w:tcPr>
          <w:p>
            <w:pPr>
              <w:pStyle w:val="TableContents"/>
              <w:spacing w:before="0" w:after="0"/>
              <w:ind w:left="0" w:right="0" w:hanging="0"/>
              <w:jc w:val="center"/>
              <w:rPr/>
            </w:pPr>
            <w:r>
              <w:rPr/>
              <w:t> </w:t>
            </w:r>
          </w:p>
        </w:tc>
        <w:tc>
          <w:tcPr>
            <w:tcW w:w="1230"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241" w:type="dxa"/>
            <w:gridSpan w:val="2"/>
            <w:tcBorders/>
            <w:shd w:fill="auto" w:val="clear"/>
            <w:vAlign w:val="bottom"/>
          </w:tcPr>
          <w:p>
            <w:pPr>
              <w:pStyle w:val="TableContents"/>
              <w:spacing w:before="0" w:after="0"/>
              <w:ind w:left="0" w:right="0" w:hanging="0"/>
              <w:jc w:val="center"/>
              <w:rPr/>
            </w:pPr>
            <w:r>
              <w:rPr/>
              <w:t> </w:t>
            </w:r>
          </w:p>
        </w:tc>
        <w:tc>
          <w:tcPr>
            <w:tcW w:w="138" w:type="dxa"/>
            <w:tcBorders/>
            <w:shd w:fill="auto" w:val="clear"/>
            <w:vAlign w:val="bottom"/>
          </w:tcPr>
          <w:p>
            <w:pPr>
              <w:pStyle w:val="TableContents"/>
              <w:spacing w:before="0" w:after="0"/>
              <w:ind w:left="0" w:right="0" w:hanging="0"/>
              <w:jc w:val="center"/>
              <w:rPr/>
            </w:pPr>
            <w:r>
              <w:rPr/>
              <w:t> </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91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Parent</w:t>
            </w:r>
          </w:p>
        </w:tc>
        <w:tc>
          <w:tcPr>
            <w:tcW w:w="193" w:type="dxa"/>
            <w:tcBorders/>
            <w:shd w:fill="auto" w:val="clear"/>
            <w:vAlign w:val="bottom"/>
          </w:tcPr>
          <w:p>
            <w:pPr>
              <w:pStyle w:val="TableContents"/>
              <w:spacing w:before="0" w:after="0"/>
              <w:ind w:left="0" w:right="0" w:hanging="0"/>
              <w:jc w:val="center"/>
              <w:rPr/>
            </w:pPr>
            <w:r>
              <w:rPr/>
              <w:t> </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3" w:type="dxa"/>
            <w:tcBorders/>
            <w:shd w:fill="auto" w:val="clear"/>
            <w:vAlign w:val="bottom"/>
          </w:tcPr>
          <w:p>
            <w:pPr>
              <w:pStyle w:val="TableContents"/>
              <w:spacing w:before="0" w:after="0"/>
              <w:ind w:left="0" w:right="0" w:hanging="0"/>
              <w:jc w:val="center"/>
              <w:rPr/>
            </w:pPr>
            <w:r>
              <w:rPr/>
              <w:t> </w:t>
            </w:r>
          </w:p>
        </w:tc>
        <w:tc>
          <w:tcPr>
            <w:tcW w:w="13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3" w:type="dxa"/>
            <w:tcBorders/>
            <w:shd w:fill="auto" w:val="clear"/>
            <w:vAlign w:val="bottom"/>
          </w:tcPr>
          <w:p>
            <w:pPr>
              <w:pStyle w:val="TableContents"/>
              <w:spacing w:before="0" w:after="0"/>
              <w:ind w:left="0" w:right="0" w:hanging="0"/>
              <w:jc w:val="center"/>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Eliminations</w:t>
            </w:r>
          </w:p>
        </w:tc>
        <w:tc>
          <w:tcPr>
            <w:tcW w:w="193" w:type="dxa"/>
            <w:tcBorders/>
            <w:shd w:fill="auto" w:val="clear"/>
            <w:vAlign w:val="bottom"/>
          </w:tcPr>
          <w:p>
            <w:pPr>
              <w:pStyle w:val="TableContents"/>
              <w:spacing w:before="0" w:after="0"/>
              <w:ind w:left="0" w:right="0" w:hanging="0"/>
              <w:jc w:val="center"/>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Consolidated</w:t>
            </w:r>
          </w:p>
        </w:tc>
        <w:tc>
          <w:tcPr>
            <w:tcW w:w="138" w:type="dxa"/>
            <w:tcBorders/>
            <w:shd w:fill="auto" w:val="clear"/>
            <w:vAlign w:val="bottom"/>
          </w:tcPr>
          <w:p>
            <w:pPr>
              <w:pStyle w:val="TableContents"/>
              <w:spacing w:before="0" w:after="0"/>
              <w:ind w:left="0" w:right="0" w:hanging="0"/>
              <w:jc w:val="center"/>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OPERATING ACTIVITIES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77" w:type="dxa"/>
            <w:tcBorders/>
            <w:shd w:fill="auto" w:val="clear"/>
            <w:vAlign w:val="bottom"/>
          </w:tcPr>
          <w:p>
            <w:pPr>
              <w:pStyle w:val="TableContents"/>
              <w:spacing w:before="0" w:after="0"/>
              <w:ind w:left="0" w:right="0" w:hanging="0"/>
              <w:rPr/>
            </w:pPr>
            <w:r>
              <w:rPr/>
              <w:t> </w:t>
            </w:r>
          </w:p>
        </w:tc>
        <w:tc>
          <w:tcPr>
            <w:tcW w:w="1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93" w:type="dxa"/>
            <w:tcBorders/>
            <w:shd w:fill="auto" w:val="clear"/>
            <w:vAlign w:val="bottom"/>
          </w:tcPr>
          <w:p>
            <w:pPr>
              <w:pStyle w:val="TableContents"/>
              <w:spacing w:before="0" w:after="0"/>
              <w:ind w:left="0" w:right="0" w:hanging="0"/>
              <w:rPr/>
            </w:pPr>
            <w:r>
              <w:rPr/>
              <w:t> </w:t>
            </w:r>
          </w:p>
        </w:tc>
        <w:tc>
          <w:tcPr>
            <w:tcW w:w="2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263</w:t>
            </w:r>
          </w:p>
        </w:tc>
        <w:tc>
          <w:tcPr>
            <w:tcW w:w="193" w:type="dxa"/>
            <w:tcBorders/>
            <w:shd w:fill="auto" w:val="clear"/>
            <w:vAlign w:val="bottom"/>
          </w:tcPr>
          <w:p>
            <w:pPr>
              <w:pStyle w:val="TableContents"/>
              <w:spacing w:before="0" w:after="0"/>
              <w:ind w:left="0" w:right="0" w:hanging="0"/>
              <w:rPr/>
            </w:pPr>
            <w:r>
              <w:rPr/>
              <w:t> </w:t>
            </w:r>
          </w:p>
        </w:tc>
        <w:tc>
          <w:tcPr>
            <w:tcW w:w="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3" w:type="dxa"/>
            <w:tcBorders/>
            <w:shd w:fill="auto" w:val="clear"/>
            <w:vAlign w:val="bottom"/>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Reconciliation of net income to net cash provided by operating activities: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charge</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gains on settled hedges, net</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(263</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Changes in assets and liabilities, net of acquisitions</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289</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478</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INVESTING ACTIVITIES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Additions to property, equipment and other</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 in unconsolidated entities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received for sale of noncontrolling interest in a subsidiary</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the sale of assets and other</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used in investing activities</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CCEEFF" w:val="clear"/>
            <w:vAlign w:val="bottom"/>
          </w:tcPr>
          <w:p>
            <w:pPr>
              <w:pStyle w:val="TableContents"/>
              <w:spacing w:before="0" w:after="0"/>
              <w:ind w:left="0" w:right="0" w:hanging="0"/>
              <w:rPr/>
            </w:pPr>
            <w:r>
              <w:rPr/>
              <w:t> </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FINANCING ACTIVITIES</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repayments on revolving credit facility</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(544</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 on short-term letter of credit and hedged inventory facility</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proceeds from the issuance of common units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pPr>
            <w:r>
              <w:rPr>
                <w:rFonts w:ascii="Times New Roman" w:hAnsi="Times New Roman"/>
                <w:sz w:val="17"/>
              </w:rPr>
              <w:t>Distributions paid to common unitholders and general</w:t>
            </w:r>
            <w:r>
              <w:rPr/>
              <w:t xml:space="preserve"> </w:t>
            </w:r>
            <w:r>
              <w:rPr>
                <w:sz w:val="17"/>
              </w:rPr>
              <w:t>partner</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used in financing activities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(396</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translation adjustment on cash</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decrease in cash and cash equivalents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beginning of period</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end of period</w:t>
            </w:r>
          </w:p>
        </w:tc>
        <w:tc>
          <w:tcPr>
            <w:tcW w:w="177" w:type="dxa"/>
            <w:tcBorders/>
            <w:shd w:fill="CCEEFF" w:val="clear"/>
            <w:vAlign w:val="bottom"/>
          </w:tcPr>
          <w:p>
            <w:pPr>
              <w:pStyle w:val="TableContents"/>
              <w:spacing w:before="0" w:after="0"/>
              <w:ind w:left="0" w:right="0" w:hanging="0"/>
              <w:rPr/>
            </w:pPr>
            <w:r>
              <w:rPr/>
              <w:t> </w:t>
            </w:r>
          </w:p>
        </w:tc>
        <w:tc>
          <w:tcPr>
            <w:tcW w:w="1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3" w:type="dxa"/>
            <w:tcBorders/>
            <w:shd w:fill="CCEEFF" w:val="clear"/>
            <w:vAlign w:val="bottom"/>
          </w:tcPr>
          <w:p>
            <w:pPr>
              <w:pStyle w:val="TableContents"/>
              <w:spacing w:before="0" w:after="0"/>
              <w:ind w:left="0" w:right="0" w:hanging="0"/>
              <w:rPr/>
            </w:pPr>
            <w:r>
              <w:rPr/>
              <w:t> </w:t>
            </w:r>
          </w:p>
        </w:tc>
        <w:tc>
          <w:tcPr>
            <w:tcW w:w="2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3" w:type="dxa"/>
            <w:tcBorders/>
            <w:shd w:fill="CCEEFF" w:val="clear"/>
            <w:vAlign w:val="bottom"/>
          </w:tcPr>
          <w:p>
            <w:pPr>
              <w:pStyle w:val="TableContents"/>
              <w:spacing w:before="0" w:after="0"/>
              <w:ind w:left="0" w:right="0" w:hanging="0"/>
              <w:rPr/>
            </w:pPr>
            <w:r>
              <w:rPr/>
              <w:t> </w:t>
            </w:r>
          </w:p>
        </w:tc>
        <w:tc>
          <w:tcPr>
            <w:tcW w:w="3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2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2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3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Note 14 </w:t>
      </w:r>
      <w:bookmarkStart w:id="53" w:name="Note14_150608"/>
      <w:bookmarkEnd w:id="53"/>
      <w:r>
        <w:rPr>
          <w:rFonts w:ascii="Times New Roman" w:hAnsi="Times New Roman"/>
          <w:b/>
          <w:sz w:val="17"/>
        </w:rPr>
        <w:t> Subsequent Events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May 5, 2010, PNG completed its IPO of 13,478,000 common units representing limited partner interests at $21.50 per common unit. The number of units issued at closing included 1,758,000 common units issued pursuant to the full exercise of the underwriters over-allotment option. Net proceeds received by PNG from the sale of the 13,478,000 common units were approximately $269 million. The common units offered represent approximately 23% of the outstanding equity of PNG. We own the remaining 77% equity interests in PNG.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the IPO, PNG entered into a new $400 million revolving credit facility, which will mature on May 5, 2013. PNG borrowed approximately $200 million under the credit facility as of the closing of the IPO.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PNG will use the net proceeds from the IPO, together with $200 million of borrowings under its new credit facility, to repay intercompany indebtedness owed to us. We expect to use all of these proceeds to repay amounts outstanding under our credit facilities and for general partnership purposes.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30</w:t>
      </w:r>
      <w:bookmarkStart w:id="54" w:name="PB_30_150806_3736"/>
      <w:bookmarkEnd w:id="5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2.  </w:t>
      </w:r>
      <w:r>
        <w:rPr>
          <w:rFonts w:ascii="Times New Roman" w:hAnsi="Times New Roman"/>
          <w:b/>
          <w:i/>
          <w:sz w:val="17"/>
        </w:rPr>
        <w:t>Managements</w:t>
      </w:r>
      <w:bookmarkStart w:id="55" w:name="Item2_Managements_150700"/>
      <w:bookmarkEnd w:id="55"/>
      <w:r>
        <w:rPr>
          <w:rFonts w:ascii="Times New Roman" w:hAnsi="Times New Roman"/>
          <w:b/>
          <w:i/>
          <w:sz w:val="17"/>
        </w:rPr>
        <w:t xml:space="preserve"> Discussion and Analysis of Financial Condition and 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Introduction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2009 Annual Report on Form 10-K. For more detailed information regarding the basis of presentation for the following financial information, see the Notes to the Condensed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Executive Summary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provide transportation, storage, terminalling, supply and logistics services with respect to crude oil, refined products and LPG.  We are also engaged in the development and operation of natural gas storage facilities.  We were formed in 1998, and our operations are conducted directly and indirectly through our operating subsidiaries and are managed through three operating segments:  (i) Transportation, (ii) Facilities and (iii) Supply and Logistics.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discussion and analysis herein includes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Liquidity and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Recent Accounting Pronouncements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Critical Accounting Policies and Estimates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capital expenditures for internal growth projects, maintenance capital and investments in unconsolidated entities for the periods indicated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02"/>
        <w:gridCol w:w="213"/>
        <w:gridCol w:w="122"/>
        <w:gridCol w:w="1051"/>
        <w:gridCol w:w="213"/>
        <w:gridCol w:w="120"/>
        <w:gridCol w:w="1067"/>
        <w:gridCol w:w="117"/>
      </w:tblGrid>
      <w:tr>
        <w:trPr/>
        <w:tc>
          <w:tcPr>
            <w:tcW w:w="7302"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57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17" w:type="dxa"/>
            <w:tcBorders/>
            <w:shd w:fill="auto" w:val="clear"/>
            <w:vAlign w:val="bottom"/>
          </w:tcPr>
          <w:p>
            <w:pPr>
              <w:pStyle w:val="TableContents"/>
              <w:spacing w:before="0" w:after="0"/>
              <w:ind w:left="0" w:right="0" w:hanging="0"/>
              <w:jc w:val="center"/>
              <w:rPr/>
            </w:pPr>
            <w:r>
              <w:rPr/>
              <w:t> </w:t>
            </w:r>
          </w:p>
        </w:tc>
      </w:tr>
      <w:tr>
        <w:trPr/>
        <w:tc>
          <w:tcPr>
            <w:tcW w:w="7302"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57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March 31,</w:t>
            </w:r>
          </w:p>
        </w:tc>
        <w:tc>
          <w:tcPr>
            <w:tcW w:w="117" w:type="dxa"/>
            <w:tcBorders/>
            <w:shd w:fill="auto" w:val="clear"/>
            <w:vAlign w:val="bottom"/>
          </w:tcPr>
          <w:p>
            <w:pPr>
              <w:pStyle w:val="TableContents"/>
              <w:spacing w:before="0" w:after="0"/>
              <w:ind w:left="0" w:right="0" w:hanging="0"/>
              <w:jc w:val="center"/>
              <w:rPr/>
            </w:pPr>
            <w:r>
              <w:rPr/>
              <w:t> </w:t>
            </w:r>
          </w:p>
        </w:tc>
      </w:tr>
      <w:tr>
        <w:trPr/>
        <w:tc>
          <w:tcPr>
            <w:tcW w:w="7302"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3" w:type="dxa"/>
            <w:tcBorders/>
            <w:shd w:fill="auto" w:val="clear"/>
            <w:vAlign w:val="bottom"/>
          </w:tcPr>
          <w:p>
            <w:pPr>
              <w:pStyle w:val="TableContents"/>
              <w:spacing w:before="0" w:after="0"/>
              <w:ind w:left="0" w:right="0" w:hanging="0"/>
              <w:jc w:val="center"/>
              <w:rPr/>
            </w:pPr>
            <w:r>
              <w:rPr/>
              <w:t> </w:t>
            </w:r>
          </w:p>
        </w:tc>
        <w:tc>
          <w:tcPr>
            <w:tcW w:w="118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17" w:type="dxa"/>
            <w:tcBorders/>
            <w:shd w:fill="auto" w:val="clear"/>
            <w:vAlign w:val="bottom"/>
          </w:tcPr>
          <w:p>
            <w:pPr>
              <w:pStyle w:val="TableContents"/>
              <w:spacing w:before="0" w:after="0"/>
              <w:ind w:left="0" w:right="0" w:hanging="0"/>
              <w:jc w:val="center"/>
              <w:rPr/>
            </w:pPr>
            <w:r>
              <w:rPr/>
              <w:t> </w:t>
            </w:r>
          </w:p>
        </w:tc>
      </w:tr>
      <w:tr>
        <w:trPr/>
        <w:tc>
          <w:tcPr>
            <w:tcW w:w="73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Internal growth projects</w:t>
            </w:r>
          </w:p>
        </w:tc>
        <w:tc>
          <w:tcPr>
            <w:tcW w:w="213" w:type="dxa"/>
            <w:tcBorders/>
            <w:shd w:fill="CCEEFF" w:val="clear"/>
            <w:vAlign w:val="bottom"/>
          </w:tcPr>
          <w:p>
            <w:pPr>
              <w:pStyle w:val="TableContents"/>
              <w:spacing w:before="0" w:after="0"/>
              <w:ind w:left="0" w:right="0" w:hanging="0"/>
              <w:rPr/>
            </w:pPr>
            <w:r>
              <w:rPr/>
              <w:t> </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13"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17" w:type="dxa"/>
            <w:tcBorders/>
            <w:shd w:fill="CCEEFF" w:val="clear"/>
            <w:vAlign w:val="bottom"/>
          </w:tcPr>
          <w:p>
            <w:pPr>
              <w:pStyle w:val="TableContents"/>
              <w:spacing w:before="0" w:after="0"/>
              <w:ind w:left="0" w:right="0" w:hanging="0"/>
              <w:rPr/>
            </w:pPr>
            <w:r>
              <w:rPr/>
              <w:t> </w:t>
            </w:r>
          </w:p>
        </w:tc>
      </w:tr>
      <w:tr>
        <w:trPr/>
        <w:tc>
          <w:tcPr>
            <w:tcW w:w="73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3"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3"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17" w:type="dxa"/>
            <w:tcBorders/>
            <w:shd w:fill="auto" w:val="clear"/>
            <w:vAlign w:val="bottom"/>
          </w:tcPr>
          <w:p>
            <w:pPr>
              <w:pStyle w:val="TableContents"/>
              <w:spacing w:before="0" w:after="0"/>
              <w:ind w:left="0" w:right="0" w:hanging="0"/>
              <w:rPr/>
            </w:pPr>
            <w:r>
              <w:rPr/>
              <w:t> </w:t>
            </w:r>
          </w:p>
        </w:tc>
      </w:tr>
      <w:tr>
        <w:trPr/>
        <w:tc>
          <w:tcPr>
            <w:tcW w:w="73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 in unconsolidated entities</w:t>
            </w:r>
          </w:p>
        </w:tc>
        <w:tc>
          <w:tcPr>
            <w:tcW w:w="213" w:type="dxa"/>
            <w:tcBorders/>
            <w:shd w:fill="CCEEFF" w:val="clear"/>
            <w:vAlign w:val="bottom"/>
          </w:tcPr>
          <w:p>
            <w:pPr>
              <w:pStyle w:val="TableContents"/>
              <w:spacing w:before="0" w:after="0"/>
              <w:ind w:left="0" w:right="0" w:hanging="0"/>
              <w:rPr/>
            </w:pPr>
            <w:r>
              <w:rPr/>
              <w:t> </w:t>
            </w:r>
          </w:p>
        </w:tc>
        <w:tc>
          <w:tcPr>
            <w:tcW w:w="11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3" w:type="dxa"/>
            <w:tcBorders/>
            <w:shd w:fill="CCEEFF" w:val="clear"/>
            <w:vAlign w:val="bottom"/>
          </w:tcPr>
          <w:p>
            <w:pPr>
              <w:pStyle w:val="TableContents"/>
              <w:spacing w:before="0" w:after="0"/>
              <w:ind w:left="0" w:right="0" w:hanging="0"/>
              <w:rPr/>
            </w:pPr>
            <w:r>
              <w:rPr/>
              <w:t> </w:t>
            </w:r>
          </w:p>
        </w:tc>
        <w:tc>
          <w:tcPr>
            <w:tcW w:w="118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7" w:type="dxa"/>
            <w:tcBorders/>
            <w:shd w:fill="CCEEFF" w:val="clear"/>
            <w:vAlign w:val="bottom"/>
          </w:tcPr>
          <w:p>
            <w:pPr>
              <w:pStyle w:val="TableContents"/>
              <w:spacing w:before="0" w:after="0"/>
              <w:ind w:left="0" w:right="0" w:hanging="0"/>
              <w:rPr/>
            </w:pPr>
            <w:r>
              <w:rPr/>
              <w:t> </w:t>
            </w:r>
          </w:p>
        </w:tc>
      </w:tr>
      <w:tr>
        <w:trPr/>
        <w:tc>
          <w:tcPr>
            <w:tcW w:w="73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3" w:type="dxa"/>
            <w:tcBorders/>
            <w:shd w:fill="auto" w:val="clear"/>
            <w:vAlign w:val="bottom"/>
          </w:tcPr>
          <w:p>
            <w:pPr>
              <w:pStyle w:val="TableContents"/>
              <w:spacing w:before="0" w:after="0"/>
              <w:ind w:left="0" w:right="0" w:hanging="0"/>
              <w:rPr/>
            </w:pPr>
            <w:r>
              <w:rPr/>
              <w:t> </w:t>
            </w:r>
          </w:p>
        </w:tc>
        <w:tc>
          <w:tcPr>
            <w:tcW w:w="1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213"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1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internal growth projects primarily relate to the construction and expansion of pipeline systems, crude oil storage and terminal facilities and natural gas storage facilities. The following table summarizes our more notable projects in progress during 2010 and the forecasted expenditures for the year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8723"/>
        <w:gridCol w:w="209"/>
        <w:gridCol w:w="110"/>
        <w:gridCol w:w="1052"/>
        <w:gridCol w:w="111"/>
      </w:tblGrid>
      <w:tr>
        <w:trPr/>
        <w:tc>
          <w:tcPr>
            <w:tcW w:w="8723"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Projects</w:t>
            </w:r>
          </w:p>
        </w:tc>
        <w:tc>
          <w:tcPr>
            <w:tcW w:w="209" w:type="dxa"/>
            <w:tcBorders/>
            <w:shd w:fill="auto" w:val="clear"/>
            <w:tcMar>
              <w:bottom w:w="0" w:type="dxa"/>
            </w:tcMar>
            <w:vAlign w:val="bottom"/>
          </w:tcPr>
          <w:p>
            <w:pPr>
              <w:pStyle w:val="TableContents"/>
              <w:spacing w:before="0" w:after="0"/>
              <w:ind w:left="0" w:right="0" w:hanging="0"/>
              <w:jc w:val="center"/>
              <w:rPr/>
            </w:pPr>
            <w:r>
              <w:rPr/>
              <w:t> </w:t>
            </w:r>
          </w:p>
        </w:tc>
        <w:tc>
          <w:tcPr>
            <w:tcW w:w="1162"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11" w:type="dxa"/>
            <w:tcBorders/>
            <w:shd w:fill="auto" w:val="clear"/>
            <w:tcMar>
              <w:bottom w:w="0" w:type="dxa"/>
            </w:tcMar>
            <w:vAlign w:val="bottom"/>
          </w:tcPr>
          <w:p>
            <w:pPr>
              <w:pStyle w:val="TableContents"/>
              <w:spacing w:before="0" w:after="0"/>
              <w:ind w:left="0" w:right="0" w:hanging="0"/>
              <w:jc w:val="center"/>
              <w:rPr/>
            </w:pPr>
            <w:r>
              <w:rPr/>
              <w:t> </w:t>
            </w:r>
          </w:p>
        </w:tc>
      </w:tr>
      <w:tr>
        <w:trPr/>
        <w:tc>
          <w:tcPr>
            <w:tcW w:w="872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PAA Natural Gas Storage</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10"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11" w:type="dxa"/>
            <w:tcBorders/>
            <w:shd w:fill="CCEEFF" w:val="clear"/>
            <w:tcMar>
              <w:bottom w:w="0" w:type="dxa"/>
            </w:tcMar>
            <w:vAlign w:val="bottom"/>
          </w:tcPr>
          <w:p>
            <w:pPr>
              <w:pStyle w:val="TableContents"/>
              <w:spacing w:before="0" w:after="0"/>
              <w:ind w:left="0" w:right="0" w:hanging="0"/>
              <w:rPr/>
            </w:pPr>
            <w:r>
              <w:rPr/>
              <w:t> </w:t>
            </w:r>
          </w:p>
        </w:tc>
      </w:tr>
      <w:tr>
        <w:trPr/>
        <w:tc>
          <w:tcPr>
            <w:tcW w:w="8723"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Patoka Phase III</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162"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11" w:type="dxa"/>
            <w:tcBorders/>
            <w:shd w:fill="auto" w:val="clear"/>
            <w:tcMar>
              <w:bottom w:w="0" w:type="dxa"/>
            </w:tcMar>
            <w:vAlign w:val="bottom"/>
          </w:tcPr>
          <w:p>
            <w:pPr>
              <w:pStyle w:val="TableContents"/>
              <w:spacing w:before="0" w:after="0"/>
              <w:ind w:left="0" w:right="0" w:hanging="0"/>
              <w:rPr/>
            </w:pPr>
            <w:r>
              <w:rPr/>
              <w:t> </w:t>
            </w:r>
          </w:p>
        </w:tc>
      </w:tr>
      <w:tr>
        <w:trPr/>
        <w:tc>
          <w:tcPr>
            <w:tcW w:w="872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West Texas gathering lines</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162"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11" w:type="dxa"/>
            <w:tcBorders/>
            <w:shd w:fill="CCEEFF" w:val="clear"/>
            <w:tcMar>
              <w:bottom w:w="0" w:type="dxa"/>
            </w:tcMar>
            <w:vAlign w:val="bottom"/>
          </w:tcPr>
          <w:p>
            <w:pPr>
              <w:pStyle w:val="TableContents"/>
              <w:spacing w:before="0" w:after="0"/>
              <w:ind w:left="0" w:right="0" w:hanging="0"/>
              <w:rPr/>
            </w:pPr>
            <w:r>
              <w:rPr/>
              <w:t> </w:t>
            </w:r>
          </w:p>
        </w:tc>
      </w:tr>
      <w:tr>
        <w:trPr/>
        <w:tc>
          <w:tcPr>
            <w:tcW w:w="8723"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Cushing - Phase VII</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162"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1" w:type="dxa"/>
            <w:tcBorders/>
            <w:shd w:fill="auto" w:val="clear"/>
            <w:tcMar>
              <w:bottom w:w="0" w:type="dxa"/>
            </w:tcMar>
            <w:vAlign w:val="bottom"/>
          </w:tcPr>
          <w:p>
            <w:pPr>
              <w:pStyle w:val="TableContents"/>
              <w:spacing w:before="0" w:after="0"/>
              <w:ind w:left="0" w:right="0" w:hanging="0"/>
              <w:rPr/>
            </w:pPr>
            <w:r>
              <w:rPr/>
              <w:t> </w:t>
            </w:r>
          </w:p>
        </w:tc>
      </w:tr>
      <w:tr>
        <w:trPr/>
        <w:tc>
          <w:tcPr>
            <w:tcW w:w="872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St. James - Phase III tankage</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162"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11" w:type="dxa"/>
            <w:tcBorders/>
            <w:shd w:fill="CCEEFF" w:val="clear"/>
            <w:tcMar>
              <w:bottom w:w="0" w:type="dxa"/>
            </w:tcMar>
            <w:vAlign w:val="bottom"/>
          </w:tcPr>
          <w:p>
            <w:pPr>
              <w:pStyle w:val="TableContents"/>
              <w:spacing w:before="0" w:after="0"/>
              <w:ind w:left="0" w:right="0" w:hanging="0"/>
              <w:rPr/>
            </w:pPr>
            <w:r>
              <w:rPr/>
              <w:t> </w:t>
            </w:r>
          </w:p>
        </w:tc>
      </w:tr>
      <w:tr>
        <w:trPr/>
        <w:tc>
          <w:tcPr>
            <w:tcW w:w="8723"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Cushing - Phase VIII</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162"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11" w:type="dxa"/>
            <w:tcBorders/>
            <w:shd w:fill="auto" w:val="clear"/>
            <w:tcMar>
              <w:bottom w:w="0" w:type="dxa"/>
            </w:tcMar>
            <w:vAlign w:val="bottom"/>
          </w:tcPr>
          <w:p>
            <w:pPr>
              <w:pStyle w:val="TableContents"/>
              <w:spacing w:before="0" w:after="0"/>
              <w:ind w:left="0" w:right="0" w:hanging="0"/>
              <w:rPr/>
            </w:pPr>
            <w:r>
              <w:rPr/>
              <w:t> </w:t>
            </w:r>
          </w:p>
        </w:tc>
      </w:tr>
      <w:tr>
        <w:trPr/>
        <w:tc>
          <w:tcPr>
            <w:tcW w:w="872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Wichita Falls tankage</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162"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1" w:type="dxa"/>
            <w:tcBorders/>
            <w:shd w:fill="CCEEFF" w:val="clear"/>
            <w:tcMar>
              <w:bottom w:w="0" w:type="dxa"/>
            </w:tcMar>
            <w:vAlign w:val="bottom"/>
          </w:tcPr>
          <w:p>
            <w:pPr>
              <w:pStyle w:val="TableContents"/>
              <w:spacing w:before="0" w:after="0"/>
              <w:ind w:left="0" w:right="0" w:hanging="0"/>
              <w:rPr/>
            </w:pPr>
            <w:r>
              <w:rPr/>
              <w:t> </w:t>
            </w:r>
          </w:p>
        </w:tc>
      </w:tr>
      <w:tr>
        <w:trPr/>
        <w:tc>
          <w:tcPr>
            <w:tcW w:w="8723"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Bumstead facility upgrade</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162"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1" w:type="dxa"/>
            <w:tcBorders/>
            <w:shd w:fill="auto" w:val="clear"/>
            <w:tcMar>
              <w:bottom w:w="0" w:type="dxa"/>
            </w:tcMar>
            <w:vAlign w:val="bottom"/>
          </w:tcPr>
          <w:p>
            <w:pPr>
              <w:pStyle w:val="TableContents"/>
              <w:spacing w:before="0" w:after="0"/>
              <w:ind w:left="0" w:right="0" w:hanging="0"/>
              <w:rPr/>
            </w:pPr>
            <w:r>
              <w:rPr/>
              <w:t> </w:t>
            </w:r>
          </w:p>
        </w:tc>
      </w:tr>
      <w:tr>
        <w:trPr/>
        <w:tc>
          <w:tcPr>
            <w:tcW w:w="8723"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 xml:space="preserve">Other projects </w:t>
            </w:r>
            <w:r>
              <w:rPr>
                <w:sz w:val="11"/>
              </w:rPr>
              <w:t>(1)</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162"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11" w:type="dxa"/>
            <w:tcBorders/>
            <w:shd w:fill="CCEEFF" w:val="clear"/>
            <w:tcMar>
              <w:bottom w:w="0" w:type="dxa"/>
            </w:tcMar>
            <w:vAlign w:val="bottom"/>
          </w:tcPr>
          <w:p>
            <w:pPr>
              <w:pStyle w:val="TableContents"/>
              <w:spacing w:before="0" w:after="0"/>
              <w:ind w:left="0" w:right="0" w:hanging="0"/>
              <w:rPr/>
            </w:pPr>
            <w:r>
              <w:rPr/>
              <w:t> </w:t>
            </w:r>
          </w:p>
        </w:tc>
      </w:tr>
      <w:tr>
        <w:trPr/>
        <w:tc>
          <w:tcPr>
            <w:tcW w:w="8723" w:type="dxa"/>
            <w:tcBorders/>
            <w:shd w:fill="auto" w:val="clear"/>
            <w:tcMar>
              <w:bottom w:w="0" w:type="dxa"/>
            </w:tcMar>
            <w:vAlign w:val="bottom"/>
          </w:tcPr>
          <w:p>
            <w:pPr>
              <w:pStyle w:val="TableContents"/>
              <w:spacing w:before="0" w:after="0"/>
              <w:ind w:left="0" w:right="0" w:hanging="0"/>
              <w:rPr/>
            </w:pPr>
            <w:r>
              <w:rPr/>
              <w:t> </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162"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111" w:type="dxa"/>
            <w:tcBorders/>
            <w:shd w:fill="auto" w:val="clear"/>
            <w:tcMar>
              <w:bottom w:w="0" w:type="dxa"/>
            </w:tcMar>
            <w:vAlign w:val="bottom"/>
          </w:tcPr>
          <w:p>
            <w:pPr>
              <w:pStyle w:val="TableContents"/>
              <w:spacing w:before="0" w:after="0"/>
              <w:ind w:left="0" w:right="0" w:hanging="0"/>
              <w:rPr/>
            </w:pPr>
            <w:r>
              <w:rPr/>
              <w:t> </w:t>
            </w:r>
          </w:p>
        </w:tc>
      </w:tr>
      <w:tr>
        <w:trPr/>
        <w:tc>
          <w:tcPr>
            <w:tcW w:w="872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162"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111" w:type="dxa"/>
            <w:tcBorders/>
            <w:shd w:fill="CCEEFF" w:val="clear"/>
            <w:tcMar>
              <w:bottom w:w="0" w:type="dxa"/>
            </w:tcMar>
            <w:vAlign w:val="bottom"/>
          </w:tcPr>
          <w:p>
            <w:pPr>
              <w:pStyle w:val="TableContents"/>
              <w:spacing w:before="0" w:after="0"/>
              <w:ind w:left="0" w:right="0" w:hanging="0"/>
              <w:rPr/>
            </w:pPr>
            <w:r>
              <w:rPr/>
              <w:t> </w:t>
            </w:r>
          </w:p>
        </w:tc>
      </w:tr>
      <w:tr>
        <w:trPr/>
        <w:tc>
          <w:tcPr>
            <w:tcW w:w="8723"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Projected Capital Expenditures (excluding acquisitions)</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10"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111" w:type="dxa"/>
            <w:tcBorders/>
            <w:shd w:fill="auto"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Primarily pipeline connections and upgrades, truck stations, new tank construction and refurbishing, and carry-over of projects started in 2009.</w:t>
      </w:r>
    </w:p>
    <w:p>
      <w:pPr>
        <w:pStyle w:val="TextBody"/>
        <w:spacing w:before="0" w:after="0"/>
        <w:ind w:left="0" w:right="0" w:hanging="0"/>
        <w:jc w:val="center"/>
        <w:rPr>
          <w:rFonts w:ascii="Times New Roman" w:hAnsi="Times New Roman"/>
          <w:sz w:val="17"/>
        </w:rPr>
      </w:pPr>
      <w:r>
        <w:rPr>
          <w:rFonts w:ascii="Times New Roman" w:hAnsi="Times New Roman"/>
          <w:sz w:val="17"/>
        </w:rPr>
        <w:t>31</w:t>
      </w:r>
      <w:bookmarkStart w:id="56" w:name="PB_31_150806_9621"/>
      <w:bookmarkEnd w:id="5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manage our operations through three operating segments: (i) Transportation, (ii) Facilities and (iii) Supply and Logistics.  In order to evaluate segment performance, management focuses on a variety of measures including segment profit, segment volumes, segment profit per barrel and maintenance capital.  See Note 15 to our Consolidated Financial Statements included in Part IV of our 2009 Annual Report on Form 10-K for further discussion on how we evaluate segment performance.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reflects our segment profit, net income and applicable earnings per limited partner unit for the three months ended March 31, 2010 and 2009 (in millions, except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518"/>
        <w:gridCol w:w="216"/>
        <w:gridCol w:w="110"/>
        <w:gridCol w:w="762"/>
        <w:gridCol w:w="217"/>
        <w:gridCol w:w="110"/>
        <w:gridCol w:w="762"/>
        <w:gridCol w:w="217"/>
        <w:gridCol w:w="110"/>
        <w:gridCol w:w="764"/>
        <w:gridCol w:w="217"/>
        <w:gridCol w:w="977"/>
        <w:gridCol w:w="225"/>
      </w:tblGrid>
      <w:tr>
        <w:trPr/>
        <w:tc>
          <w:tcPr>
            <w:tcW w:w="5518"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196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7" w:type="dxa"/>
            <w:tcBorders/>
            <w:shd w:fill="auto" w:val="clear"/>
            <w:vAlign w:val="bottom"/>
          </w:tcPr>
          <w:p>
            <w:pPr>
              <w:pStyle w:val="TableContents"/>
              <w:spacing w:before="0" w:after="0"/>
              <w:ind w:left="0" w:right="0" w:hanging="0"/>
              <w:jc w:val="center"/>
              <w:rPr/>
            </w:pPr>
            <w:r>
              <w:rPr/>
              <w:t> </w:t>
            </w:r>
          </w:p>
        </w:tc>
        <w:tc>
          <w:tcPr>
            <w:tcW w:w="2068"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Favorable/(Unfavorable)</w:t>
            </w:r>
          </w:p>
        </w:tc>
        <w:tc>
          <w:tcPr>
            <w:tcW w:w="225" w:type="dxa"/>
            <w:tcBorders/>
            <w:shd w:fill="auto" w:val="clear"/>
            <w:vAlign w:val="bottom"/>
          </w:tcPr>
          <w:p>
            <w:pPr>
              <w:pStyle w:val="TableContents"/>
              <w:spacing w:before="0" w:after="0"/>
              <w:ind w:left="0" w:right="0" w:hanging="0"/>
              <w:jc w:val="center"/>
              <w:rPr/>
            </w:pPr>
            <w:r>
              <w:rPr/>
              <w:t> </w:t>
            </w:r>
          </w:p>
        </w:tc>
      </w:tr>
      <w:tr>
        <w:trPr/>
        <w:tc>
          <w:tcPr>
            <w:tcW w:w="5518"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196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March 31,</w:t>
            </w:r>
          </w:p>
        </w:tc>
        <w:tc>
          <w:tcPr>
            <w:tcW w:w="217" w:type="dxa"/>
            <w:tcBorders/>
            <w:shd w:fill="auto" w:val="clear"/>
            <w:vAlign w:val="bottom"/>
          </w:tcPr>
          <w:p>
            <w:pPr>
              <w:pStyle w:val="TableContents"/>
              <w:spacing w:before="0" w:after="0"/>
              <w:ind w:left="0" w:right="0" w:hanging="0"/>
              <w:jc w:val="center"/>
              <w:rPr/>
            </w:pPr>
            <w:r>
              <w:rPr/>
              <w:t> </w:t>
            </w:r>
          </w:p>
        </w:tc>
        <w:tc>
          <w:tcPr>
            <w:tcW w:w="2068"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25" w:type="dxa"/>
            <w:tcBorders/>
            <w:shd w:fill="auto" w:val="clear"/>
            <w:vAlign w:val="bottom"/>
          </w:tcPr>
          <w:p>
            <w:pPr>
              <w:pStyle w:val="TableContents"/>
              <w:spacing w:before="0" w:after="0"/>
              <w:ind w:left="0" w:right="0" w:hanging="0"/>
              <w:jc w:val="center"/>
              <w:rPr/>
            </w:pPr>
            <w:r>
              <w:rPr/>
              <w:t> </w:t>
            </w:r>
          </w:p>
        </w:tc>
      </w:tr>
      <w:tr>
        <w:trPr/>
        <w:tc>
          <w:tcPr>
            <w:tcW w:w="5518"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7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7" w:type="dxa"/>
            <w:tcBorders/>
            <w:shd w:fill="auto" w:val="clear"/>
            <w:vAlign w:val="bottom"/>
          </w:tcPr>
          <w:p>
            <w:pPr>
              <w:pStyle w:val="TableContents"/>
              <w:spacing w:before="0" w:after="0"/>
              <w:ind w:left="0" w:right="0" w:hanging="0"/>
              <w:jc w:val="center"/>
              <w:rPr/>
            </w:pPr>
            <w:r>
              <w:rPr/>
              <w:t> </w:t>
            </w:r>
          </w:p>
        </w:tc>
        <w:tc>
          <w:tcPr>
            <w:tcW w:w="87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7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5" w:type="dxa"/>
            <w:tcBorders/>
            <w:shd w:fill="auto" w:val="clear"/>
            <w:vAlign w:val="bottom"/>
          </w:tcPr>
          <w:p>
            <w:pPr>
              <w:pStyle w:val="TableContents"/>
              <w:spacing w:before="0" w:after="0"/>
              <w:ind w:left="0" w:right="0" w:hanging="0"/>
              <w:jc w:val="center"/>
              <w:rPr/>
            </w:pPr>
            <w:r>
              <w:rPr/>
              <w:t> </w:t>
            </w:r>
          </w:p>
        </w:tc>
      </w:tr>
      <w:tr>
        <w:trPr/>
        <w:tc>
          <w:tcPr>
            <w:tcW w:w="55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segment profit</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17"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217"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7" w:type="dxa"/>
            <w:tcBorders/>
            <w:shd w:fill="CCEEFF" w:val="clear"/>
            <w:vAlign w:val="bottom"/>
          </w:tcPr>
          <w:p>
            <w:pPr>
              <w:pStyle w:val="TableContents"/>
              <w:spacing w:before="0" w:after="0"/>
              <w:ind w:left="0" w:right="0" w:hanging="0"/>
              <w:rPr/>
            </w:pPr>
            <w:r>
              <w:rPr/>
              <w:t> </w:t>
            </w:r>
          </w:p>
        </w:tc>
        <w:tc>
          <w:tcPr>
            <w:tcW w:w="9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profit</w:t>
            </w:r>
          </w:p>
        </w:tc>
        <w:tc>
          <w:tcPr>
            <w:tcW w:w="216"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7"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17" w:type="dxa"/>
            <w:tcBorders/>
            <w:shd w:fill="auto" w:val="clear"/>
            <w:vAlign w:val="bottom"/>
          </w:tcPr>
          <w:p>
            <w:pPr>
              <w:pStyle w:val="TableContents"/>
              <w:spacing w:before="0" w:after="0"/>
              <w:ind w:left="0" w:right="0" w:hanging="0"/>
              <w:rPr/>
            </w:pPr>
            <w:r>
              <w:rPr/>
              <w:t> </w:t>
            </w:r>
          </w:p>
        </w:tc>
        <w:tc>
          <w:tcPr>
            <w:tcW w:w="8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7" w:type="dxa"/>
            <w:tcBorders/>
            <w:shd w:fill="auto" w:val="clear"/>
            <w:vAlign w:val="bottom"/>
          </w:tcPr>
          <w:p>
            <w:pPr>
              <w:pStyle w:val="TableContents"/>
              <w:spacing w:before="0" w:after="0"/>
              <w:ind w:left="0" w:right="0" w:hanging="0"/>
              <w:rPr/>
            </w:pPr>
            <w:r>
              <w:rPr/>
              <w:t> </w:t>
            </w:r>
          </w:p>
        </w:tc>
        <w:tc>
          <w:tcPr>
            <w:tcW w:w="9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&amp; Logistics segment profit</w:t>
            </w:r>
          </w:p>
        </w:tc>
        <w:tc>
          <w:tcPr>
            <w:tcW w:w="216" w:type="dxa"/>
            <w:tcBorders/>
            <w:shd w:fill="CCEEFF"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17" w:type="dxa"/>
            <w:tcBorders/>
            <w:shd w:fill="CCEEFF"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217" w:type="dxa"/>
            <w:tcBorders/>
            <w:shd w:fill="CCEEFF" w:val="clear"/>
            <w:vAlign w:val="bottom"/>
          </w:tcPr>
          <w:p>
            <w:pPr>
              <w:pStyle w:val="TableContents"/>
              <w:spacing w:before="0" w:after="0"/>
              <w:ind w:left="0" w:right="0" w:hanging="0"/>
              <w:rPr/>
            </w:pPr>
            <w:r>
              <w:rPr/>
              <w:t> </w:t>
            </w:r>
          </w:p>
        </w:tc>
        <w:tc>
          <w:tcPr>
            <w:tcW w:w="8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segment profit</w:t>
            </w:r>
          </w:p>
        </w:tc>
        <w:tc>
          <w:tcPr>
            <w:tcW w:w="216"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279</w:t>
            </w:r>
          </w:p>
        </w:tc>
        <w:tc>
          <w:tcPr>
            <w:tcW w:w="217"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w:t>
            </w:r>
          </w:p>
        </w:tc>
        <w:tc>
          <w:tcPr>
            <w:tcW w:w="217" w:type="dxa"/>
            <w:tcBorders/>
            <w:shd w:fill="auto" w:val="clear"/>
            <w:vAlign w:val="bottom"/>
          </w:tcPr>
          <w:p>
            <w:pPr>
              <w:pStyle w:val="TableContents"/>
              <w:spacing w:before="0" w:after="0"/>
              <w:ind w:left="0" w:right="0" w:hanging="0"/>
              <w:rPr/>
            </w:pPr>
            <w:r>
              <w:rPr/>
              <w:t> </w:t>
            </w:r>
          </w:p>
        </w:tc>
        <w:tc>
          <w:tcPr>
            <w:tcW w:w="8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6"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6"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216"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7" w:type="dxa"/>
            <w:tcBorders/>
            <w:shd w:fill="CCEEFF" w:val="clear"/>
            <w:vAlign w:val="bottom"/>
          </w:tcPr>
          <w:p>
            <w:pPr>
              <w:pStyle w:val="TableContents"/>
              <w:spacing w:before="0" w:after="0"/>
              <w:ind w:left="0" w:right="0" w:hanging="0"/>
              <w:rPr/>
            </w:pPr>
            <w:r>
              <w:rPr/>
              <w:t> </w:t>
            </w:r>
          </w:p>
        </w:tc>
        <w:tc>
          <w:tcPr>
            <w:tcW w:w="8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216" w:type="dxa"/>
            <w:tcBorders/>
            <w:shd w:fill="auto"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pPr>
            <w:r>
              <w:rPr/>
              <w:t> </w:t>
            </w:r>
          </w:p>
        </w:tc>
        <w:tc>
          <w:tcPr>
            <w:tcW w:w="97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1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1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18"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874"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977" w:type="dxa"/>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r>
      <w:tr>
        <w:trPr/>
        <w:tc>
          <w:tcPr>
            <w:tcW w:w="55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Earnings per basic limited partner unit</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0.80</w:t>
            </w:r>
          </w:p>
        </w:tc>
        <w:tc>
          <w:tcPr>
            <w:tcW w:w="217"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17"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Earnings per diluted limited partner unit</w:t>
            </w:r>
          </w:p>
        </w:tc>
        <w:tc>
          <w:tcPr>
            <w:tcW w:w="21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0.80</w:t>
            </w:r>
          </w:p>
        </w:tc>
        <w:tc>
          <w:tcPr>
            <w:tcW w:w="217"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17"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(0.61</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units outstanding</w:t>
            </w:r>
          </w:p>
        </w:tc>
        <w:tc>
          <w:tcPr>
            <w:tcW w:w="216"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7"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17" w:type="dxa"/>
            <w:tcBorders/>
            <w:shd w:fill="CCEEFF" w:val="clear"/>
            <w:vAlign w:val="bottom"/>
          </w:tcPr>
          <w:p>
            <w:pPr>
              <w:pStyle w:val="TableContents"/>
              <w:spacing w:before="0" w:after="0"/>
              <w:ind w:left="0" w:right="0" w:hanging="0"/>
              <w:rPr/>
            </w:pPr>
            <w:r>
              <w:rPr/>
              <w:t> </w:t>
            </w:r>
          </w:p>
        </w:tc>
        <w:tc>
          <w:tcPr>
            <w:tcW w:w="8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7" w:type="dxa"/>
            <w:tcBorders/>
            <w:shd w:fill="CCEEFF" w:val="clear"/>
            <w:vAlign w:val="bottom"/>
          </w:tcPr>
          <w:p>
            <w:pPr>
              <w:pStyle w:val="TableContents"/>
              <w:spacing w:before="0" w:after="0"/>
              <w:ind w:left="0" w:right="0" w:hanging="0"/>
              <w:rPr/>
            </w:pPr>
            <w:r>
              <w:rPr/>
              <w:t> </w:t>
            </w:r>
          </w:p>
        </w:tc>
        <w:tc>
          <w:tcPr>
            <w:tcW w:w="9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units outstanding</w:t>
            </w:r>
          </w:p>
        </w:tc>
        <w:tc>
          <w:tcPr>
            <w:tcW w:w="216"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7"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17" w:type="dxa"/>
            <w:tcBorders/>
            <w:shd w:fill="auto" w:val="clear"/>
            <w:vAlign w:val="bottom"/>
          </w:tcPr>
          <w:p>
            <w:pPr>
              <w:pStyle w:val="TableContents"/>
              <w:spacing w:before="0" w:after="0"/>
              <w:ind w:left="0" w:right="0" w:hanging="0"/>
              <w:rPr/>
            </w:pPr>
            <w:r>
              <w:rPr/>
              <w:t> </w:t>
            </w:r>
          </w:p>
        </w:tc>
        <w:tc>
          <w:tcPr>
            <w:tcW w:w="8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7" w:type="dxa"/>
            <w:tcBorders/>
            <w:shd w:fill="auto" w:val="clear"/>
            <w:vAlign w:val="bottom"/>
          </w:tcPr>
          <w:p>
            <w:pPr>
              <w:pStyle w:val="TableContents"/>
              <w:spacing w:before="0" w:after="0"/>
              <w:ind w:left="0" w:right="0" w:hanging="0"/>
              <w:rPr/>
            </w:pPr>
            <w:r>
              <w:rPr/>
              <w:t> </w:t>
            </w:r>
          </w:p>
        </w:tc>
        <w:tc>
          <w:tcPr>
            <w:tcW w:w="9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Analysis of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Transportation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operating results from our transportation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521"/>
        <w:gridCol w:w="216"/>
        <w:gridCol w:w="110"/>
        <w:gridCol w:w="762"/>
        <w:gridCol w:w="217"/>
        <w:gridCol w:w="110"/>
        <w:gridCol w:w="762"/>
        <w:gridCol w:w="217"/>
        <w:gridCol w:w="110"/>
        <w:gridCol w:w="762"/>
        <w:gridCol w:w="217"/>
        <w:gridCol w:w="978"/>
        <w:gridCol w:w="223"/>
      </w:tblGrid>
      <w:tr>
        <w:trPr/>
        <w:tc>
          <w:tcPr>
            <w:tcW w:w="5521"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196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7" w:type="dxa"/>
            <w:tcBorders/>
            <w:shd w:fill="auto" w:val="clear"/>
            <w:vAlign w:val="bottom"/>
          </w:tcPr>
          <w:p>
            <w:pPr>
              <w:pStyle w:val="TableContents"/>
              <w:spacing w:before="0" w:after="0"/>
              <w:ind w:left="0" w:right="0" w:hanging="0"/>
              <w:jc w:val="center"/>
              <w:rPr/>
            </w:pPr>
            <w:r>
              <w:rPr/>
              <w:t> </w:t>
            </w:r>
          </w:p>
        </w:tc>
        <w:tc>
          <w:tcPr>
            <w:tcW w:w="206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Favorable/(Unfavorable)</w:t>
            </w:r>
          </w:p>
        </w:tc>
        <w:tc>
          <w:tcPr>
            <w:tcW w:w="223" w:type="dxa"/>
            <w:tcBorders/>
            <w:shd w:fill="auto" w:val="clear"/>
            <w:vAlign w:val="bottom"/>
          </w:tcPr>
          <w:p>
            <w:pPr>
              <w:pStyle w:val="TableContents"/>
              <w:spacing w:before="0" w:after="0"/>
              <w:ind w:left="0" w:right="0" w:hanging="0"/>
              <w:jc w:val="center"/>
              <w:rPr/>
            </w:pPr>
            <w:r>
              <w:rPr/>
              <w:t> </w:t>
            </w:r>
          </w:p>
        </w:tc>
      </w:tr>
      <w:tr>
        <w:trPr/>
        <w:tc>
          <w:tcPr>
            <w:tcW w:w="5521" w:type="dxa"/>
            <w:tcBorders/>
            <w:shd w:fill="auto" w:val="clear"/>
            <w:vAlign w:val="bottom"/>
          </w:tcPr>
          <w:p>
            <w:pPr>
              <w:pStyle w:val="TableContents"/>
              <w:spacing w:before="0" w:after="0"/>
              <w:ind w:left="0" w:right="0" w:hanging="0"/>
              <w:rPr/>
            </w:pPr>
            <w:r>
              <w:rPr>
                <w:rFonts w:ascii="Times New Roman" w:hAnsi="Times New Roman"/>
                <w:b/>
                <w:sz w:val="13"/>
              </w:rPr>
              <w:t>Operating Results</w:t>
            </w:r>
            <w:r>
              <w:rPr/>
              <w:t xml:space="preserve"> </w:t>
            </w:r>
            <w:r>
              <w:rPr>
                <w:b/>
                <w:sz w:val="8"/>
              </w:rPr>
              <w:t>(1)</w:t>
            </w:r>
          </w:p>
        </w:tc>
        <w:tc>
          <w:tcPr>
            <w:tcW w:w="216" w:type="dxa"/>
            <w:tcBorders/>
            <w:shd w:fill="auto" w:val="clear"/>
            <w:vAlign w:val="bottom"/>
          </w:tcPr>
          <w:p>
            <w:pPr>
              <w:pStyle w:val="TableContents"/>
              <w:spacing w:before="0" w:after="0"/>
              <w:ind w:left="0" w:right="0" w:hanging="0"/>
              <w:rPr/>
            </w:pPr>
            <w:r>
              <w:rPr/>
              <w:t> </w:t>
            </w:r>
          </w:p>
        </w:tc>
        <w:tc>
          <w:tcPr>
            <w:tcW w:w="196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March 31,</w:t>
            </w:r>
          </w:p>
        </w:tc>
        <w:tc>
          <w:tcPr>
            <w:tcW w:w="217" w:type="dxa"/>
            <w:tcBorders/>
            <w:shd w:fill="auto" w:val="clear"/>
            <w:vAlign w:val="bottom"/>
          </w:tcPr>
          <w:p>
            <w:pPr>
              <w:pStyle w:val="TableContents"/>
              <w:spacing w:before="0" w:after="0"/>
              <w:ind w:left="0" w:right="0" w:hanging="0"/>
              <w:jc w:val="center"/>
              <w:rPr/>
            </w:pPr>
            <w:r>
              <w:rPr/>
              <w:t> </w:t>
            </w:r>
          </w:p>
        </w:tc>
        <w:tc>
          <w:tcPr>
            <w:tcW w:w="206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23" w:type="dxa"/>
            <w:tcBorders/>
            <w:shd w:fill="auto" w:val="clear"/>
            <w:vAlign w:val="bottom"/>
          </w:tcPr>
          <w:p>
            <w:pPr>
              <w:pStyle w:val="TableContents"/>
              <w:spacing w:before="0" w:after="0"/>
              <w:ind w:left="0" w:right="0" w:hanging="0"/>
              <w:jc w:val="center"/>
              <w:rPr/>
            </w:pPr>
            <w:r>
              <w:rPr/>
              <w:t> </w:t>
            </w:r>
          </w:p>
        </w:tc>
      </w:tr>
      <w:tr>
        <w:trPr/>
        <w:tc>
          <w:tcPr>
            <w:tcW w:w="552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216" w:type="dxa"/>
            <w:tcBorders/>
            <w:shd w:fill="auto"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7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7" w:type="dxa"/>
            <w:tcBorders/>
            <w:shd w:fill="auto" w:val="clear"/>
            <w:vAlign w:val="bottom"/>
          </w:tcPr>
          <w:p>
            <w:pPr>
              <w:pStyle w:val="TableContents"/>
              <w:spacing w:before="0" w:after="0"/>
              <w:ind w:left="0" w:right="0" w:hanging="0"/>
              <w:jc w:val="center"/>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7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3" w:type="dxa"/>
            <w:tcBorders/>
            <w:shd w:fill="auto" w:val="clear"/>
            <w:vAlign w:val="bottom"/>
          </w:tcPr>
          <w:p>
            <w:pPr>
              <w:pStyle w:val="TableContents"/>
              <w:spacing w:before="0" w:after="0"/>
              <w:ind w:left="0" w:right="0" w:hanging="0"/>
              <w:jc w:val="center"/>
              <w:rPr/>
            </w:pPr>
            <w:r>
              <w:rPr/>
              <w:t> </w:t>
            </w:r>
          </w:p>
        </w:tc>
      </w:tr>
      <w:tr>
        <w:trPr/>
        <w:tc>
          <w:tcPr>
            <w:tcW w:w="5521"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p>
        </w:tc>
        <w:tc>
          <w:tcPr>
            <w:tcW w:w="216"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978" w:type="dxa"/>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r>
      <w:tr>
        <w:trPr/>
        <w:tc>
          <w:tcPr>
            <w:tcW w:w="55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21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17"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w:t>
            </w:r>
          </w:p>
        </w:tc>
        <w:tc>
          <w:tcPr>
            <w:tcW w:w="217"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7" w:type="dxa"/>
            <w:tcBorders/>
            <w:shd w:fill="auto" w:val="clear"/>
            <w:vAlign w:val="bottom"/>
          </w:tcPr>
          <w:p>
            <w:pPr>
              <w:pStyle w:val="TableContents"/>
              <w:spacing w:before="0" w:after="0"/>
              <w:ind w:left="0" w:right="0" w:hanging="0"/>
              <w:rPr/>
            </w:pPr>
            <w:r>
              <w:rPr/>
              <w:t> </w:t>
            </w:r>
          </w:p>
        </w:tc>
        <w:tc>
          <w:tcPr>
            <w:tcW w:w="9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16" w:type="dxa"/>
            <w:tcBorders/>
            <w:shd w:fill="CCEEFF"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7" w:type="dxa"/>
            <w:tcBorders/>
            <w:shd w:fill="CCEEFF"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7" w:type="dxa"/>
            <w:tcBorders/>
            <w:shd w:fill="CCEEFF"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pPr>
            <w:r>
              <w:rPr/>
              <w:t> </w:t>
            </w:r>
          </w:p>
        </w:tc>
        <w:tc>
          <w:tcPr>
            <w:tcW w:w="97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transportation revenues</w:t>
            </w:r>
          </w:p>
        </w:tc>
        <w:tc>
          <w:tcPr>
            <w:tcW w:w="216"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17"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17"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7" w:type="dxa"/>
            <w:tcBorders/>
            <w:shd w:fill="auto" w:val="clear"/>
            <w:vAlign w:val="bottom"/>
          </w:tcPr>
          <w:p>
            <w:pPr>
              <w:pStyle w:val="TableContents"/>
              <w:spacing w:before="0" w:after="0"/>
              <w:ind w:left="0" w:right="0" w:hanging="0"/>
              <w:rPr/>
            </w:pPr>
            <w:r>
              <w:rPr/>
              <w:t> </w:t>
            </w:r>
          </w:p>
        </w:tc>
        <w:tc>
          <w:tcPr>
            <w:tcW w:w="9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21" w:type="dxa"/>
            <w:tcBorders/>
            <w:shd w:fill="CCEEFF" w:val="cle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978" w:type="dxa"/>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r>
      <w:tr>
        <w:trPr/>
        <w:tc>
          <w:tcPr>
            <w:tcW w:w="5521" w:type="dxa"/>
            <w:tcBorders/>
            <w:shd w:fill="auto" w:val="clear"/>
            <w:vAlign w:val="bottom"/>
          </w:tcPr>
          <w:p>
            <w:pPr>
              <w:pStyle w:val="TableContents"/>
              <w:spacing w:before="0" w:after="0"/>
              <w:ind w:left="0" w:right="0" w:hanging="0"/>
              <w:rPr/>
            </w:pPr>
            <w:r>
              <w:rPr>
                <w:rFonts w:ascii="Times New Roman" w:hAnsi="Times New Roman"/>
                <w:sz w:val="17"/>
              </w:rPr>
              <w:t xml:space="preserve">Costs and Expenses </w:t>
            </w:r>
            <w:r>
              <w:rPr>
                <w:sz w:val="11"/>
              </w:rPr>
              <w:t>(1)</w:t>
            </w:r>
          </w:p>
        </w:tc>
        <w:tc>
          <w:tcPr>
            <w:tcW w:w="216"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978" w:type="dxa"/>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r>
      <w:tr>
        <w:trPr/>
        <w:tc>
          <w:tcPr>
            <w:tcW w:w="55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 costs</w:t>
            </w:r>
          </w:p>
        </w:tc>
        <w:tc>
          <w:tcPr>
            <w:tcW w:w="216"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9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equity compensation expense)</w:t>
            </w:r>
          </w:p>
        </w:tc>
        <w:tc>
          <w:tcPr>
            <w:tcW w:w="216"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21" w:type="dxa"/>
            <w:tcBorders/>
            <w:shd w:fill="CCEEFF" w:val="clear"/>
            <w:vAlign w:val="bottom"/>
          </w:tcPr>
          <w:p>
            <w:pPr>
              <w:pStyle w:val="TableContents"/>
              <w:spacing w:before="0" w:after="0"/>
              <w:ind w:left="0" w:right="0" w:hanging="0"/>
              <w:rPr/>
            </w:pPr>
            <w:r>
              <w:rPr>
                <w:rFonts w:ascii="Times New Roman" w:hAnsi="Times New Roman"/>
                <w:sz w:val="17"/>
              </w:rPr>
              <w:t xml:space="preserve">Equity compensation expense - operations </w:t>
            </w:r>
            <w:r>
              <w:rPr>
                <w:sz w:val="11"/>
              </w:rPr>
              <w:t>(2)</w:t>
            </w:r>
          </w:p>
        </w:tc>
        <w:tc>
          <w:tcPr>
            <w:tcW w:w="216"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G&amp;A expenses (excluding equity compensation expense)</w:t>
            </w:r>
          </w:p>
        </w:tc>
        <w:tc>
          <w:tcPr>
            <w:tcW w:w="216"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21" w:type="dxa"/>
            <w:tcBorders/>
            <w:shd w:fill="CCEEFF" w:val="clear"/>
            <w:vAlign w:val="bottom"/>
          </w:tcPr>
          <w:p>
            <w:pPr>
              <w:pStyle w:val="TableContents"/>
              <w:spacing w:before="0" w:after="0"/>
              <w:ind w:left="0" w:right="0" w:hanging="0"/>
              <w:rPr/>
            </w:pPr>
            <w:r>
              <w:rPr>
                <w:rFonts w:ascii="Times New Roman" w:hAnsi="Times New Roman"/>
                <w:sz w:val="17"/>
              </w:rPr>
              <w:t xml:space="preserve">Equity compensation expense - general and administrative </w:t>
            </w:r>
            <w:r>
              <w:rPr>
                <w:sz w:val="11"/>
              </w:rPr>
              <w:t>(2)</w:t>
            </w:r>
          </w:p>
        </w:tc>
        <w:tc>
          <w:tcPr>
            <w:tcW w:w="216"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6" w:type="dxa"/>
            <w:tcBorders/>
            <w:shd w:fill="auto"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97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1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21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7" w:type="dxa"/>
            <w:tcBorders/>
            <w:shd w:fill="CCEEFF" w:val="clear"/>
            <w:vAlign w:val="bottom"/>
          </w:tcPr>
          <w:p>
            <w:pPr>
              <w:pStyle w:val="TableContents"/>
              <w:spacing w:before="0" w:after="0"/>
              <w:ind w:left="0" w:right="0" w:hanging="0"/>
              <w:rPr/>
            </w:pPr>
            <w:r>
              <w:rPr/>
              <w:t> </w:t>
            </w:r>
          </w:p>
        </w:tc>
        <w:tc>
          <w:tcPr>
            <w:tcW w:w="97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7"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7"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7" w:type="dxa"/>
            <w:tcBorders/>
            <w:shd w:fill="auto" w:val="clear"/>
            <w:vAlign w:val="bottom"/>
          </w:tcPr>
          <w:p>
            <w:pPr>
              <w:pStyle w:val="TableContents"/>
              <w:spacing w:before="0" w:after="0"/>
              <w:ind w:left="0" w:right="0" w:hanging="0"/>
              <w:rPr/>
            </w:pPr>
            <w:r>
              <w:rPr/>
              <w:t> </w:t>
            </w:r>
          </w:p>
        </w:tc>
        <w:tc>
          <w:tcPr>
            <w:tcW w:w="97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0.51</w:t>
            </w:r>
          </w:p>
        </w:tc>
        <w:tc>
          <w:tcPr>
            <w:tcW w:w="21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0.43</w:t>
            </w:r>
          </w:p>
        </w:tc>
        <w:tc>
          <w:tcPr>
            <w:tcW w:w="21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0.08</w:t>
            </w:r>
          </w:p>
        </w:tc>
        <w:tc>
          <w:tcPr>
            <w:tcW w:w="217" w:type="dxa"/>
            <w:tcBorders/>
            <w:shd w:fill="CCEEFF" w:val="clear"/>
            <w:vAlign w:val="bottom"/>
          </w:tcPr>
          <w:p>
            <w:pPr>
              <w:pStyle w:val="TableContents"/>
              <w:spacing w:before="0" w:after="0"/>
              <w:ind w:left="0" w:right="0" w:hanging="0"/>
              <w:rPr/>
            </w:pPr>
            <w:r>
              <w:rPr/>
              <w:t> </w:t>
            </w:r>
          </w:p>
        </w:tc>
        <w:tc>
          <w:tcPr>
            <w:tcW w:w="97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32</w:t>
      </w:r>
      <w:bookmarkStart w:id="57" w:name="PB_32_150731_5335"/>
      <w:bookmarkEnd w:id="5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06"/>
        <w:gridCol w:w="209"/>
        <w:gridCol w:w="1263"/>
        <w:gridCol w:w="209"/>
        <w:gridCol w:w="1263"/>
        <w:gridCol w:w="210"/>
        <w:gridCol w:w="1263"/>
        <w:gridCol w:w="209"/>
        <w:gridCol w:w="1263"/>
        <w:gridCol w:w="210"/>
      </w:tblGrid>
      <w:tr>
        <w:trPr/>
        <w:tc>
          <w:tcPr>
            <w:tcW w:w="4106"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735"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0" w:type="dxa"/>
            <w:tcBorders/>
            <w:shd w:fill="auto" w:val="clear"/>
            <w:vAlign w:val="bottom"/>
          </w:tcPr>
          <w:p>
            <w:pPr>
              <w:pStyle w:val="TableContents"/>
              <w:spacing w:before="0" w:after="0"/>
              <w:ind w:left="0" w:right="0" w:hanging="0"/>
              <w:jc w:val="center"/>
              <w:rPr/>
            </w:pPr>
            <w:r>
              <w:rPr/>
              <w:t> </w:t>
            </w:r>
          </w:p>
        </w:tc>
        <w:tc>
          <w:tcPr>
            <w:tcW w:w="2735"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Favorable/(Unfavorable)</w:t>
            </w:r>
          </w:p>
        </w:tc>
        <w:tc>
          <w:tcPr>
            <w:tcW w:w="210" w:type="dxa"/>
            <w:tcBorders/>
            <w:shd w:fill="auto" w:val="clear"/>
            <w:vAlign w:val="bottom"/>
          </w:tcPr>
          <w:p>
            <w:pPr>
              <w:pStyle w:val="TableContents"/>
              <w:spacing w:before="0" w:after="0"/>
              <w:ind w:left="0" w:right="0" w:hanging="0"/>
              <w:jc w:val="center"/>
              <w:rPr/>
            </w:pPr>
            <w:r>
              <w:rPr/>
              <w:t> </w:t>
            </w:r>
          </w:p>
        </w:tc>
      </w:tr>
      <w:tr>
        <w:trPr/>
        <w:tc>
          <w:tcPr>
            <w:tcW w:w="4106"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Average Daily Volumes</w:t>
            </w:r>
          </w:p>
        </w:tc>
        <w:tc>
          <w:tcPr>
            <w:tcW w:w="209" w:type="dxa"/>
            <w:tcBorders/>
            <w:shd w:fill="auto" w:val="clear"/>
            <w:vAlign w:val="bottom"/>
          </w:tcPr>
          <w:p>
            <w:pPr>
              <w:pStyle w:val="TableContents"/>
              <w:spacing w:before="0" w:after="0"/>
              <w:ind w:left="0" w:right="0" w:hanging="0"/>
              <w:jc w:val="center"/>
              <w:rPr/>
            </w:pPr>
            <w:r>
              <w:rPr/>
              <w:t> </w:t>
            </w:r>
          </w:p>
        </w:tc>
        <w:tc>
          <w:tcPr>
            <w:tcW w:w="2735"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March 31,</w:t>
            </w:r>
          </w:p>
        </w:tc>
        <w:tc>
          <w:tcPr>
            <w:tcW w:w="210" w:type="dxa"/>
            <w:tcBorders/>
            <w:shd w:fill="auto" w:val="clear"/>
            <w:vAlign w:val="bottom"/>
          </w:tcPr>
          <w:p>
            <w:pPr>
              <w:pStyle w:val="TableContents"/>
              <w:spacing w:before="0" w:after="0"/>
              <w:ind w:left="0" w:right="0" w:hanging="0"/>
              <w:jc w:val="center"/>
              <w:rPr/>
            </w:pPr>
            <w:r>
              <w:rPr/>
              <w:t> </w:t>
            </w:r>
          </w:p>
        </w:tc>
        <w:tc>
          <w:tcPr>
            <w:tcW w:w="2735"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10" w:type="dxa"/>
            <w:tcBorders/>
            <w:shd w:fill="auto" w:val="clear"/>
            <w:vAlign w:val="bottom"/>
          </w:tcPr>
          <w:p>
            <w:pPr>
              <w:pStyle w:val="TableContents"/>
              <w:spacing w:before="0" w:after="0"/>
              <w:ind w:left="0" w:right="0" w:hanging="0"/>
              <w:jc w:val="center"/>
              <w:rPr/>
            </w:pPr>
            <w:r>
              <w:rPr/>
              <w:t> </w:t>
            </w:r>
          </w:p>
        </w:tc>
      </w:tr>
      <w:tr>
        <w:trPr/>
        <w:tc>
          <w:tcPr>
            <w:tcW w:w="4106"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(in thousands of barrels per day)</w:t>
            </w:r>
            <w:r>
              <w:rPr/>
              <w:t xml:space="preserve"> </w:t>
            </w:r>
            <w:r>
              <w:rPr>
                <w:b/>
                <w:sz w:val="8"/>
              </w:rPr>
              <w:t>(3)</w:t>
            </w:r>
          </w:p>
        </w:tc>
        <w:tc>
          <w:tcPr>
            <w:tcW w:w="209" w:type="dxa"/>
            <w:tcBorders/>
            <w:shd w:fill="auto" w:val="clear"/>
            <w:vAlign w:val="bottom"/>
          </w:tcPr>
          <w:p>
            <w:pPr>
              <w:pStyle w:val="TableContents"/>
              <w:spacing w:before="0" w:after="0"/>
              <w:ind w:left="0" w:right="0" w:hanging="0"/>
              <w:jc w:val="center"/>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6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0" w:type="dxa"/>
            <w:tcBorders/>
            <w:shd w:fill="auto" w:val="clear"/>
            <w:vAlign w:val="bottom"/>
          </w:tcPr>
          <w:p>
            <w:pPr>
              <w:pStyle w:val="TableContents"/>
              <w:spacing w:before="0" w:after="0"/>
              <w:ind w:left="0" w:right="0" w:hanging="0"/>
              <w:jc w:val="center"/>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6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0" w:type="dxa"/>
            <w:tcBorders/>
            <w:shd w:fill="auto" w:val="clear"/>
            <w:vAlign w:val="bottom"/>
          </w:tcPr>
          <w:p>
            <w:pPr>
              <w:pStyle w:val="TableContents"/>
              <w:spacing w:before="0" w:after="0"/>
              <w:ind w:left="0" w:right="0" w:hanging="0"/>
              <w:jc w:val="center"/>
              <w:rPr/>
            </w:pPr>
            <w:r>
              <w:rPr/>
              <w:t> </w:t>
            </w:r>
          </w:p>
        </w:tc>
      </w:tr>
      <w:tr>
        <w:trPr/>
        <w:tc>
          <w:tcPr>
            <w:tcW w:w="4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r>
      <w:tr>
        <w:trPr/>
        <w:tc>
          <w:tcPr>
            <w:tcW w:w="4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393</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206</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 63/Line 2000</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Salt Lake City Area Systems</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West Texas/New Mexico Area Systems</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395</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9" w:type="dxa"/>
            <w:tcBorders/>
            <w:shd w:fill="auto" w:val="clear"/>
            <w:vAlign w:val="bottom"/>
          </w:tcPr>
          <w:p>
            <w:pPr>
              <w:pStyle w:val="TableContents"/>
              <w:spacing w:before="0" w:after="0"/>
              <w:ind w:left="0" w:right="0" w:hanging="0"/>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1,130</w:t>
            </w:r>
          </w:p>
        </w:tc>
        <w:tc>
          <w:tcPr>
            <w:tcW w:w="209" w:type="dxa"/>
            <w:tcBorders/>
            <w:shd w:fill="auto" w:val="clear"/>
            <w:vAlign w:val="bottom"/>
          </w:tcPr>
          <w:p>
            <w:pPr>
              <w:pStyle w:val="TableContents"/>
              <w:spacing w:before="0" w:after="0"/>
              <w:ind w:left="0" w:right="0" w:hanging="0"/>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1,141</w:t>
            </w:r>
          </w:p>
        </w:tc>
        <w:tc>
          <w:tcPr>
            <w:tcW w:w="210" w:type="dxa"/>
            <w:tcBorders/>
            <w:shd w:fill="auto" w:val="clear"/>
            <w:vAlign w:val="bottom"/>
          </w:tcPr>
          <w:p>
            <w:pPr>
              <w:pStyle w:val="TableContents"/>
              <w:spacing w:before="0" w:after="0"/>
              <w:ind w:left="0" w:right="0" w:hanging="0"/>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2,705</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2,811</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09" w:type="dxa"/>
            <w:tcBorders/>
            <w:shd w:fill="auto" w:val="clear"/>
            <w:vAlign w:val="bottom"/>
          </w:tcPr>
          <w:p>
            <w:pPr>
              <w:pStyle w:val="TableContents"/>
              <w:spacing w:before="0" w:after="0"/>
              <w:ind w:left="0" w:right="0" w:hanging="0"/>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09" w:type="dxa"/>
            <w:tcBorders/>
            <w:shd w:fill="auto" w:val="clear"/>
            <w:vAlign w:val="bottom"/>
          </w:tcPr>
          <w:p>
            <w:pPr>
              <w:pStyle w:val="TableContents"/>
              <w:spacing w:before="0" w:after="0"/>
              <w:ind w:left="0" w:right="0" w:hanging="0"/>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0" w:type="dxa"/>
            <w:tcBorders/>
            <w:shd w:fill="auto" w:val="clear"/>
            <w:vAlign w:val="bottom"/>
          </w:tcPr>
          <w:p>
            <w:pPr>
              <w:pStyle w:val="TableContents"/>
              <w:spacing w:before="0" w:after="0"/>
              <w:ind w:left="0" w:right="0" w:hanging="0"/>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segment total</w:t>
            </w:r>
          </w:p>
        </w:tc>
        <w:tc>
          <w:tcPr>
            <w:tcW w:w="209" w:type="dxa"/>
            <w:tcBorders/>
            <w:shd w:fill="CCEEFF" w:val="clear"/>
            <w:vAlign w:val="bottom"/>
          </w:tcPr>
          <w:p>
            <w:pPr>
              <w:pStyle w:val="TableContents"/>
              <w:spacing w:before="0" w:after="0"/>
              <w:ind w:left="0" w:right="0" w:hanging="0"/>
              <w:rPr/>
            </w:pPr>
            <w:r>
              <w:rPr/>
              <w:t> </w:t>
            </w:r>
          </w:p>
        </w:tc>
        <w:tc>
          <w:tcPr>
            <w:tcW w:w="12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2,793</w:t>
            </w:r>
          </w:p>
        </w:tc>
        <w:tc>
          <w:tcPr>
            <w:tcW w:w="209" w:type="dxa"/>
            <w:tcBorders/>
            <w:shd w:fill="CCEEFF" w:val="clear"/>
            <w:vAlign w:val="bottom"/>
          </w:tcPr>
          <w:p>
            <w:pPr>
              <w:pStyle w:val="TableContents"/>
              <w:spacing w:before="0" w:after="0"/>
              <w:ind w:left="0" w:right="0" w:hanging="0"/>
              <w:rPr/>
            </w:pPr>
            <w:r>
              <w:rPr/>
              <w:t> </w:t>
            </w:r>
          </w:p>
        </w:tc>
        <w:tc>
          <w:tcPr>
            <w:tcW w:w="12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2,900</w:t>
            </w:r>
          </w:p>
        </w:tc>
        <w:tc>
          <w:tcPr>
            <w:tcW w:w="210" w:type="dxa"/>
            <w:tcBorders/>
            <w:shd w:fill="CCEEFF" w:val="clear"/>
            <w:vAlign w:val="bottom"/>
          </w:tcPr>
          <w:p>
            <w:pPr>
              <w:pStyle w:val="TableContents"/>
              <w:spacing w:before="0" w:after="0"/>
              <w:ind w:left="0" w:right="0" w:hanging="0"/>
              <w:rPr/>
            </w:pPr>
            <w:r>
              <w:rPr/>
              <w:t> </w:t>
            </w:r>
          </w:p>
        </w:tc>
        <w:tc>
          <w:tcPr>
            <w:tcW w:w="12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Revenues and costs and expenses include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Equity compensation expense related to our equity compensation plans. See Note 8 to our Condensed Consolidated Financial Statements for additional discussion of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Volumes associated with acquisitions represent total volumes for the number of days we actually owned the assets divided by the number of days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Transportation segment profit and segment profit per barrel were impacted by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noted in the table above, our transportation segment revenues increased approximately 11% for the three months ended March 31, 2010 compared to the three months ended March 31, 2009 while volumes decreased approximately 4%. The significant variances between the comparative periods are discussed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Loss Allowance Revenue - As is common in the industry, our tariffs incorporate a loss allowance factor that is intended to, among other things,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increase of approximately $10 million was primarily due to higher average realized price per barrel for the three months ended March 31, 2010 compared to the three months ended March 31, 2009</w:t>
      </w:r>
      <w:r>
        <w:rPr>
          <w:rFonts w:ascii="Times New Roman" w:hAnsi="Times New Roman"/>
        </w:rPr>
        <w:t xml:space="preserve"> </w:t>
      </w:r>
      <w:r>
        <w:rPr>
          <w:rFonts w:ascii="Times New Roman" w:hAnsi="Times New Roman"/>
          <w:sz w:val="17"/>
        </w:rPr>
        <w:t>(including the impact of gains from derivative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Foreign Currency Impact - Revenues and expenses from our Canadian based subsidiaries, which use the Canadian dollar as their functional currency, were translated at the prevailing average exchange rate for each month.  During 2010, revenues from some of our Canadian pipeline systems were favorably impacted by the depreciation of the U.S. dollar relative to the Canadian dollar.  The average Canadian dollar to U.S. dollar exchange rate for the three-month period ended March 31, 2010 was $1.04 CAD: $1.00 USD compared to an average of $1.25 CAD: $1.00 USD for the three-month period ended March 31, 2009.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Tariff Rates - Tariff rates increased on certain of our pipeline systems during the second half of 2009 as a result of indexing by the FERC.  In addition, we had similar type rate increases on some non-FERC regulated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Factors  Such favorable revenue variances were partially offset by volume declines primarily resulting from refinery turnarounds and downtime.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Field Operating Costs. </w:t>
      </w:r>
      <w:r>
        <w:rPr>
          <w:rFonts w:ascii="Times New Roman" w:hAnsi="Times New Roman"/>
          <w:sz w:val="17"/>
        </w:rPr>
        <w:t>Field operating costs (excluding equity compensation charges) increased in the first quarter of 2010 over the first quarter of 2009 primarily due to an approximately $3 million unfavorable foreign currency impact.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General and Administrative Expenses.</w:t>
      </w:r>
      <w:r>
        <w:rPr>
          <w:rFonts w:ascii="Times New Roman" w:hAnsi="Times New Roman"/>
        </w:rPr>
        <w:t xml:space="preserve"> </w:t>
      </w:r>
      <w:r>
        <w:rPr>
          <w:rFonts w:ascii="Times New Roman" w:hAnsi="Times New Roman"/>
          <w:sz w:val="17"/>
        </w:rPr>
        <w:t>General and administrative expenses (excluding equity compensation charges) increased in the three months ended March 31, 2010 compared to the three months ended March 31, 2009 primarily due to foreign currency impact.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33</w:t>
      </w:r>
      <w:bookmarkStart w:id="58" w:name="PB_33_151232_5796"/>
      <w:bookmarkEnd w:id="5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Maintenance Capital.</w:t>
      </w:r>
      <w:r>
        <w:rPr>
          <w:rFonts w:ascii="Times New Roman" w:hAnsi="Times New Roman"/>
        </w:rPr>
        <w:t xml:space="preserve"> </w:t>
      </w:r>
      <w:r>
        <w:rPr>
          <w:rFonts w:ascii="Times New Roman" w:hAnsi="Times New Roman"/>
          <w:sz w:val="17"/>
        </w:rPr>
        <w:t>The decrease in maintenance capital in the first quarter ended 2010 compared to first quarter ended 2009 is primarily due to (i) increased investment in 2009 applicable to API 653 repairs in an effort to meet our May 2009 compliance deadline and (ii) timing of various repair projects during each year.</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Facilities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operating results from our facilities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521"/>
        <w:gridCol w:w="216"/>
        <w:gridCol w:w="110"/>
        <w:gridCol w:w="762"/>
        <w:gridCol w:w="217"/>
        <w:gridCol w:w="110"/>
        <w:gridCol w:w="762"/>
        <w:gridCol w:w="217"/>
        <w:gridCol w:w="110"/>
        <w:gridCol w:w="762"/>
        <w:gridCol w:w="217"/>
        <w:gridCol w:w="978"/>
        <w:gridCol w:w="223"/>
      </w:tblGrid>
      <w:tr>
        <w:trPr/>
        <w:tc>
          <w:tcPr>
            <w:tcW w:w="5521"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196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7" w:type="dxa"/>
            <w:tcBorders/>
            <w:shd w:fill="auto" w:val="clear"/>
            <w:vAlign w:val="bottom"/>
          </w:tcPr>
          <w:p>
            <w:pPr>
              <w:pStyle w:val="TableContents"/>
              <w:spacing w:before="0" w:after="0"/>
              <w:ind w:left="0" w:right="0" w:hanging="0"/>
              <w:jc w:val="center"/>
              <w:rPr/>
            </w:pPr>
            <w:r>
              <w:rPr/>
              <w:t> </w:t>
            </w:r>
          </w:p>
        </w:tc>
        <w:tc>
          <w:tcPr>
            <w:tcW w:w="206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Favorable/(Unfavorable)</w:t>
            </w:r>
          </w:p>
        </w:tc>
        <w:tc>
          <w:tcPr>
            <w:tcW w:w="223" w:type="dxa"/>
            <w:tcBorders/>
            <w:shd w:fill="auto" w:val="clear"/>
            <w:vAlign w:val="bottom"/>
          </w:tcPr>
          <w:p>
            <w:pPr>
              <w:pStyle w:val="TableContents"/>
              <w:spacing w:before="0" w:after="0"/>
              <w:ind w:left="0" w:right="0" w:hanging="0"/>
              <w:jc w:val="center"/>
              <w:rPr/>
            </w:pPr>
            <w:r>
              <w:rPr/>
              <w:t> </w:t>
            </w:r>
          </w:p>
        </w:tc>
      </w:tr>
      <w:tr>
        <w:trPr/>
        <w:tc>
          <w:tcPr>
            <w:tcW w:w="5521"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Operating Results</w:t>
            </w:r>
          </w:p>
        </w:tc>
        <w:tc>
          <w:tcPr>
            <w:tcW w:w="216" w:type="dxa"/>
            <w:tcBorders/>
            <w:shd w:fill="auto" w:val="clear"/>
            <w:vAlign w:val="bottom"/>
          </w:tcPr>
          <w:p>
            <w:pPr>
              <w:pStyle w:val="TableContents"/>
              <w:spacing w:before="0" w:after="0"/>
              <w:ind w:left="0" w:right="0" w:hanging="0"/>
              <w:jc w:val="center"/>
              <w:rPr/>
            </w:pPr>
            <w:r>
              <w:rPr/>
              <w:t> </w:t>
            </w:r>
          </w:p>
        </w:tc>
        <w:tc>
          <w:tcPr>
            <w:tcW w:w="196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March 31,</w:t>
            </w:r>
          </w:p>
        </w:tc>
        <w:tc>
          <w:tcPr>
            <w:tcW w:w="217" w:type="dxa"/>
            <w:tcBorders/>
            <w:shd w:fill="auto" w:val="clear"/>
            <w:vAlign w:val="bottom"/>
          </w:tcPr>
          <w:p>
            <w:pPr>
              <w:pStyle w:val="TableContents"/>
              <w:spacing w:before="0" w:after="0"/>
              <w:ind w:left="0" w:right="0" w:hanging="0"/>
              <w:jc w:val="center"/>
              <w:rPr/>
            </w:pPr>
            <w:r>
              <w:rPr/>
              <w:t> </w:t>
            </w:r>
          </w:p>
        </w:tc>
        <w:tc>
          <w:tcPr>
            <w:tcW w:w="206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23" w:type="dxa"/>
            <w:tcBorders/>
            <w:shd w:fill="auto" w:val="clear"/>
            <w:vAlign w:val="bottom"/>
          </w:tcPr>
          <w:p>
            <w:pPr>
              <w:pStyle w:val="TableContents"/>
              <w:spacing w:before="0" w:after="0"/>
              <w:ind w:left="0" w:right="0" w:hanging="0"/>
              <w:jc w:val="center"/>
              <w:rPr/>
            </w:pPr>
            <w:r>
              <w:rPr/>
              <w:t> </w:t>
            </w:r>
          </w:p>
        </w:tc>
      </w:tr>
      <w:tr>
        <w:trPr/>
        <w:tc>
          <w:tcPr>
            <w:tcW w:w="552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216" w:type="dxa"/>
            <w:tcBorders/>
            <w:shd w:fill="auto" w:val="clear"/>
            <w:vAlign w:val="bottom"/>
          </w:tcPr>
          <w:p>
            <w:pPr>
              <w:pStyle w:val="TableContents"/>
              <w:spacing w:before="0" w:after="0"/>
              <w:ind w:left="0" w:right="0" w:hanging="0"/>
              <w:jc w:val="center"/>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7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7" w:type="dxa"/>
            <w:tcBorders/>
            <w:shd w:fill="auto" w:val="clear"/>
            <w:vAlign w:val="bottom"/>
          </w:tcPr>
          <w:p>
            <w:pPr>
              <w:pStyle w:val="TableContents"/>
              <w:spacing w:before="0" w:after="0"/>
              <w:ind w:left="0" w:right="0" w:hanging="0"/>
              <w:jc w:val="center"/>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7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3" w:type="dxa"/>
            <w:tcBorders/>
            <w:shd w:fill="auto" w:val="clear"/>
            <w:vAlign w:val="bottom"/>
          </w:tcPr>
          <w:p>
            <w:pPr>
              <w:pStyle w:val="TableContents"/>
              <w:spacing w:before="0" w:after="0"/>
              <w:ind w:left="0" w:right="0" w:hanging="0"/>
              <w:jc w:val="center"/>
              <w:rPr/>
            </w:pPr>
            <w:r>
              <w:rPr/>
              <w:t> </w:t>
            </w:r>
          </w:p>
        </w:tc>
      </w:tr>
      <w:tr>
        <w:trPr/>
        <w:tc>
          <w:tcPr>
            <w:tcW w:w="5521" w:type="dxa"/>
            <w:tcBorders/>
            <w:shd w:fill="CCEEFF" w:val="clear"/>
            <w:vAlign w:val="bottom"/>
          </w:tcPr>
          <w:p>
            <w:pPr>
              <w:pStyle w:val="TableContents"/>
              <w:spacing w:before="0" w:after="0"/>
              <w:ind w:left="0" w:right="0" w:hanging="0"/>
              <w:rPr/>
            </w:pPr>
            <w:r>
              <w:rPr>
                <w:rFonts w:ascii="Times New Roman" w:hAnsi="Times New Roman"/>
                <w:sz w:val="17"/>
              </w:rPr>
              <w:t xml:space="preserve">Storage and terminalling revenues </w:t>
            </w:r>
            <w:r>
              <w:rPr>
                <w:sz w:val="11"/>
              </w:rPr>
              <w:t>(1)</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17"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17"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17" w:type="dxa"/>
            <w:tcBorders/>
            <w:shd w:fill="CCEEFF" w:val="clear"/>
            <w:vAlign w:val="bottom"/>
          </w:tcPr>
          <w:p>
            <w:pPr>
              <w:pStyle w:val="TableContents"/>
              <w:spacing w:before="0" w:after="0"/>
              <w:ind w:left="0" w:right="0" w:hanging="0"/>
              <w:rPr/>
            </w:pPr>
            <w:r>
              <w:rPr/>
              <w:t> </w:t>
            </w:r>
          </w:p>
        </w:tc>
        <w:tc>
          <w:tcPr>
            <w:tcW w:w="9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Storage related costs (natural gas related)</w:t>
            </w:r>
          </w:p>
        </w:tc>
        <w:tc>
          <w:tcPr>
            <w:tcW w:w="216"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23" w:type="dxa"/>
            <w:tcBorders/>
            <w:shd w:fill="auto" w:val="clear"/>
            <w:vAlign w:val="bottom"/>
          </w:tcPr>
          <w:p>
            <w:pPr>
              <w:pStyle w:val="TableContents"/>
              <w:spacing w:before="0" w:after="0"/>
              <w:ind w:left="0" w:right="0" w:hanging="0"/>
              <w:rPr/>
            </w:pPr>
            <w:r>
              <w:rPr/>
              <w:t> </w:t>
            </w:r>
          </w:p>
        </w:tc>
      </w:tr>
      <w:tr>
        <w:trPr/>
        <w:tc>
          <w:tcPr>
            <w:tcW w:w="55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16"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G&amp;A expenses (excluding equity compensation expense)</w:t>
            </w:r>
          </w:p>
        </w:tc>
        <w:tc>
          <w:tcPr>
            <w:tcW w:w="216"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21" w:type="dxa"/>
            <w:tcBorders/>
            <w:shd w:fill="CCEEFF" w:val="clear"/>
            <w:vAlign w:val="bottom"/>
          </w:tcPr>
          <w:p>
            <w:pPr>
              <w:pStyle w:val="TableContents"/>
              <w:spacing w:before="0" w:after="0"/>
              <w:ind w:left="0" w:right="0" w:hanging="0"/>
              <w:rPr/>
            </w:pPr>
            <w:r>
              <w:rPr>
                <w:rFonts w:ascii="Times New Roman" w:hAnsi="Times New Roman"/>
                <w:sz w:val="17"/>
              </w:rPr>
              <w:t xml:space="preserve">Equity compensation expense - general and administrative </w:t>
            </w:r>
            <w:r>
              <w:rPr>
                <w:sz w:val="11"/>
              </w:rPr>
              <w:t>(2)</w:t>
            </w:r>
          </w:p>
        </w:tc>
        <w:tc>
          <w:tcPr>
            <w:tcW w:w="216"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6" w:type="dxa"/>
            <w:tcBorders/>
            <w:shd w:fill="auto"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auto"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1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7" w:type="dxa"/>
            <w:tcBorders/>
            <w:shd w:fill="CCEEFF" w:val="clear"/>
            <w:vAlign w:val="bottom"/>
          </w:tcPr>
          <w:p>
            <w:pPr>
              <w:pStyle w:val="TableContents"/>
              <w:spacing w:before="0" w:after="0"/>
              <w:ind w:left="0" w:right="0" w:hanging="0"/>
              <w:rPr/>
            </w:pPr>
            <w:r>
              <w:rPr/>
              <w:t> </w:t>
            </w:r>
          </w:p>
        </w:tc>
        <w:tc>
          <w:tcPr>
            <w:tcW w:w="97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7"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7"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7" w:type="dxa"/>
            <w:tcBorders/>
            <w:shd w:fill="auto" w:val="clear"/>
            <w:vAlign w:val="bottom"/>
          </w:tcPr>
          <w:p>
            <w:pPr>
              <w:pStyle w:val="TableContents"/>
              <w:spacing w:before="0" w:after="0"/>
              <w:ind w:left="0" w:right="0" w:hanging="0"/>
              <w:rPr/>
            </w:pPr>
            <w:r>
              <w:rPr/>
              <w:t> </w:t>
            </w:r>
          </w:p>
        </w:tc>
        <w:tc>
          <w:tcPr>
            <w:tcW w:w="97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0.30</w:t>
            </w:r>
          </w:p>
        </w:tc>
        <w:tc>
          <w:tcPr>
            <w:tcW w:w="21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0.26</w:t>
            </w:r>
          </w:p>
        </w:tc>
        <w:tc>
          <w:tcPr>
            <w:tcW w:w="21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0.04</w:t>
            </w:r>
          </w:p>
        </w:tc>
        <w:tc>
          <w:tcPr>
            <w:tcW w:w="217" w:type="dxa"/>
            <w:tcBorders/>
            <w:shd w:fill="CCEEFF" w:val="clear"/>
            <w:vAlign w:val="bottom"/>
          </w:tcPr>
          <w:p>
            <w:pPr>
              <w:pStyle w:val="TableContents"/>
              <w:spacing w:before="0" w:after="0"/>
              <w:ind w:left="0" w:right="0" w:hanging="0"/>
              <w:rPr/>
            </w:pPr>
            <w:r>
              <w:rPr/>
              <w:t> </w:t>
            </w:r>
          </w:p>
        </w:tc>
        <w:tc>
          <w:tcPr>
            <w:tcW w:w="97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367"/>
        <w:gridCol w:w="210"/>
        <w:gridCol w:w="947"/>
        <w:gridCol w:w="210"/>
        <w:gridCol w:w="947"/>
        <w:gridCol w:w="210"/>
        <w:gridCol w:w="947"/>
        <w:gridCol w:w="210"/>
        <w:gridCol w:w="947"/>
        <w:gridCol w:w="210"/>
      </w:tblGrid>
      <w:tr>
        <w:trPr/>
        <w:tc>
          <w:tcPr>
            <w:tcW w:w="5367"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2104"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0" w:type="dxa"/>
            <w:tcBorders/>
            <w:shd w:fill="auto" w:val="clear"/>
            <w:vAlign w:val="bottom"/>
          </w:tcPr>
          <w:p>
            <w:pPr>
              <w:pStyle w:val="TableContents"/>
              <w:spacing w:before="0" w:after="0"/>
              <w:ind w:left="0" w:right="0" w:hanging="0"/>
              <w:jc w:val="center"/>
              <w:rPr/>
            </w:pPr>
            <w:r>
              <w:rPr/>
              <w:t> </w:t>
            </w:r>
          </w:p>
        </w:tc>
        <w:tc>
          <w:tcPr>
            <w:tcW w:w="2104"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Favorable/(Unfavorable)</w:t>
            </w:r>
          </w:p>
        </w:tc>
        <w:tc>
          <w:tcPr>
            <w:tcW w:w="210" w:type="dxa"/>
            <w:tcBorders/>
            <w:shd w:fill="auto" w:val="clear"/>
            <w:vAlign w:val="bottom"/>
          </w:tcPr>
          <w:p>
            <w:pPr>
              <w:pStyle w:val="TableContents"/>
              <w:spacing w:before="0" w:after="0"/>
              <w:ind w:left="0" w:right="0" w:hanging="0"/>
              <w:jc w:val="center"/>
              <w:rPr/>
            </w:pPr>
            <w:r>
              <w:rPr/>
              <w:t> </w:t>
            </w:r>
          </w:p>
        </w:tc>
      </w:tr>
      <w:tr>
        <w:trPr/>
        <w:tc>
          <w:tcPr>
            <w:tcW w:w="5367"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2104"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March 31,</w:t>
            </w:r>
          </w:p>
        </w:tc>
        <w:tc>
          <w:tcPr>
            <w:tcW w:w="210" w:type="dxa"/>
            <w:tcBorders/>
            <w:shd w:fill="auto" w:val="clear"/>
            <w:vAlign w:val="bottom"/>
          </w:tcPr>
          <w:p>
            <w:pPr>
              <w:pStyle w:val="TableContents"/>
              <w:spacing w:before="0" w:after="0"/>
              <w:ind w:left="0" w:right="0" w:hanging="0"/>
              <w:jc w:val="center"/>
              <w:rPr/>
            </w:pPr>
            <w:r>
              <w:rPr/>
              <w:t> </w:t>
            </w:r>
          </w:p>
        </w:tc>
        <w:tc>
          <w:tcPr>
            <w:tcW w:w="2104"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10" w:type="dxa"/>
            <w:tcBorders/>
            <w:shd w:fill="auto" w:val="clear"/>
            <w:vAlign w:val="bottom"/>
          </w:tcPr>
          <w:p>
            <w:pPr>
              <w:pStyle w:val="TableContents"/>
              <w:spacing w:before="0" w:after="0"/>
              <w:ind w:left="0" w:right="0" w:hanging="0"/>
              <w:jc w:val="center"/>
              <w:rPr/>
            </w:pPr>
            <w:r>
              <w:rPr/>
              <w:t> </w:t>
            </w:r>
          </w:p>
        </w:tc>
      </w:tr>
      <w:tr>
        <w:trPr/>
        <w:tc>
          <w:tcPr>
            <w:tcW w:w="5367"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 xml:space="preserve">Volumes </w:t>
            </w:r>
            <w:r>
              <w:rPr>
                <w:b/>
                <w:sz w:val="8"/>
              </w:rPr>
              <w:t>(3)(4)(5)</w:t>
            </w:r>
          </w:p>
        </w:tc>
        <w:tc>
          <w:tcPr>
            <w:tcW w:w="210" w:type="dxa"/>
            <w:tcBorders/>
            <w:shd w:fill="auto" w:val="clear"/>
            <w:vAlign w:val="bottom"/>
          </w:tcPr>
          <w:p>
            <w:pPr>
              <w:pStyle w:val="TableContents"/>
              <w:spacing w:before="0" w:after="0"/>
              <w:ind w:left="0" w:right="0" w:hanging="0"/>
              <w:jc w:val="center"/>
              <w:rPr/>
            </w:pPr>
            <w:r>
              <w:rPr/>
              <w:t> </w:t>
            </w:r>
          </w:p>
        </w:tc>
        <w:tc>
          <w:tcPr>
            <w:tcW w:w="94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4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0" w:type="dxa"/>
            <w:tcBorders/>
            <w:shd w:fill="auto" w:val="clear"/>
            <w:vAlign w:val="bottom"/>
          </w:tcPr>
          <w:p>
            <w:pPr>
              <w:pStyle w:val="TableContents"/>
              <w:spacing w:before="0" w:after="0"/>
              <w:ind w:left="0" w:right="0" w:hanging="0"/>
              <w:jc w:val="center"/>
              <w:rPr/>
            </w:pPr>
            <w:r>
              <w:rPr/>
              <w:t> </w:t>
            </w:r>
          </w:p>
        </w:tc>
        <w:tc>
          <w:tcPr>
            <w:tcW w:w="94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4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0" w:type="dxa"/>
            <w:tcBorders/>
            <w:shd w:fill="auto" w:val="clear"/>
            <w:vAlign w:val="bottom"/>
          </w:tcPr>
          <w:p>
            <w:pPr>
              <w:pStyle w:val="TableContents"/>
              <w:spacing w:before="0" w:after="0"/>
              <w:ind w:left="0" w:right="0" w:hanging="0"/>
              <w:jc w:val="center"/>
              <w:rPr/>
            </w:pPr>
            <w:r>
              <w:rPr/>
              <w:t> </w:t>
            </w:r>
          </w:p>
        </w:tc>
      </w:tr>
      <w:tr>
        <w:trPr/>
        <w:tc>
          <w:tcPr>
            <w:tcW w:w="53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LPG storage</w:t>
            </w:r>
          </w:p>
        </w:tc>
        <w:tc>
          <w:tcPr>
            <w:tcW w:w="210" w:type="dxa"/>
            <w:tcBorders/>
            <w:shd w:fill="CCEEFF" w:val="clear"/>
            <w:vAlign w:val="bottom"/>
          </w:tcPr>
          <w:p>
            <w:pPr>
              <w:pStyle w:val="TableContents"/>
              <w:spacing w:before="0" w:after="0"/>
              <w:ind w:left="0" w:right="0" w:hanging="0"/>
              <w:rPr/>
            </w:pPr>
            <w:r>
              <w:rPr/>
              <w:t> </w:t>
            </w:r>
          </w:p>
        </w:tc>
        <w:tc>
          <w:tcPr>
            <w:tcW w:w="947"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947"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947"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947"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r>
      <w:tr>
        <w:trPr/>
        <w:tc>
          <w:tcPr>
            <w:tcW w:w="53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(average monthly capacity in millions of barrels)</w:t>
            </w:r>
          </w:p>
        </w:tc>
        <w:tc>
          <w:tcPr>
            <w:tcW w:w="210" w:type="dxa"/>
            <w:tcBorders/>
            <w:shd w:fill="CCEEFF" w:val="clear"/>
            <w:vAlign w:val="bottom"/>
          </w:tcPr>
          <w:p>
            <w:pPr>
              <w:pStyle w:val="TableContents"/>
              <w:spacing w:before="0" w:after="0"/>
              <w:ind w:left="0" w:right="0" w:hanging="0"/>
              <w:rPr/>
            </w:pPr>
            <w:r>
              <w:rPr/>
              <w:t> </w:t>
            </w:r>
          </w:p>
        </w:tc>
        <w:tc>
          <w:tcPr>
            <w:tcW w:w="94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0" w:type="dxa"/>
            <w:tcBorders/>
            <w:shd w:fill="CCEEFF" w:val="clear"/>
            <w:vAlign w:val="bottom"/>
          </w:tcPr>
          <w:p>
            <w:pPr>
              <w:pStyle w:val="TableContents"/>
              <w:spacing w:before="0" w:after="0"/>
              <w:ind w:left="0" w:right="0" w:hanging="0"/>
              <w:rPr/>
            </w:pPr>
            <w:r>
              <w:rPr/>
              <w:t> </w:t>
            </w:r>
          </w:p>
        </w:tc>
        <w:tc>
          <w:tcPr>
            <w:tcW w:w="94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10" w:type="dxa"/>
            <w:tcBorders/>
            <w:shd w:fill="CCEEFF" w:val="clear"/>
            <w:vAlign w:val="bottom"/>
          </w:tcPr>
          <w:p>
            <w:pPr>
              <w:pStyle w:val="TableContents"/>
              <w:spacing w:before="0" w:after="0"/>
              <w:ind w:left="0" w:right="0" w:hanging="0"/>
              <w:rPr/>
            </w:pPr>
            <w:r>
              <w:rPr/>
              <w:t> </w:t>
            </w:r>
          </w:p>
        </w:tc>
        <w:tc>
          <w:tcPr>
            <w:tcW w:w="94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0" w:type="dxa"/>
            <w:tcBorders/>
            <w:shd w:fill="CCEEFF" w:val="clear"/>
            <w:vAlign w:val="bottom"/>
          </w:tcPr>
          <w:p>
            <w:pPr>
              <w:pStyle w:val="TableContents"/>
              <w:spacing w:before="0" w:after="0"/>
              <w:ind w:left="0" w:right="0" w:hanging="0"/>
              <w:rPr/>
            </w:pPr>
            <w:r>
              <w:rPr/>
              <w:t> </w:t>
            </w:r>
          </w:p>
        </w:tc>
        <w:tc>
          <w:tcPr>
            <w:tcW w:w="94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 storage</w:t>
            </w:r>
          </w:p>
        </w:tc>
        <w:tc>
          <w:tcPr>
            <w:tcW w:w="210" w:type="dxa"/>
            <w:tcBorders/>
            <w:shd w:fill="auto" w:val="clear"/>
            <w:vAlign w:val="bottom"/>
          </w:tcPr>
          <w:p>
            <w:pPr>
              <w:pStyle w:val="TableContents"/>
              <w:spacing w:before="0" w:after="0"/>
              <w:ind w:left="0" w:right="0" w:hanging="0"/>
              <w:rPr/>
            </w:pPr>
            <w:r>
              <w:rPr/>
              <w:t> </w:t>
            </w:r>
          </w:p>
        </w:tc>
        <w:tc>
          <w:tcPr>
            <w:tcW w:w="947"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947"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947"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947"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r>
      <w:tr>
        <w:trPr/>
        <w:tc>
          <w:tcPr>
            <w:tcW w:w="53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(average monthly capacity in billions of cubic feet)</w:t>
            </w:r>
          </w:p>
        </w:tc>
        <w:tc>
          <w:tcPr>
            <w:tcW w:w="210" w:type="dxa"/>
            <w:tcBorders/>
            <w:shd w:fill="auto" w:val="clear"/>
            <w:vAlign w:val="bottom"/>
          </w:tcPr>
          <w:p>
            <w:pPr>
              <w:pStyle w:val="TableContents"/>
              <w:spacing w:before="0" w:after="0"/>
              <w:ind w:left="0" w:right="0" w:hanging="0"/>
              <w:rPr/>
            </w:pPr>
            <w:r>
              <w:rPr/>
              <w:t> </w:t>
            </w:r>
          </w:p>
        </w:tc>
        <w:tc>
          <w:tcPr>
            <w:tcW w:w="94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10" w:type="dxa"/>
            <w:tcBorders/>
            <w:shd w:fill="auto" w:val="clear"/>
            <w:vAlign w:val="bottom"/>
          </w:tcPr>
          <w:p>
            <w:pPr>
              <w:pStyle w:val="TableContents"/>
              <w:spacing w:before="0" w:after="0"/>
              <w:ind w:left="0" w:right="0" w:hanging="0"/>
              <w:rPr/>
            </w:pPr>
            <w:r>
              <w:rPr/>
              <w:t> </w:t>
            </w:r>
          </w:p>
        </w:tc>
        <w:tc>
          <w:tcPr>
            <w:tcW w:w="94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0" w:type="dxa"/>
            <w:tcBorders/>
            <w:shd w:fill="auto" w:val="clear"/>
            <w:vAlign w:val="bottom"/>
          </w:tcPr>
          <w:p>
            <w:pPr>
              <w:pStyle w:val="TableContents"/>
              <w:spacing w:before="0" w:after="0"/>
              <w:ind w:left="0" w:right="0" w:hanging="0"/>
              <w:rPr/>
            </w:pPr>
            <w:r>
              <w:rPr/>
              <w:t> </w:t>
            </w:r>
          </w:p>
        </w:tc>
        <w:tc>
          <w:tcPr>
            <w:tcW w:w="94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0" w:type="dxa"/>
            <w:tcBorders/>
            <w:shd w:fill="auto" w:val="clear"/>
            <w:vAlign w:val="bottom"/>
          </w:tcPr>
          <w:p>
            <w:pPr>
              <w:pStyle w:val="TableContents"/>
              <w:spacing w:before="0" w:after="0"/>
              <w:ind w:left="0" w:right="0" w:hanging="0"/>
              <w:rPr/>
            </w:pPr>
            <w:r>
              <w:rPr/>
              <w:t> </w:t>
            </w:r>
          </w:p>
        </w:tc>
        <w:tc>
          <w:tcPr>
            <w:tcW w:w="94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processing</w:t>
            </w:r>
          </w:p>
        </w:tc>
        <w:tc>
          <w:tcPr>
            <w:tcW w:w="210" w:type="dxa"/>
            <w:tcBorders/>
            <w:shd w:fill="CCEEFF" w:val="clear"/>
            <w:vAlign w:val="bottom"/>
          </w:tcPr>
          <w:p>
            <w:pPr>
              <w:pStyle w:val="TableContents"/>
              <w:spacing w:before="0" w:after="0"/>
              <w:ind w:left="0" w:right="0" w:hanging="0"/>
              <w:rPr/>
            </w:pPr>
            <w:r>
              <w:rPr/>
              <w:t> </w:t>
            </w:r>
          </w:p>
        </w:tc>
        <w:tc>
          <w:tcPr>
            <w:tcW w:w="947"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947"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947"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947"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r>
      <w:tr>
        <w:trPr/>
        <w:tc>
          <w:tcPr>
            <w:tcW w:w="53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(average throughput in thousands of barrels per day)</w:t>
            </w:r>
          </w:p>
        </w:tc>
        <w:tc>
          <w:tcPr>
            <w:tcW w:w="210" w:type="dxa"/>
            <w:tcBorders/>
            <w:shd w:fill="CCEEFF" w:val="clear"/>
            <w:vAlign w:val="bottom"/>
          </w:tcPr>
          <w:p>
            <w:pPr>
              <w:pStyle w:val="TableContents"/>
              <w:spacing w:before="0" w:after="0"/>
              <w:ind w:left="0" w:right="0" w:hanging="0"/>
              <w:rPr/>
            </w:pPr>
            <w:r>
              <w:rPr/>
              <w:t> </w:t>
            </w:r>
          </w:p>
        </w:tc>
        <w:tc>
          <w:tcPr>
            <w:tcW w:w="94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0" w:type="dxa"/>
            <w:tcBorders/>
            <w:shd w:fill="CCEEFF" w:val="clear"/>
            <w:vAlign w:val="bottom"/>
          </w:tcPr>
          <w:p>
            <w:pPr>
              <w:pStyle w:val="TableContents"/>
              <w:spacing w:before="0" w:after="0"/>
              <w:ind w:left="0" w:right="0" w:hanging="0"/>
              <w:rPr/>
            </w:pPr>
            <w:r>
              <w:rPr/>
              <w:t> </w:t>
            </w:r>
          </w:p>
        </w:tc>
        <w:tc>
          <w:tcPr>
            <w:tcW w:w="94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0" w:type="dxa"/>
            <w:tcBorders/>
            <w:shd w:fill="CCEEFF" w:val="clear"/>
            <w:vAlign w:val="bottom"/>
          </w:tcPr>
          <w:p>
            <w:pPr>
              <w:pStyle w:val="TableContents"/>
              <w:spacing w:before="0" w:after="0"/>
              <w:ind w:left="0" w:right="0" w:hanging="0"/>
              <w:rPr/>
            </w:pPr>
            <w:r>
              <w:rPr/>
              <w:t> </w:t>
            </w:r>
          </w:p>
        </w:tc>
        <w:tc>
          <w:tcPr>
            <w:tcW w:w="94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67"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Facilities segment total</w:t>
            </w:r>
          </w:p>
        </w:tc>
        <w:tc>
          <w:tcPr>
            <w:tcW w:w="210" w:type="dxa"/>
            <w:tcBorders/>
            <w:shd w:fill="auto" w:val="clear"/>
            <w:vAlign w:val="bottom"/>
          </w:tcPr>
          <w:p>
            <w:pPr>
              <w:pStyle w:val="TableContents"/>
              <w:spacing w:before="0" w:after="0"/>
              <w:ind w:left="0" w:right="0" w:hanging="0"/>
              <w:rPr/>
            </w:pPr>
            <w:r>
              <w:rPr/>
              <w:t> </w:t>
            </w:r>
          </w:p>
        </w:tc>
        <w:tc>
          <w:tcPr>
            <w:tcW w:w="947"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947"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947"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947"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r>
      <w:tr>
        <w:trPr/>
        <w:tc>
          <w:tcPr>
            <w:tcW w:w="5367"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(average monthly capacity in millions of barrels)</w:t>
            </w:r>
          </w:p>
        </w:tc>
        <w:tc>
          <w:tcPr>
            <w:tcW w:w="210" w:type="dxa"/>
            <w:tcBorders/>
            <w:shd w:fill="auto" w:val="clear"/>
            <w:vAlign w:val="bottom"/>
          </w:tcPr>
          <w:p>
            <w:pPr>
              <w:pStyle w:val="TableContents"/>
              <w:spacing w:before="0" w:after="0"/>
              <w:ind w:left="0" w:right="0" w:hanging="0"/>
              <w:rPr/>
            </w:pPr>
            <w:r>
              <w:rPr/>
              <w:t> </w:t>
            </w:r>
          </w:p>
        </w:tc>
        <w:tc>
          <w:tcPr>
            <w:tcW w:w="94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10" w:type="dxa"/>
            <w:tcBorders/>
            <w:shd w:fill="auto" w:val="clear"/>
            <w:vAlign w:val="bottom"/>
          </w:tcPr>
          <w:p>
            <w:pPr>
              <w:pStyle w:val="TableContents"/>
              <w:spacing w:before="0" w:after="0"/>
              <w:ind w:left="0" w:right="0" w:hanging="0"/>
              <w:rPr/>
            </w:pPr>
            <w:r>
              <w:rPr/>
              <w:t> </w:t>
            </w:r>
          </w:p>
        </w:tc>
        <w:tc>
          <w:tcPr>
            <w:tcW w:w="94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0" w:type="dxa"/>
            <w:tcBorders/>
            <w:shd w:fill="auto" w:val="clear"/>
            <w:vAlign w:val="bottom"/>
          </w:tcPr>
          <w:p>
            <w:pPr>
              <w:pStyle w:val="TableContents"/>
              <w:spacing w:before="0" w:after="0"/>
              <w:ind w:left="0" w:right="0" w:hanging="0"/>
              <w:rPr/>
            </w:pPr>
            <w:r>
              <w:rPr/>
              <w:t> </w:t>
            </w:r>
          </w:p>
        </w:tc>
        <w:tc>
          <w:tcPr>
            <w:tcW w:w="94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0" w:type="dxa"/>
            <w:tcBorders/>
            <w:shd w:fill="auto" w:val="clear"/>
            <w:vAlign w:val="bottom"/>
          </w:tcPr>
          <w:p>
            <w:pPr>
              <w:pStyle w:val="TableContents"/>
              <w:spacing w:before="0" w:after="0"/>
              <w:ind w:left="0" w:right="0" w:hanging="0"/>
              <w:rPr/>
            </w:pPr>
            <w:r>
              <w:rPr/>
              <w:t> </w:t>
            </w:r>
          </w:p>
        </w:tc>
        <w:tc>
          <w:tcPr>
            <w:tcW w:w="94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Equity compensation expense related to our equity compensation plans. See Note 8 to our Condensed Consolidated Financial Statements for additional discussion of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Volumes associated with acquisitions represent total volumes for the number of months we actually owned the assets divided by the number of months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Facilities total calculated as the sum of: (i) crude oil, refined products and LPG storage capacity; (ii) natural gas storage capacity divided by 6 to account for the 6:1 mcf of gas to crude oil barrel ratio; and (iii) LPG processing volumes multiplied by the number of days in the period and divided by the number of months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In September 2009, we acquired the remaining 50% indirect interest in PNGS, which resulted in our 100% ownership of the natural gas storage business and related operating entities.  Therefore, natural gas storage volumes for January through March 2009 are netted to our 50% interest in PNGS.  January through March 2010 volumes represent our 100% interest in PNGS.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Facilities segment profit and segment profit per barrel were impacted by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noted in the table above, our facilities segment revenues (less storage related costs) and volumes increased for the three months ended March 31, 2010 compared to the three months ended March 31, 2009.  The significant variances in revenues and average monthly volumes between the comparative periods are discussed below:</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34</w:t>
      </w:r>
      <w:bookmarkStart w:id="59" w:name="PB_34_151758_2897"/>
      <w:bookmarkEnd w:id="5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Acquisitions  Revenues net of storage related costs and volumes for the first three months of 2010 compared to the first three months of 2009 were primarily impacted by the PNGS acquisition, which closed during the third quarter of 2009.  This acquisition and ongoing expansion activities contributed approximately $16 million of additional net revenue and approximately 25 Bcf of additional natural gas storage capacity for the three months ended March 31, 2010 compared to the corresponding period during 2009. Revenues were also favorably impacted by the acquisition of a natural gas processing business,</w:t>
      </w:r>
      <w:r>
        <w:rPr>
          <w:rFonts w:ascii="Times New Roman" w:hAnsi="Times New Roman"/>
        </w:rPr>
        <w:t xml:space="preserve"> </w:t>
      </w:r>
      <w:r>
        <w:rPr>
          <w:rFonts w:ascii="Times New Roman" w:hAnsi="Times New Roman"/>
          <w:sz w:val="17"/>
        </w:rPr>
        <w:t>which closed during the second quarter of 2009. This acquisition contributed approximately $4 million in additional revenue for the three months ended March 31,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Expansion Projects  Expansion projects that were completed in phases throughout 2009 also favorably impacted revenues and volumes during the comparative periods. These expansion projects, which were completed at some of our major terminal locations, increased our revenues by a combined $2 million for 2010. Aggregate volumes increased by approximately 2 million barrels for 2010 at these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Field Operating Costs.</w:t>
      </w:r>
      <w:r>
        <w:rPr>
          <w:rFonts w:ascii="Times New Roman" w:hAnsi="Times New Roman"/>
        </w:rPr>
        <w:t xml:space="preserve">  </w:t>
      </w:r>
      <w:r>
        <w:rPr>
          <w:rFonts w:ascii="Times New Roman" w:hAnsi="Times New Roman"/>
          <w:sz w:val="17"/>
        </w:rPr>
        <w:t>Field operating costs increased in most categories during the three months ended March 31, 2010 compared to the three months ended March 31, 2009 primarily due to (i) acquisitions such as the PNGS and natural gas processing acquisitions completed in the second half of 2009 (as discussed above) and (ii) our continued growth through additional tankage placed into service during 2009 at some of our major terminal locations.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General and Administrative Expenses.</w:t>
      </w:r>
      <w:r>
        <w:rPr>
          <w:rFonts w:ascii="Times New Roman" w:hAnsi="Times New Roman"/>
        </w:rPr>
        <w:t xml:space="preserve">  </w:t>
      </w:r>
      <w:r>
        <w:rPr>
          <w:rFonts w:ascii="Times New Roman" w:hAnsi="Times New Roman"/>
          <w:sz w:val="17"/>
        </w:rPr>
        <w:t>Our general and administrative expenses (excluding equity compensation charges) increased during the three months ended March 31, 2010 compared to the three months ended March 31, 2009 primarily due to (i) our continued growth through acquisitions, such as the PNGS and natural gas processing acquisitions completed in 2009 (as discussed above) and (ii) acquisition related expenses and costs associated with the PNG IPO.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Equity Earnings in Unconsolidated Entities.  </w:t>
      </w:r>
      <w:r>
        <w:rPr>
          <w:rFonts w:ascii="Times New Roman" w:hAnsi="Times New Roman"/>
          <w:sz w:val="17"/>
        </w:rPr>
        <w:t>Equity earnings in unconsolidated entities decreased due to the PNGS acquisition in September 2009 that increased our interest from 50% to 100%.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Maintenance Capital.</w:t>
      </w:r>
      <w:r>
        <w:rPr>
          <w:rFonts w:ascii="Times New Roman" w:hAnsi="Times New Roman"/>
        </w:rPr>
        <w:t xml:space="preserve">  </w:t>
      </w:r>
      <w:r>
        <w:rPr>
          <w:rFonts w:ascii="Times New Roman" w:hAnsi="Times New Roman"/>
          <w:sz w:val="17"/>
        </w:rPr>
        <w:t>The decrease in maintenance capital in the first quarter of 2010 compared to the first quarter of 2009 is primarily due to (i) increased investment in 2009 in API 653 repairs in an effort to meet our May 2009 compliance deadline and (ii) timing of various repair projects during each year.</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Supply and Logistics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operating results from our supply and logistics segment for the periods indicated: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35</w:t>
      </w:r>
      <w:bookmarkStart w:id="60" w:name="PB_35_151818_3020"/>
      <w:bookmarkEnd w:id="6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483"/>
        <w:gridCol w:w="216"/>
        <w:gridCol w:w="112"/>
        <w:gridCol w:w="770"/>
        <w:gridCol w:w="217"/>
        <w:gridCol w:w="112"/>
        <w:gridCol w:w="770"/>
        <w:gridCol w:w="217"/>
        <w:gridCol w:w="112"/>
        <w:gridCol w:w="770"/>
        <w:gridCol w:w="217"/>
        <w:gridCol w:w="978"/>
        <w:gridCol w:w="231"/>
      </w:tblGrid>
      <w:tr>
        <w:trPr/>
        <w:tc>
          <w:tcPr>
            <w:tcW w:w="5483"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198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7" w:type="dxa"/>
            <w:tcBorders/>
            <w:shd w:fill="auto" w:val="clear"/>
            <w:vAlign w:val="bottom"/>
          </w:tcPr>
          <w:p>
            <w:pPr>
              <w:pStyle w:val="TableContents"/>
              <w:spacing w:before="0" w:after="0"/>
              <w:ind w:left="0" w:right="0" w:hanging="0"/>
              <w:jc w:val="center"/>
              <w:rPr/>
            </w:pPr>
            <w:r>
              <w:rPr/>
              <w:t> </w:t>
            </w:r>
          </w:p>
        </w:tc>
        <w:tc>
          <w:tcPr>
            <w:tcW w:w="207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Favorable/(Unfavorable)</w:t>
            </w:r>
          </w:p>
        </w:tc>
        <w:tc>
          <w:tcPr>
            <w:tcW w:w="231" w:type="dxa"/>
            <w:tcBorders/>
            <w:shd w:fill="auto" w:val="clear"/>
            <w:vAlign w:val="bottom"/>
          </w:tcPr>
          <w:p>
            <w:pPr>
              <w:pStyle w:val="TableContents"/>
              <w:spacing w:before="0" w:after="0"/>
              <w:ind w:left="0" w:right="0" w:hanging="0"/>
              <w:jc w:val="center"/>
              <w:rPr/>
            </w:pPr>
            <w:r>
              <w:rPr/>
              <w:t> </w:t>
            </w:r>
          </w:p>
        </w:tc>
      </w:tr>
      <w:tr>
        <w:trPr/>
        <w:tc>
          <w:tcPr>
            <w:tcW w:w="5483" w:type="dxa"/>
            <w:tcBorders/>
            <w:shd w:fill="auto" w:val="clear"/>
            <w:vAlign w:val="bottom"/>
          </w:tcPr>
          <w:p>
            <w:pPr>
              <w:pStyle w:val="TableContents"/>
              <w:spacing w:before="0" w:after="0"/>
              <w:ind w:left="0" w:right="0" w:hanging="0"/>
              <w:rPr/>
            </w:pPr>
            <w:r>
              <w:rPr>
                <w:rFonts w:ascii="Times New Roman" w:hAnsi="Times New Roman"/>
                <w:b/>
                <w:sz w:val="13"/>
              </w:rPr>
              <w:t xml:space="preserve">Operating Results </w:t>
            </w:r>
            <w:r>
              <w:rPr>
                <w:b/>
                <w:sz w:val="8"/>
              </w:rPr>
              <w:t>(1)</w:t>
            </w:r>
          </w:p>
        </w:tc>
        <w:tc>
          <w:tcPr>
            <w:tcW w:w="216" w:type="dxa"/>
            <w:tcBorders/>
            <w:shd w:fill="auto" w:val="clear"/>
            <w:vAlign w:val="bottom"/>
          </w:tcPr>
          <w:p>
            <w:pPr>
              <w:pStyle w:val="TableContents"/>
              <w:spacing w:before="0" w:after="0"/>
              <w:ind w:left="0" w:right="0" w:hanging="0"/>
              <w:jc w:val="center"/>
              <w:rPr/>
            </w:pPr>
            <w:r>
              <w:rPr/>
              <w:t> </w:t>
            </w:r>
          </w:p>
        </w:tc>
        <w:tc>
          <w:tcPr>
            <w:tcW w:w="198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March 31,</w:t>
            </w:r>
          </w:p>
        </w:tc>
        <w:tc>
          <w:tcPr>
            <w:tcW w:w="217" w:type="dxa"/>
            <w:tcBorders/>
            <w:shd w:fill="auto" w:val="clear"/>
            <w:vAlign w:val="bottom"/>
          </w:tcPr>
          <w:p>
            <w:pPr>
              <w:pStyle w:val="TableContents"/>
              <w:spacing w:before="0" w:after="0"/>
              <w:ind w:left="0" w:right="0" w:hanging="0"/>
              <w:jc w:val="center"/>
              <w:rPr/>
            </w:pPr>
            <w:r>
              <w:rPr/>
              <w:t> </w:t>
            </w:r>
          </w:p>
        </w:tc>
        <w:tc>
          <w:tcPr>
            <w:tcW w:w="207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1" w:type="dxa"/>
            <w:tcBorders/>
            <w:shd w:fill="auto" w:val="clear"/>
            <w:vAlign w:val="bottom"/>
          </w:tcPr>
          <w:p>
            <w:pPr>
              <w:pStyle w:val="TableContents"/>
              <w:spacing w:before="0" w:after="0"/>
              <w:ind w:left="0" w:right="0" w:hanging="0"/>
              <w:jc w:val="center"/>
              <w:rPr/>
            </w:pPr>
            <w:r>
              <w:rPr/>
              <w:t> </w:t>
            </w:r>
          </w:p>
        </w:tc>
      </w:tr>
      <w:tr>
        <w:trPr/>
        <w:tc>
          <w:tcPr>
            <w:tcW w:w="5483"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216" w:type="dxa"/>
            <w:tcBorders/>
            <w:shd w:fill="auto" w:val="clear"/>
            <w:vAlign w:val="bottom"/>
          </w:tcPr>
          <w:p>
            <w:pPr>
              <w:pStyle w:val="TableContents"/>
              <w:spacing w:before="0" w:after="0"/>
              <w:ind w:left="0" w:right="0" w:hanging="0"/>
              <w:jc w:val="center"/>
              <w:rPr/>
            </w:pPr>
            <w:r>
              <w:rPr/>
              <w:t> </w:t>
            </w:r>
          </w:p>
        </w:tc>
        <w:tc>
          <w:tcPr>
            <w:tcW w:w="8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7" w:type="dxa"/>
            <w:tcBorders/>
            <w:shd w:fill="auto" w:val="clear"/>
            <w:vAlign w:val="bottom"/>
          </w:tcPr>
          <w:p>
            <w:pPr>
              <w:pStyle w:val="TableContents"/>
              <w:spacing w:before="0" w:after="0"/>
              <w:ind w:left="0" w:right="0" w:hanging="0"/>
              <w:jc w:val="center"/>
              <w:rPr/>
            </w:pPr>
            <w:r>
              <w:rPr/>
              <w:t> </w:t>
            </w:r>
          </w:p>
        </w:tc>
        <w:tc>
          <w:tcPr>
            <w:tcW w:w="8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7" w:type="dxa"/>
            <w:tcBorders/>
            <w:shd w:fill="auto" w:val="clear"/>
            <w:vAlign w:val="bottom"/>
          </w:tcPr>
          <w:p>
            <w:pPr>
              <w:pStyle w:val="TableContents"/>
              <w:spacing w:before="0" w:after="0"/>
              <w:ind w:left="0" w:right="0" w:hanging="0"/>
              <w:jc w:val="center"/>
              <w:rPr/>
            </w:pPr>
            <w:r>
              <w:rPr/>
              <w:t> </w:t>
            </w:r>
          </w:p>
        </w:tc>
        <w:tc>
          <w:tcPr>
            <w:tcW w:w="8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7" w:type="dxa"/>
            <w:tcBorders/>
            <w:shd w:fill="auto" w:val="clear"/>
            <w:vAlign w:val="bottom"/>
          </w:tcPr>
          <w:p>
            <w:pPr>
              <w:pStyle w:val="TableContents"/>
              <w:spacing w:before="0" w:after="0"/>
              <w:ind w:left="0" w:right="0" w:hanging="0"/>
              <w:jc w:val="center"/>
              <w:rPr/>
            </w:pPr>
            <w:r>
              <w:rPr/>
              <w:t> </w:t>
            </w:r>
          </w:p>
        </w:tc>
        <w:tc>
          <w:tcPr>
            <w:tcW w:w="97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1" w:type="dxa"/>
            <w:tcBorders/>
            <w:shd w:fill="auto" w:val="clear"/>
            <w:vAlign w:val="bottom"/>
          </w:tcPr>
          <w:p>
            <w:pPr>
              <w:pStyle w:val="TableContents"/>
              <w:spacing w:before="0" w:after="0"/>
              <w:ind w:left="0" w:right="0" w:hanging="0"/>
              <w:jc w:val="center"/>
              <w:rPr/>
            </w:pPr>
            <w:r>
              <w:rPr/>
              <w:t> </w:t>
            </w:r>
          </w:p>
        </w:tc>
      </w:tr>
      <w:tr>
        <w:trPr/>
        <w:tc>
          <w:tcPr>
            <w:tcW w:w="54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216"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5,912</w:t>
            </w:r>
          </w:p>
        </w:tc>
        <w:tc>
          <w:tcPr>
            <w:tcW w:w="217"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3,133</w:t>
            </w:r>
          </w:p>
        </w:tc>
        <w:tc>
          <w:tcPr>
            <w:tcW w:w="217"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2,779</w:t>
            </w:r>
          </w:p>
        </w:tc>
        <w:tc>
          <w:tcPr>
            <w:tcW w:w="217" w:type="dxa"/>
            <w:tcBorders/>
            <w:shd w:fill="CCEEFF" w:val="clear"/>
            <w:vAlign w:val="bottom"/>
          </w:tcPr>
          <w:p>
            <w:pPr>
              <w:pStyle w:val="TableContents"/>
              <w:spacing w:before="0" w:after="0"/>
              <w:ind w:left="0" w:right="0" w:hanging="0"/>
              <w:rPr/>
            </w:pPr>
            <w:r>
              <w:rPr/>
              <w:t> </w:t>
            </w:r>
          </w:p>
        </w:tc>
        <w:tc>
          <w:tcPr>
            <w:tcW w:w="9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83"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(2)</w:t>
            </w:r>
          </w:p>
        </w:tc>
        <w:tc>
          <w:tcPr>
            <w:tcW w:w="216" w:type="dxa"/>
            <w:tcBorders/>
            <w:shd w:fill="auto" w:val="clear"/>
            <w:vAlign w:val="bottom"/>
          </w:tcPr>
          <w:p>
            <w:pPr>
              <w:pStyle w:val="TableContents"/>
              <w:spacing w:before="0" w:after="0"/>
              <w:ind w:left="0" w:right="0" w:hanging="0"/>
              <w:rPr/>
            </w:pPr>
            <w:r>
              <w:rPr/>
              <w:t> </w:t>
            </w:r>
          </w:p>
        </w:tc>
        <w:tc>
          <w:tcPr>
            <w:tcW w:w="8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(5,749</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(2,904</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(2,845</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16" w:type="dxa"/>
            <w:tcBorders/>
            <w:shd w:fill="CCEEFF" w:val="clear"/>
            <w:vAlign w:val="bottom"/>
          </w:tcPr>
          <w:p>
            <w:pPr>
              <w:pStyle w:val="TableContents"/>
              <w:spacing w:before="0" w:after="0"/>
              <w:ind w:left="0" w:right="0" w:hanging="0"/>
              <w:rPr/>
            </w:pPr>
            <w:r>
              <w:rPr/>
              <w:t> </w:t>
            </w:r>
          </w:p>
        </w:tc>
        <w:tc>
          <w:tcPr>
            <w:tcW w:w="8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7" w:type="dxa"/>
            <w:tcBorders/>
            <w:shd w:fill="CCEEFF" w:val="clear"/>
            <w:vAlign w:val="bottom"/>
          </w:tcPr>
          <w:p>
            <w:pPr>
              <w:pStyle w:val="TableContents"/>
              <w:spacing w:before="0" w:after="0"/>
              <w:ind w:left="0" w:right="0" w:hanging="0"/>
              <w:rPr/>
            </w:pPr>
            <w:r>
              <w:rPr/>
              <w:t> </w:t>
            </w:r>
          </w:p>
        </w:tc>
        <w:tc>
          <w:tcPr>
            <w:tcW w:w="9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G&amp;A expenses (excluding equity compensation expense)</w:t>
            </w:r>
          </w:p>
        </w:tc>
        <w:tc>
          <w:tcPr>
            <w:tcW w:w="216" w:type="dxa"/>
            <w:tcBorders/>
            <w:shd w:fill="auto" w:val="clear"/>
            <w:vAlign w:val="bottom"/>
          </w:tcPr>
          <w:p>
            <w:pPr>
              <w:pStyle w:val="TableContents"/>
              <w:spacing w:before="0" w:after="0"/>
              <w:ind w:left="0" w:right="0" w:hanging="0"/>
              <w:rPr/>
            </w:pPr>
            <w:r>
              <w:rPr/>
              <w:t> </w:t>
            </w:r>
          </w:p>
        </w:tc>
        <w:tc>
          <w:tcPr>
            <w:tcW w:w="8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83" w:type="dxa"/>
            <w:tcBorders/>
            <w:shd w:fill="CCEEFF" w:val="clear"/>
            <w:vAlign w:val="bottom"/>
          </w:tcPr>
          <w:p>
            <w:pPr>
              <w:pStyle w:val="TableContents"/>
              <w:spacing w:before="0" w:after="0"/>
              <w:ind w:left="0" w:right="0" w:hanging="0"/>
              <w:rPr/>
            </w:pPr>
            <w:r>
              <w:rPr>
                <w:rFonts w:ascii="Times New Roman" w:hAnsi="Times New Roman"/>
                <w:sz w:val="17"/>
              </w:rPr>
              <w:t>Equity compensation expense - general and administrative</w:t>
            </w:r>
            <w:r>
              <w:rPr/>
              <w:t xml:space="preserve"> </w:t>
            </w:r>
            <w:r>
              <w:rPr>
                <w:sz w:val="11"/>
              </w:rPr>
              <w:t>(3)</w:t>
            </w:r>
          </w:p>
        </w:tc>
        <w:tc>
          <w:tcPr>
            <w:tcW w:w="216" w:type="dxa"/>
            <w:tcBorders/>
            <w:shd w:fill="CCEEFF" w:val="clear"/>
            <w:vAlign w:val="bottom"/>
          </w:tcPr>
          <w:p>
            <w:pPr>
              <w:pStyle w:val="TableContents"/>
              <w:spacing w:before="0" w:after="0"/>
              <w:ind w:left="0" w:right="0" w:hanging="0"/>
              <w:rPr/>
            </w:pPr>
            <w:r>
              <w:rPr/>
              <w:t> </w:t>
            </w:r>
          </w:p>
        </w:tc>
        <w:tc>
          <w:tcPr>
            <w:tcW w:w="8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w:t>
            </w:r>
          </w:p>
        </w:tc>
        <w:tc>
          <w:tcPr>
            <w:tcW w:w="216"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17"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217"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6"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pPr>
            <w:r>
              <w:rPr/>
              <w:t> </w:t>
            </w:r>
          </w:p>
        </w:tc>
        <w:tc>
          <w:tcPr>
            <w:tcW w:w="97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83" w:type="dxa"/>
            <w:tcBorders/>
            <w:shd w:fill="auto" w:val="clear"/>
            <w:vAlign w:val="bottom"/>
          </w:tcPr>
          <w:p>
            <w:pPr>
              <w:pStyle w:val="TableContents"/>
              <w:spacing w:before="0" w:after="0"/>
              <w:ind w:left="0" w:right="0" w:hanging="0"/>
              <w:rPr/>
            </w:pPr>
            <w:r>
              <w:rPr>
                <w:rFonts w:ascii="Times New Roman" w:hAnsi="Times New Roman"/>
                <w:sz w:val="17"/>
              </w:rPr>
              <w:t xml:space="preserve">Segment profit per barrel </w:t>
            </w:r>
            <w:r>
              <w:rPr>
                <w:sz w:val="11"/>
              </w:rPr>
              <w:t>(4)</w:t>
            </w:r>
          </w:p>
        </w:tc>
        <w:tc>
          <w:tcPr>
            <w:tcW w:w="216"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17"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217"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(0.82</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365"/>
        <w:gridCol w:w="211"/>
        <w:gridCol w:w="946"/>
        <w:gridCol w:w="211"/>
        <w:gridCol w:w="947"/>
        <w:gridCol w:w="210"/>
        <w:gridCol w:w="947"/>
        <w:gridCol w:w="210"/>
        <w:gridCol w:w="947"/>
        <w:gridCol w:w="211"/>
      </w:tblGrid>
      <w:tr>
        <w:trPr/>
        <w:tc>
          <w:tcPr>
            <w:tcW w:w="536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104"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0" w:type="dxa"/>
            <w:tcBorders/>
            <w:shd w:fill="auto" w:val="clear"/>
            <w:vAlign w:val="bottom"/>
          </w:tcPr>
          <w:p>
            <w:pPr>
              <w:pStyle w:val="TableContents"/>
              <w:spacing w:before="0" w:after="0"/>
              <w:ind w:left="0" w:right="0" w:hanging="0"/>
              <w:jc w:val="center"/>
              <w:rPr/>
            </w:pPr>
            <w:r>
              <w:rPr/>
              <w:t> </w:t>
            </w:r>
          </w:p>
        </w:tc>
        <w:tc>
          <w:tcPr>
            <w:tcW w:w="2104"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Favorable/(Unfavorable)</w:t>
            </w:r>
          </w:p>
        </w:tc>
        <w:tc>
          <w:tcPr>
            <w:tcW w:w="211" w:type="dxa"/>
            <w:tcBorders/>
            <w:shd w:fill="auto" w:val="clear"/>
            <w:vAlign w:val="bottom"/>
          </w:tcPr>
          <w:p>
            <w:pPr>
              <w:pStyle w:val="TableContents"/>
              <w:spacing w:before="0" w:after="0"/>
              <w:ind w:left="0" w:right="0" w:hanging="0"/>
              <w:jc w:val="center"/>
              <w:rPr/>
            </w:pPr>
            <w:r>
              <w:rPr/>
              <w:t> </w:t>
            </w:r>
          </w:p>
        </w:tc>
      </w:tr>
      <w:tr>
        <w:trPr/>
        <w:tc>
          <w:tcPr>
            <w:tcW w:w="5365" w:type="dxa"/>
            <w:tcBorders/>
            <w:shd w:fill="auto" w:val="clear"/>
            <w:vAlign w:val="bottom"/>
          </w:tcPr>
          <w:p>
            <w:pPr>
              <w:pStyle w:val="TableContents"/>
              <w:spacing w:before="0" w:after="0"/>
              <w:ind w:left="0" w:right="0" w:hanging="0"/>
              <w:rPr/>
            </w:pPr>
            <w:r>
              <w:rPr>
                <w:rFonts w:ascii="Times New Roman" w:hAnsi="Times New Roman"/>
                <w:b/>
                <w:sz w:val="13"/>
              </w:rPr>
              <w:t>Average Daily Volumes</w:t>
            </w:r>
            <w:r>
              <w:rPr/>
              <w:t xml:space="preserve"> </w:t>
            </w:r>
            <w:r>
              <w:rPr>
                <w:b/>
                <w:sz w:val="8"/>
              </w:rPr>
              <w:t>(5)</w:t>
            </w:r>
          </w:p>
        </w:tc>
        <w:tc>
          <w:tcPr>
            <w:tcW w:w="211" w:type="dxa"/>
            <w:tcBorders/>
            <w:shd w:fill="auto" w:val="clear"/>
            <w:vAlign w:val="bottom"/>
          </w:tcPr>
          <w:p>
            <w:pPr>
              <w:pStyle w:val="TableContents"/>
              <w:spacing w:before="0" w:after="0"/>
              <w:ind w:left="0" w:right="0" w:hanging="0"/>
              <w:jc w:val="center"/>
              <w:rPr/>
            </w:pPr>
            <w:r>
              <w:rPr/>
              <w:t> </w:t>
            </w:r>
          </w:p>
        </w:tc>
        <w:tc>
          <w:tcPr>
            <w:tcW w:w="2104"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March 31,</w:t>
            </w:r>
          </w:p>
        </w:tc>
        <w:tc>
          <w:tcPr>
            <w:tcW w:w="210" w:type="dxa"/>
            <w:tcBorders/>
            <w:shd w:fill="auto" w:val="clear"/>
            <w:vAlign w:val="bottom"/>
          </w:tcPr>
          <w:p>
            <w:pPr>
              <w:pStyle w:val="TableContents"/>
              <w:spacing w:before="0" w:after="0"/>
              <w:ind w:left="0" w:right="0" w:hanging="0"/>
              <w:jc w:val="center"/>
              <w:rPr/>
            </w:pPr>
            <w:r>
              <w:rPr/>
              <w:t> </w:t>
            </w:r>
          </w:p>
        </w:tc>
        <w:tc>
          <w:tcPr>
            <w:tcW w:w="2104"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11" w:type="dxa"/>
            <w:tcBorders/>
            <w:shd w:fill="auto" w:val="clear"/>
            <w:vAlign w:val="bottom"/>
          </w:tcPr>
          <w:p>
            <w:pPr>
              <w:pStyle w:val="TableContents"/>
              <w:spacing w:before="0" w:after="0"/>
              <w:ind w:left="0" w:right="0" w:hanging="0"/>
              <w:jc w:val="center"/>
              <w:rPr/>
            </w:pPr>
            <w:r>
              <w:rPr/>
              <w:t> </w:t>
            </w:r>
          </w:p>
        </w:tc>
      </w:tr>
      <w:tr>
        <w:trPr/>
        <w:tc>
          <w:tcPr>
            <w:tcW w:w="536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thousands of barrels per day)</w:t>
            </w:r>
          </w:p>
        </w:tc>
        <w:tc>
          <w:tcPr>
            <w:tcW w:w="211" w:type="dxa"/>
            <w:tcBorders/>
            <w:shd w:fill="auto" w:val="clear"/>
            <w:vAlign w:val="bottom"/>
          </w:tcPr>
          <w:p>
            <w:pPr>
              <w:pStyle w:val="TableContents"/>
              <w:spacing w:before="0" w:after="0"/>
              <w:ind w:left="0" w:right="0" w:hanging="0"/>
              <w:jc w:val="center"/>
              <w:rPr/>
            </w:pPr>
            <w:r>
              <w:rPr/>
              <w:t> </w:t>
            </w:r>
          </w:p>
        </w:tc>
        <w:tc>
          <w:tcPr>
            <w:tcW w:w="94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1" w:type="dxa"/>
            <w:tcBorders/>
            <w:shd w:fill="auto" w:val="clear"/>
            <w:vAlign w:val="bottom"/>
          </w:tcPr>
          <w:p>
            <w:pPr>
              <w:pStyle w:val="TableContents"/>
              <w:spacing w:before="0" w:after="0"/>
              <w:ind w:left="0" w:right="0" w:hanging="0"/>
              <w:jc w:val="center"/>
              <w:rPr/>
            </w:pPr>
            <w:r>
              <w:rPr/>
              <w:t> </w:t>
            </w:r>
          </w:p>
        </w:tc>
        <w:tc>
          <w:tcPr>
            <w:tcW w:w="94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0" w:type="dxa"/>
            <w:tcBorders/>
            <w:shd w:fill="auto" w:val="clear"/>
            <w:vAlign w:val="bottom"/>
          </w:tcPr>
          <w:p>
            <w:pPr>
              <w:pStyle w:val="TableContents"/>
              <w:spacing w:before="0" w:after="0"/>
              <w:ind w:left="0" w:right="0" w:hanging="0"/>
              <w:jc w:val="center"/>
              <w:rPr/>
            </w:pPr>
            <w:r>
              <w:rPr/>
              <w:t> </w:t>
            </w:r>
          </w:p>
        </w:tc>
        <w:tc>
          <w:tcPr>
            <w:tcW w:w="94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10" w:type="dxa"/>
            <w:tcBorders/>
            <w:shd w:fill="auto" w:val="clear"/>
            <w:vAlign w:val="bottom"/>
          </w:tcPr>
          <w:p>
            <w:pPr>
              <w:pStyle w:val="TableContents"/>
              <w:spacing w:before="0" w:after="0"/>
              <w:ind w:left="0" w:right="0" w:hanging="0"/>
              <w:jc w:val="center"/>
              <w:rPr/>
            </w:pPr>
            <w:r>
              <w:rPr/>
              <w:t> </w:t>
            </w:r>
          </w:p>
        </w:tc>
        <w:tc>
          <w:tcPr>
            <w:tcW w:w="94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1" w:type="dxa"/>
            <w:tcBorders/>
            <w:shd w:fill="auto" w:val="clear"/>
            <w:vAlign w:val="bottom"/>
          </w:tcPr>
          <w:p>
            <w:pPr>
              <w:pStyle w:val="TableContents"/>
              <w:spacing w:before="0" w:after="0"/>
              <w:ind w:left="0" w:right="0" w:hanging="0"/>
              <w:jc w:val="center"/>
              <w:rPr/>
            </w:pPr>
            <w:r>
              <w:rPr/>
              <w:t> </w:t>
            </w:r>
          </w:p>
        </w:tc>
      </w:tr>
      <w:tr>
        <w:trPr/>
        <w:tc>
          <w:tcPr>
            <w:tcW w:w="53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11" w:type="dxa"/>
            <w:tcBorders/>
            <w:shd w:fill="CCEEFF" w:val="clear"/>
            <w:vAlign w:val="bottom"/>
          </w:tcPr>
          <w:p>
            <w:pPr>
              <w:pStyle w:val="TableContents"/>
              <w:spacing w:before="0" w:after="0"/>
              <w:ind w:left="0" w:right="0" w:hanging="0"/>
              <w:rPr/>
            </w:pPr>
            <w:r>
              <w:rPr/>
              <w:t> </w:t>
            </w:r>
          </w:p>
        </w:tc>
        <w:tc>
          <w:tcPr>
            <w:tcW w:w="9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603</w:t>
            </w:r>
          </w:p>
        </w:tc>
        <w:tc>
          <w:tcPr>
            <w:tcW w:w="211" w:type="dxa"/>
            <w:tcBorders/>
            <w:shd w:fill="CCEEFF" w:val="clear"/>
            <w:vAlign w:val="bottom"/>
          </w:tcPr>
          <w:p>
            <w:pPr>
              <w:pStyle w:val="TableContents"/>
              <w:spacing w:before="0" w:after="0"/>
              <w:ind w:left="0" w:right="0" w:hanging="0"/>
              <w:rPr/>
            </w:pPr>
            <w:r>
              <w:rPr/>
              <w:t> </w:t>
            </w:r>
          </w:p>
        </w:tc>
        <w:tc>
          <w:tcPr>
            <w:tcW w:w="94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631</w:t>
            </w:r>
          </w:p>
        </w:tc>
        <w:tc>
          <w:tcPr>
            <w:tcW w:w="210" w:type="dxa"/>
            <w:tcBorders/>
            <w:shd w:fill="CCEEFF" w:val="clear"/>
            <w:vAlign w:val="bottom"/>
          </w:tcPr>
          <w:p>
            <w:pPr>
              <w:pStyle w:val="TableContents"/>
              <w:spacing w:before="0" w:after="0"/>
              <w:ind w:left="0" w:right="0" w:hanging="0"/>
              <w:rPr/>
            </w:pPr>
            <w:r>
              <w:rPr/>
              <w:t> </w:t>
            </w:r>
          </w:p>
        </w:tc>
        <w:tc>
          <w:tcPr>
            <w:tcW w:w="94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sales</w:t>
            </w:r>
          </w:p>
        </w:tc>
        <w:tc>
          <w:tcPr>
            <w:tcW w:w="211" w:type="dxa"/>
            <w:tcBorders/>
            <w:shd w:fill="auto" w:val="clear"/>
            <w:vAlign w:val="bottom"/>
          </w:tcPr>
          <w:p>
            <w:pPr>
              <w:pStyle w:val="TableContents"/>
              <w:spacing w:before="0" w:after="0"/>
              <w:ind w:left="0" w:right="0" w:hanging="0"/>
              <w:rPr/>
            </w:pPr>
            <w:r>
              <w:rPr/>
              <w:t> </w:t>
            </w:r>
          </w:p>
        </w:tc>
        <w:tc>
          <w:tcPr>
            <w:tcW w:w="9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211" w:type="dxa"/>
            <w:tcBorders/>
            <w:shd w:fill="auto" w:val="clear"/>
            <w:vAlign w:val="bottom"/>
          </w:tcPr>
          <w:p>
            <w:pPr>
              <w:pStyle w:val="TableContents"/>
              <w:spacing w:before="0" w:after="0"/>
              <w:ind w:left="0" w:right="0" w:hanging="0"/>
              <w:rPr/>
            </w:pPr>
            <w:r>
              <w:rPr/>
              <w:t> </w:t>
            </w:r>
          </w:p>
        </w:tc>
        <w:tc>
          <w:tcPr>
            <w:tcW w:w="9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210" w:type="dxa"/>
            <w:tcBorders/>
            <w:shd w:fill="auto" w:val="clear"/>
            <w:vAlign w:val="bottom"/>
          </w:tcPr>
          <w:p>
            <w:pPr>
              <w:pStyle w:val="TableContents"/>
              <w:spacing w:before="0" w:after="0"/>
              <w:ind w:left="0" w:right="0" w:hanging="0"/>
              <w:rPr/>
            </w:pPr>
            <w:r>
              <w:rPr/>
              <w:t> </w:t>
            </w:r>
          </w:p>
        </w:tc>
        <w:tc>
          <w:tcPr>
            <w:tcW w:w="9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foreign crude oil imported</w:t>
            </w:r>
          </w:p>
        </w:tc>
        <w:tc>
          <w:tcPr>
            <w:tcW w:w="211" w:type="dxa"/>
            <w:tcBorders/>
            <w:shd w:fill="CCEEFF" w:val="clear"/>
            <w:vAlign w:val="bottom"/>
          </w:tcPr>
          <w:p>
            <w:pPr>
              <w:pStyle w:val="TableContents"/>
              <w:spacing w:before="0" w:after="0"/>
              <w:ind w:left="0" w:right="0" w:hanging="0"/>
              <w:rPr/>
            </w:pPr>
            <w:r>
              <w:rPr/>
              <w:t> </w:t>
            </w:r>
          </w:p>
        </w:tc>
        <w:tc>
          <w:tcPr>
            <w:tcW w:w="9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11" w:type="dxa"/>
            <w:tcBorders/>
            <w:shd w:fill="CCEEFF" w:val="clear"/>
            <w:vAlign w:val="bottom"/>
          </w:tcPr>
          <w:p>
            <w:pPr>
              <w:pStyle w:val="TableContents"/>
              <w:spacing w:before="0" w:after="0"/>
              <w:ind w:left="0" w:right="0" w:hanging="0"/>
              <w:rPr/>
            </w:pPr>
            <w:r>
              <w:rPr/>
              <w:t> </w:t>
            </w:r>
          </w:p>
        </w:tc>
        <w:tc>
          <w:tcPr>
            <w:tcW w:w="94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0" w:type="dxa"/>
            <w:tcBorders/>
            <w:shd w:fill="CCEEFF" w:val="clear"/>
            <w:vAlign w:val="bottom"/>
          </w:tcPr>
          <w:p>
            <w:pPr>
              <w:pStyle w:val="TableContents"/>
              <w:spacing w:before="0" w:after="0"/>
              <w:ind w:left="0" w:right="0" w:hanging="0"/>
              <w:rPr/>
            </w:pPr>
            <w:r>
              <w:rPr/>
              <w:t> </w:t>
            </w:r>
          </w:p>
        </w:tc>
        <w:tc>
          <w:tcPr>
            <w:tcW w:w="94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0" w:type="dxa"/>
            <w:tcBorders/>
            <w:shd w:fill="CCEEFF" w:val="clear"/>
            <w:vAlign w:val="bottom"/>
          </w:tcPr>
          <w:p>
            <w:pPr>
              <w:pStyle w:val="TableContents"/>
              <w:spacing w:before="0" w:after="0"/>
              <w:ind w:left="0" w:right="0" w:hanging="0"/>
              <w:rPr/>
            </w:pPr>
            <w:r>
              <w:rPr/>
              <w:t> </w:t>
            </w:r>
          </w:p>
        </w:tc>
        <w:tc>
          <w:tcPr>
            <w:tcW w:w="94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 sales</w:t>
            </w:r>
          </w:p>
        </w:tc>
        <w:tc>
          <w:tcPr>
            <w:tcW w:w="211" w:type="dxa"/>
            <w:tcBorders/>
            <w:shd w:fill="auto" w:val="clear"/>
            <w:vAlign w:val="bottom"/>
          </w:tcPr>
          <w:p>
            <w:pPr>
              <w:pStyle w:val="TableContents"/>
              <w:spacing w:before="0" w:after="0"/>
              <w:ind w:left="0" w:right="0" w:hanging="0"/>
              <w:rPr/>
            </w:pPr>
            <w:r>
              <w:rPr/>
              <w:t> </w:t>
            </w:r>
          </w:p>
        </w:tc>
        <w:tc>
          <w:tcPr>
            <w:tcW w:w="94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11" w:type="dxa"/>
            <w:tcBorders/>
            <w:shd w:fill="auto" w:val="clear"/>
            <w:vAlign w:val="bottom"/>
          </w:tcPr>
          <w:p>
            <w:pPr>
              <w:pStyle w:val="TableContents"/>
              <w:spacing w:before="0" w:after="0"/>
              <w:ind w:left="0" w:right="0" w:hanging="0"/>
              <w:rPr/>
            </w:pPr>
            <w:r>
              <w:rPr/>
              <w:t> </w:t>
            </w:r>
          </w:p>
        </w:tc>
        <w:tc>
          <w:tcPr>
            <w:tcW w:w="94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10" w:type="dxa"/>
            <w:tcBorders/>
            <w:shd w:fill="auto" w:val="clear"/>
            <w:vAlign w:val="bottom"/>
          </w:tcPr>
          <w:p>
            <w:pPr>
              <w:pStyle w:val="TableContents"/>
              <w:spacing w:before="0" w:after="0"/>
              <w:ind w:left="0" w:right="0" w:hanging="0"/>
              <w:rPr/>
            </w:pPr>
            <w:r>
              <w:rPr/>
              <w:t> </w:t>
            </w:r>
          </w:p>
        </w:tc>
        <w:tc>
          <w:tcPr>
            <w:tcW w:w="94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0" w:type="dxa"/>
            <w:tcBorders/>
            <w:shd w:fill="auto" w:val="clear"/>
            <w:vAlign w:val="bottom"/>
          </w:tcPr>
          <w:p>
            <w:pPr>
              <w:pStyle w:val="TableContents"/>
              <w:spacing w:before="0" w:after="0"/>
              <w:ind w:left="0" w:right="0" w:hanging="0"/>
              <w:rPr/>
            </w:pPr>
            <w:r>
              <w:rPr/>
              <w:t> </w:t>
            </w:r>
          </w:p>
        </w:tc>
        <w:tc>
          <w:tcPr>
            <w:tcW w:w="94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6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Supply &amp; Logistics segment total</w:t>
            </w:r>
          </w:p>
        </w:tc>
        <w:tc>
          <w:tcPr>
            <w:tcW w:w="211" w:type="dxa"/>
            <w:tcBorders/>
            <w:shd w:fill="CCEEFF" w:val="clear"/>
            <w:vAlign w:val="bottom"/>
          </w:tcPr>
          <w:p>
            <w:pPr>
              <w:pStyle w:val="TableContents"/>
              <w:spacing w:before="0" w:after="0"/>
              <w:ind w:left="0" w:right="0" w:hanging="0"/>
              <w:rPr/>
            </w:pPr>
            <w:r>
              <w:rPr/>
              <w:t> </w:t>
            </w:r>
          </w:p>
        </w:tc>
        <w:tc>
          <w:tcPr>
            <w:tcW w:w="9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848</w:t>
            </w:r>
          </w:p>
        </w:tc>
        <w:tc>
          <w:tcPr>
            <w:tcW w:w="211" w:type="dxa"/>
            <w:tcBorders/>
            <w:shd w:fill="CCEEFF" w:val="clear"/>
            <w:vAlign w:val="bottom"/>
          </w:tcPr>
          <w:p>
            <w:pPr>
              <w:pStyle w:val="TableContents"/>
              <w:spacing w:before="0" w:after="0"/>
              <w:ind w:left="0" w:right="0" w:hanging="0"/>
              <w:rPr/>
            </w:pPr>
            <w:r>
              <w:rPr/>
              <w:t> </w:t>
            </w:r>
          </w:p>
        </w:tc>
        <w:tc>
          <w:tcPr>
            <w:tcW w:w="94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869</w:t>
            </w:r>
          </w:p>
        </w:tc>
        <w:tc>
          <w:tcPr>
            <w:tcW w:w="210" w:type="dxa"/>
            <w:tcBorders/>
            <w:shd w:fill="CCEEFF" w:val="clear"/>
            <w:vAlign w:val="bottom"/>
          </w:tcPr>
          <w:p>
            <w:pPr>
              <w:pStyle w:val="TableContents"/>
              <w:spacing w:before="0" w:after="0"/>
              <w:ind w:left="0" w:right="0" w:hanging="0"/>
              <w:rPr/>
            </w:pPr>
            <w:r>
              <w:rPr/>
              <w:t> </w:t>
            </w:r>
          </w:p>
        </w:tc>
        <w:tc>
          <w:tcPr>
            <w:tcW w:w="94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Revenues and costs include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Purchases and related costs include interest expense (related to hedged inventory purchases) of approximately $3 million and $2 million for the three months ended March 31, 2010 and March 31, 2009,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Equity compensation expense related to our equity compensation plans. See Note 8 to our Condensed Consolidated Financial Statements for additional discussion of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Calculated based on crude oil lease gathering purchased volumes, refined products volumes, LPG sales volumes and waterborne foreign crude oil imported volumes.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Volumes associated with acquisitions represent total volumes for the number of days we actually owned the assets divided by the number of days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absolute amount of our revenues and purchases increased in the first quarter of 2010 as compared to the first quarter of 2009, primarily resulting from higher commodity prices experienced in the 2010 period.  The NYMEX benchmark price of crude oil ranged from $70 to $84 per barrel and $33 to $55 per barrel during the first quarter of 2010 and 2009, respectively.  Because the commodities that we buy and sell are generally indexed to the same pricing indices for both the purchase and sale, revenues and costs related to purchases will fluctuate with market prices.  However, the margins related to those purchases and sales will not necessarily have a corresponding increase or decrease.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Generally, we expect a base level of earnings from our supply and logistics segment that may be optimized and enhanced when there is a high level of market volatility, favorable basis differentials and/or a steep contango or backwardated market structure. In addition, certain of our subsidiaries are based in Canada and use the Canadian dollar as their functional currency. Revenues and expenses are translated at average exchange rates prevailing for each month and comparison between periods may be impacted by changes in the average exchange rates.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Also, our LPG marketing operations are weather-sensitive, particularly during the approximate six-month peak heating season of October through March, and temperature differences from year to year may have a significant effect on financial performance.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Average daily volumes also decreased by approximately 21,000 barrels per day during the same comparative periods primarily due to the elimination of some of our less profitable lease gathering purchases and lower LPG sales volumes.  Revenues, net of purchases and related costs, decreased by approximately $66 million or 29% during the first quarter of 2010 as compared to the first quarter of 2009. Such decrease was primarily due to the following:</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Derivative activities, net of inventory valuation adjustments, produced a gain of approximately $18 million during the first quarter of 2010 compared to a net gain of approximately $45 million during the first quarter of 2009 for an unfavorable approximately $27 million. The derivative gains recognized during the first quarter of 2010 are generally offset by future physical positions that are not included in the mark-to-market calculation;</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36</w:t>
      </w:r>
      <w:bookmarkStart w:id="61" w:name="PB_36_152237_7748"/>
      <w:bookmarkEnd w:id="6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Less favorable differentials during the first quarter of 2010 compared to the first quarter of 2009, which unfavorably impacted results. Operating results were further negatively impacted by adverse weather conditions that affected field operations during January and February of 2010 compared to the same months during 2009;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weak contango market during the first quarter of 2010 compared to the stronger contango market experienced during the corresponding prior year period;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Lower LPG marketing sales margins related to relatively warmer weather during the 2010 period, which unfavorably impacted results by approximately $9 million for the comparative periods.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Our results were favorably impacted, however, during the first quarter of 2010 compared to the first quarter of 2009 as a result of the depreciation of the USD relative to the CAD. The average CAD to USD exchange rate for the three-month period ended March 31, 2010 was $1.04 CAD: $1.00 USD compared to an average of $1.25 CAD: $1.00 USD for the three-month period ended March</w:t>
      </w:r>
      <w:r>
        <w:rPr>
          <w:rFonts w:ascii="Times New Roman" w:hAnsi="Times New Roman"/>
        </w:rPr>
        <w:t> </w:t>
      </w:r>
      <w:r>
        <w:rPr>
          <w:rFonts w:ascii="Times New Roman" w:hAnsi="Times New Roman"/>
          <w:sz w:val="17"/>
        </w:rPr>
        <w:t>31, 2009.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Field Operating Costs.</w:t>
      </w:r>
      <w:r>
        <w:rPr>
          <w:rFonts w:ascii="Times New Roman" w:hAnsi="Times New Roman"/>
        </w:rPr>
        <w:t xml:space="preserve"> </w:t>
      </w:r>
      <w:r>
        <w:rPr>
          <w:rFonts w:ascii="Times New Roman" w:hAnsi="Times New Roman"/>
          <w:sz w:val="17"/>
        </w:rPr>
        <w:t>Field operating costs decreased in the first quarter of 2010 compared to the first quarter of 2009 primarily as a result of decreases in third party trucking fees, reduced fleet maintenance costs as aging fleet has been replaced and reductions in various other repairs and maintenance costs.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Equity Compensation Charges.  </w:t>
      </w:r>
      <w:r>
        <w:rPr>
          <w:rFonts w:ascii="Times New Roman" w:hAnsi="Times New Roman"/>
          <w:sz w:val="17"/>
        </w:rPr>
        <w:t>Equity compensation charges increased over the first quarter of 2010 compared to the first quarter of 2009 primarily as a result of an increase in unit price. The fair value of our outstanding equity compensation awards, which is recognized in expense over the service period, is primarily derived from the market price of our common units as of the measurement date.   At the end of the first quarter of 2010, our unit price was $56.90 per common unit as compared to $36.76 per common unit at the end of the first quarter of 2009. See Note 8 to our Condensed Consolidated Financial Statements for additional information on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Other Income and Expenses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Depreciation and Amortization.</w:t>
      </w:r>
      <w:r>
        <w:rPr>
          <w:rFonts w:ascii="Times New Roman" w:hAnsi="Times New Roman"/>
        </w:rPr>
        <w:t xml:space="preserve">  </w:t>
      </w:r>
      <w:r>
        <w:rPr>
          <w:rFonts w:ascii="Times New Roman" w:hAnsi="Times New Roman"/>
          <w:sz w:val="17"/>
        </w:rPr>
        <w:t xml:space="preserve">Depreciation and amortization expense increased approximately $9 million for the three months ended March 31, 2010 compared to the three months ended March 31, 2009.  Such increases were primarily the result of an increased amount of depreciable assets resulting from our acquisition activities including PNGS as well as various internal growth projects.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Interest Expense.  </w:t>
      </w:r>
      <w:r>
        <w:rPr>
          <w:rFonts w:ascii="Times New Roman" w:hAnsi="Times New Roman"/>
          <w:sz w:val="17"/>
        </w:rPr>
        <w:t>Interest expense for the three months ended March 31, 2010</w:t>
      </w:r>
      <w:r>
        <w:rPr>
          <w:rFonts w:ascii="Times New Roman" w:hAnsi="Times New Roman"/>
        </w:rPr>
        <w:t xml:space="preserve"> </w:t>
      </w:r>
      <w:r>
        <w:rPr>
          <w:rFonts w:ascii="Times New Roman" w:hAnsi="Times New Roman"/>
          <w:sz w:val="17"/>
        </w:rPr>
        <w:t>increased approximately $7 million in comparison to the three months ended March 31, 2009.  The following table presents the significant variances in interest expense during the three months ended March 31, 2010 compared to the three months ended March 31, 2009 (in millions):</w:t>
      </w:r>
    </w:p>
    <w:p>
      <w:pPr>
        <w:pStyle w:val="TextBody"/>
        <w:spacing w:before="0" w:after="0"/>
        <w:ind w:left="0" w:right="0" w:hanging="0"/>
        <w:rPr/>
      </w:pPr>
      <w:r>
        <w:rPr/>
        <w:t> </w:t>
      </w:r>
    </w:p>
    <w:tbl>
      <w:tblPr>
        <w:tblW w:w="4900" w:type="pct"/>
        <w:jc w:val="left"/>
        <w:tblInd w:w="0" w:type="dxa"/>
        <w:tblCellMar>
          <w:top w:w="0" w:type="dxa"/>
          <w:left w:w="0" w:type="dxa"/>
          <w:bottom w:w="0" w:type="dxa"/>
          <w:right w:w="0" w:type="dxa"/>
        </w:tblCellMar>
      </w:tblPr>
      <w:tblGrid>
        <w:gridCol w:w="8445"/>
        <w:gridCol w:w="207"/>
        <w:gridCol w:w="111"/>
        <w:gridCol w:w="1125"/>
        <w:gridCol w:w="112"/>
      </w:tblGrid>
      <w:tr>
        <w:trPr/>
        <w:tc>
          <w:tcPr>
            <w:tcW w:w="8445"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236"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8445" w:type="dxa"/>
            <w:tcBorders/>
            <w:shd w:fill="CCEEFF" w:val="clear"/>
            <w:vAlign w:val="bottom"/>
          </w:tcPr>
          <w:p>
            <w:pPr>
              <w:pStyle w:val="TableContents"/>
              <w:spacing w:before="0" w:after="0"/>
              <w:ind w:left="0" w:right="0" w:hanging="0"/>
              <w:rPr/>
            </w:pPr>
            <w:r>
              <w:rPr>
                <w:rFonts w:ascii="Times New Roman" w:hAnsi="Times New Roman"/>
                <w:sz w:val="17"/>
              </w:rPr>
              <w:t xml:space="preserve">Impact of retirement of senior notes </w:t>
            </w:r>
            <w:r>
              <w:rPr>
                <w:sz w:val="11"/>
              </w:rPr>
              <w:t>(1)</w:t>
            </w:r>
          </w:p>
        </w:tc>
        <w:tc>
          <w:tcPr>
            <w:tcW w:w="207"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8445" w:type="dxa"/>
            <w:tcBorders/>
            <w:shd w:fill="auto" w:val="clear"/>
            <w:vAlign w:val="bottom"/>
          </w:tcPr>
          <w:p>
            <w:pPr>
              <w:pStyle w:val="TableContents"/>
              <w:spacing w:before="0" w:after="0"/>
              <w:ind w:left="0" w:right="0" w:hanging="0"/>
              <w:rPr/>
            </w:pPr>
            <w:r>
              <w:rPr>
                <w:rFonts w:ascii="Times New Roman" w:hAnsi="Times New Roman"/>
                <w:sz w:val="17"/>
              </w:rPr>
              <w:t xml:space="preserve">Impact of issuance of senior notes </w:t>
            </w:r>
            <w:r>
              <w:rPr>
                <w:sz w:val="11"/>
              </w:rPr>
              <w:t>(2)</w:t>
            </w:r>
          </w:p>
        </w:tc>
        <w:tc>
          <w:tcPr>
            <w:tcW w:w="207" w:type="dxa"/>
            <w:tcBorders/>
            <w:shd w:fill="auto" w:val="clear"/>
            <w:vAlign w:val="bottom"/>
          </w:tcPr>
          <w:p>
            <w:pPr>
              <w:pStyle w:val="TableContents"/>
              <w:spacing w:before="0" w:after="0"/>
              <w:ind w:left="0" w:right="0" w:hanging="0"/>
              <w:rPr/>
            </w:pPr>
            <w:r>
              <w:rPr/>
              <w:t> </w:t>
            </w:r>
          </w:p>
        </w:tc>
        <w:tc>
          <w:tcPr>
            <w:tcW w:w="12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12" w:type="dxa"/>
            <w:tcBorders/>
            <w:shd w:fill="auto" w:val="clear"/>
            <w:vAlign w:val="bottom"/>
          </w:tcPr>
          <w:p>
            <w:pPr>
              <w:pStyle w:val="TableContents"/>
              <w:spacing w:before="0" w:after="0"/>
              <w:ind w:left="0" w:right="0" w:hanging="0"/>
              <w:rPr/>
            </w:pPr>
            <w:r>
              <w:rPr/>
              <w:t> </w:t>
            </w:r>
          </w:p>
        </w:tc>
      </w:tr>
      <w:tr>
        <w:trPr/>
        <w:tc>
          <w:tcPr>
            <w:tcW w:w="84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Impact of decreased borrowings under credit facilities</w:t>
            </w:r>
          </w:p>
        </w:tc>
        <w:tc>
          <w:tcPr>
            <w:tcW w:w="207" w:type="dxa"/>
            <w:tcBorders/>
            <w:shd w:fill="CCEEFF" w:val="clear"/>
            <w:vAlign w:val="bottom"/>
          </w:tcPr>
          <w:p>
            <w:pPr>
              <w:pStyle w:val="TableContents"/>
              <w:spacing w:before="0" w:after="0"/>
              <w:ind w:left="0" w:right="0" w:hanging="0"/>
              <w:rPr/>
            </w:pPr>
            <w:r>
              <w:rPr/>
              <w:t> </w:t>
            </w:r>
          </w:p>
        </w:tc>
        <w:tc>
          <w:tcPr>
            <w:tcW w:w="12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84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Impact of increased capitalized interest</w:t>
            </w:r>
          </w:p>
        </w:tc>
        <w:tc>
          <w:tcPr>
            <w:tcW w:w="207" w:type="dxa"/>
            <w:tcBorders/>
            <w:shd w:fill="auto" w:val="clear"/>
            <w:vAlign w:val="bottom"/>
          </w:tcPr>
          <w:p>
            <w:pPr>
              <w:pStyle w:val="TableContents"/>
              <w:spacing w:before="0" w:after="0"/>
              <w:ind w:left="0" w:right="0" w:hanging="0"/>
              <w:rPr/>
            </w:pPr>
            <w:r>
              <w:rPr/>
              <w:t> </w:t>
            </w:r>
          </w:p>
        </w:tc>
        <w:tc>
          <w:tcPr>
            <w:tcW w:w="12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84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7" w:type="dxa"/>
            <w:tcBorders/>
            <w:shd w:fill="CCEEFF" w:val="clear"/>
            <w:vAlign w:val="bottom"/>
          </w:tcPr>
          <w:p>
            <w:pPr>
              <w:pStyle w:val="TableContents"/>
              <w:spacing w:before="0" w:after="0"/>
              <w:ind w:left="0" w:right="0" w:hanging="0"/>
              <w:rPr/>
            </w:pPr>
            <w:r>
              <w:rPr/>
              <w:t> </w:t>
            </w:r>
          </w:p>
        </w:tc>
        <w:tc>
          <w:tcPr>
            <w:tcW w:w="12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8445"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 August 2009, our outstanding $175 million 4.75% senior notes due 2009 matured and were paid. In October 2009, we redeemed our outstanding $250 million 7.13% senior notes due 2014.</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In April, July and September 2009 we completed the issuances of $350 million of 8.75% senior notes due 2019, $500 million of 4.25% senior notes due 2012 and $500 million of 5.75% senior notes due 2020, respectively.  A fluctuating portion of the 4.25% senior notes due 2012 is utilized to fund hedged inventory and would be classified as short-term debt if such activities were funded through our credit facilities.  Interest costs attributable to borrowings for inventory stored in a contango market are included in Purchases and related costs in our supply and logistics segment profits as we consider interest on these borrowings a direct cost to storing the inventory. The costs applicable to the portion of the $500 million of 4.25% senior notes that was recognized within purchases and related costs was less than $1 million for the three months ended March 31, 2010.</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37</w:t>
      </w:r>
      <w:bookmarkStart w:id="62" w:name="PB_37_153044_141"/>
      <w:bookmarkEnd w:id="6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Other Income/Expense, Net</w:t>
      </w:r>
      <w:r>
        <w:rPr>
          <w:rFonts w:ascii="Times New Roman" w:hAnsi="Times New Roman"/>
          <w:sz w:val="17"/>
        </w:rPr>
        <w:t>.  Other income/(expense), net for the three months ended March 31, 2010, primarily included (i) a net loss of approximately $2 million related to the foreign currency revaluation of a CAD-denominated interest receivable associated with an intercompany note and the impact of related foreign currency hedges and (ii) a net loss of approximately $1 million recognized in connection with the fair value adjustment associated with the contingent consideration in connection with the PNGS acquisition.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income/(expense), net for the three months ended March 31, 2009, primarily included a gain of approximately $4 million related to the foreign currency revaluation of a CAD-denominated interest receivable associated with an intercompany note and the impact of related foreign currency hedges.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Liquidity and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General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primary cash requirements include, but are not limited to (i) ordinary course of business uses, such as the payment of amounts related to the purchase of crude oil and other products and other expenses, interest payments on our outstanding debt and distributions to our unitholders and General Partner, (ii) maintenance and expansion activities, (iii) acquisitions of assets or businesses and (iv) repayment of principal on our long-term debt.  We generally expect to fund our short-term cash requirements through our primary sources of liquidity, which consist of our cash flow generated from operations as well as borrowings under our credit facilities. In addition, we generally expect to fund our long-term needs, such as those resulting from expansion activities or acquisitions, through a variety of sources (either separately or in combination), which may include operating cash flows, borrowings under our credit facilities, and/or the issuance of additional equity or debt securities.  At March 31, 2010, we had a working capital deficit of approximately $155 million and approximately $1.1 billion of liquidity available to meet our ongoing operational, investing and finance needs as noted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628"/>
        <w:gridCol w:w="214"/>
        <w:gridCol w:w="129"/>
        <w:gridCol w:w="1118"/>
        <w:gridCol w:w="116"/>
      </w:tblGrid>
      <w:tr>
        <w:trPr/>
        <w:tc>
          <w:tcPr>
            <w:tcW w:w="8628"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4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 of</w:t>
            </w:r>
          </w:p>
        </w:tc>
        <w:tc>
          <w:tcPr>
            <w:tcW w:w="116" w:type="dxa"/>
            <w:tcBorders/>
            <w:shd w:fill="auto" w:val="clear"/>
            <w:vAlign w:val="bottom"/>
          </w:tcPr>
          <w:p>
            <w:pPr>
              <w:pStyle w:val="TableContents"/>
              <w:spacing w:before="0" w:after="0"/>
              <w:ind w:left="0" w:right="0" w:hanging="0"/>
              <w:jc w:val="center"/>
              <w:rPr/>
            </w:pPr>
            <w:r>
              <w:rPr/>
              <w:t> </w:t>
            </w:r>
          </w:p>
        </w:tc>
      </w:tr>
      <w:tr>
        <w:trPr/>
        <w:tc>
          <w:tcPr>
            <w:tcW w:w="8628"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2010</w:t>
            </w:r>
          </w:p>
        </w:tc>
        <w:tc>
          <w:tcPr>
            <w:tcW w:w="116" w:type="dxa"/>
            <w:tcBorders/>
            <w:shd w:fill="auto" w:val="clear"/>
            <w:vAlign w:val="bottom"/>
          </w:tcPr>
          <w:p>
            <w:pPr>
              <w:pStyle w:val="TableContents"/>
              <w:spacing w:before="0" w:after="0"/>
              <w:ind w:left="0" w:right="0" w:hanging="0"/>
              <w:jc w:val="center"/>
              <w:rPr/>
            </w:pPr>
            <w:r>
              <w:rPr/>
              <w:t> </w:t>
            </w:r>
          </w:p>
        </w:tc>
      </w:tr>
      <w:tr>
        <w:trPr/>
        <w:tc>
          <w:tcPr>
            <w:tcW w:w="86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Availability under our senior unsecured revolving credit facility</w:t>
            </w:r>
          </w:p>
        </w:tc>
        <w:tc>
          <w:tcPr>
            <w:tcW w:w="214" w:type="dxa"/>
            <w:tcBorders/>
            <w:shd w:fill="CCEEFF" w:val="clear"/>
            <w:vAlign w:val="bottom"/>
          </w:tcPr>
          <w:p>
            <w:pPr>
              <w:pStyle w:val="TableContents"/>
              <w:spacing w:before="0" w:after="0"/>
              <w:ind w:left="0" w:right="0" w:hanging="0"/>
              <w:rPr/>
            </w:pPr>
            <w:r>
              <w:rPr/>
              <w:t> </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944</w:t>
            </w:r>
          </w:p>
        </w:tc>
        <w:tc>
          <w:tcPr>
            <w:tcW w:w="116" w:type="dxa"/>
            <w:tcBorders/>
            <w:shd w:fill="CCEEFF" w:val="clear"/>
            <w:vAlign w:val="bottom"/>
          </w:tcPr>
          <w:p>
            <w:pPr>
              <w:pStyle w:val="TableContents"/>
              <w:spacing w:before="0" w:after="0"/>
              <w:ind w:left="0" w:right="0" w:hanging="0"/>
              <w:rPr/>
            </w:pPr>
            <w:r>
              <w:rPr/>
              <w:t> </w:t>
            </w:r>
          </w:p>
        </w:tc>
      </w:tr>
      <w:tr>
        <w:trPr/>
        <w:tc>
          <w:tcPr>
            <w:tcW w:w="86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Availability under our senior secured hedged inventory facility</w:t>
            </w:r>
          </w:p>
        </w:tc>
        <w:tc>
          <w:tcPr>
            <w:tcW w:w="214" w:type="dxa"/>
            <w:tcBorders/>
            <w:shd w:fill="auto" w:val="clear"/>
            <w:vAlign w:val="bottom"/>
          </w:tcPr>
          <w:p>
            <w:pPr>
              <w:pStyle w:val="TableContents"/>
              <w:spacing w:before="0" w:after="0"/>
              <w:ind w:left="0" w:right="0" w:hanging="0"/>
              <w:rPr/>
            </w:pPr>
            <w:r>
              <w:rPr/>
              <w:t> </w:t>
            </w:r>
          </w:p>
        </w:tc>
        <w:tc>
          <w:tcPr>
            <w:tcW w:w="12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16" w:type="dxa"/>
            <w:tcBorders/>
            <w:shd w:fill="auto" w:val="clear"/>
            <w:vAlign w:val="bottom"/>
          </w:tcPr>
          <w:p>
            <w:pPr>
              <w:pStyle w:val="TableContents"/>
              <w:spacing w:before="0" w:after="0"/>
              <w:ind w:left="0" w:right="0" w:hanging="0"/>
              <w:rPr/>
            </w:pPr>
            <w:r>
              <w:rPr/>
              <w:t> </w:t>
            </w:r>
          </w:p>
        </w:tc>
      </w:tr>
      <w:tr>
        <w:trPr/>
        <w:tc>
          <w:tcPr>
            <w:tcW w:w="86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equivalants</w:t>
            </w:r>
          </w:p>
        </w:tc>
        <w:tc>
          <w:tcPr>
            <w:tcW w:w="214" w:type="dxa"/>
            <w:tcBorders/>
            <w:shd w:fill="CCEEFF" w:val="clear"/>
            <w:vAlign w:val="bottom"/>
          </w:tcPr>
          <w:p>
            <w:pPr>
              <w:pStyle w:val="TableContents"/>
              <w:spacing w:before="0" w:after="0"/>
              <w:ind w:left="0" w:right="0" w:hanging="0"/>
              <w:rPr/>
            </w:pPr>
            <w:r>
              <w:rPr/>
              <w:t> </w:t>
            </w:r>
          </w:p>
        </w:tc>
        <w:tc>
          <w:tcPr>
            <w:tcW w:w="12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16" w:type="dxa"/>
            <w:tcBorders/>
            <w:shd w:fill="CCEEFF" w:val="clear"/>
            <w:vAlign w:val="bottom"/>
          </w:tcPr>
          <w:p>
            <w:pPr>
              <w:pStyle w:val="TableContents"/>
              <w:spacing w:before="0" w:after="0"/>
              <w:ind w:left="0" w:right="0" w:hanging="0"/>
              <w:rPr/>
            </w:pPr>
            <w:r>
              <w:rPr/>
              <w:t> </w:t>
            </w:r>
          </w:p>
        </w:tc>
      </w:tr>
      <w:tr>
        <w:trPr/>
        <w:tc>
          <w:tcPr>
            <w:tcW w:w="8628" w:type="dxa"/>
            <w:tcBorders/>
            <w:shd w:fill="auto" w:val="clear"/>
            <w:vAlign w:val="bottom"/>
          </w:tcPr>
          <w:p>
            <w:pPr>
              <w:pStyle w:val="TableContents"/>
              <w:spacing w:before="0" w:after="0"/>
              <w:ind w:left="0" w:right="0" w:hanging="0"/>
              <w:rPr/>
            </w:pPr>
            <w:r>
              <w:rPr>
                <w:rFonts w:ascii="Times New Roman" w:hAnsi="Times New Roman"/>
                <w:sz w:val="17"/>
              </w:rPr>
              <w:t xml:space="preserve">Total </w:t>
            </w:r>
            <w:r>
              <w:rPr>
                <w:sz w:val="11"/>
              </w:rPr>
              <w:t>(1)</w:t>
            </w:r>
          </w:p>
        </w:tc>
        <w:tc>
          <w:tcPr>
            <w:tcW w:w="214"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1,060</w:t>
            </w:r>
          </w:p>
        </w:tc>
        <w:tc>
          <w:tcPr>
            <w:tcW w:w="11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Our consolidated liquidity at March 31, 2010, on a pro forma basis to include the PNG IPO, would increase to approximately $1.7 billion (including approximately $200 million available capacity under PNGs revolving credit facility).  See Note 14 to our Condensed Consolidated Financial Statements for additional information related to the PNG IPO.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we have and will continue to have the ability to access our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 adverse effect on our financial condition, results of operations or cash flows. See Item 1A. Risk Factors in our 2009 Annual Report on Form 10-K for further discussion regarding risks that may impact our liquidity and capital resources. Usage of the credit facilities is subject to ongoing compliance with covenants. We are currently in compliance with all covenants.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Cash Flows from Operating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comprehensive discussion of the primary drivers of our cash flow from operations, including the impact of varying market conditions and the timing of settlement of our derivative activities, see Liquidity and Capital ResourcesCash Flow from Operations under Item 7 of our 2009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Net cash flow provided from operating activities was approximately $391 million for the first three months of 2010 compared to approximately $478 million for the first three months of 2009.  Our cash flow from operations can be significantly impacted in periods when we are increasing or decreasing the amount of inventory in storage.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first quarter of 2010, we decreased the amount of our inventory.  The decrease in inventory was primarily related to the sale of LPG inventory resulting from end users increased demand for heating requirements in the winter months.  The decrease in LPG inventory was partially offset by an increase to our crude oil contango market storage activities in both volumes and an increase in prices in the first quarter of 2010. The net proceeds received from liquidation of inventory during the quarter were used to repay borrowings under our credit facilities and favorably impacted our cash flow from operating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During the first quarter of 2009, we decreased the amount of our inventory.  The decrease in inventory was primarily related to the sale of LPG inventory resulting from end users increased demand for heating requirements in the winter months.  The decrease in LPG inventory was partially offset by an increase in crude oil inventory related to the strong contango market in the first quarter of 2009. These net volumetric decreases were further impacted by lower prices for our inventory purchases during the quarter compared to prior year amounts.  The net proceeds received from liquidation</w:t>
      </w:r>
      <w:r>
        <w:rPr>
          <w:rFonts w:ascii="Times New Roman" w:hAnsi="Times New Roman"/>
        </w:rPr>
        <w:t xml:space="preserve"> </w:t>
      </w:r>
      <w:r>
        <w:rPr>
          <w:rFonts w:ascii="Times New Roman" w:hAnsi="Times New Roman"/>
          <w:sz w:val="17"/>
        </w:rPr>
        <w:t>of inventory during the quarter were used to repay borrowings under our credit facilities and favorably impacted our cash flow from operating activities.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38</w:t>
      </w:r>
      <w:bookmarkStart w:id="63" w:name="PB_38_153130_7608"/>
      <w:bookmarkEnd w:id="6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Equity and Debt Financing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financing activities primarily relate to funding acquisitions and internal capital projects, and short-term working capital and hedged inventory borrowings related to our LPG business and contango market activities. Our financing activities have primarily consisted of equity offerings, senior notes offerings and borrowings and repayments under our 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Registration Statements. </w:t>
      </w:r>
      <w:r>
        <w:rPr>
          <w:rFonts w:ascii="Times New Roman" w:hAnsi="Times New Roman"/>
          <w:sz w:val="17"/>
        </w:rPr>
        <w:t>We periodically access the capital markets for both equity and debt financing. As of March 31, 2010, approximately $2.0 billion of unsold securities remained available under our shelf registration statement declared effective on December 16, 2009. We also have access to a universal shelf registration statement, which provides us with the ability to offer and sell an unlimited amount of debt and equity securities, subject to market conditions and our capital needs.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Equity Offerings.</w:t>
      </w:r>
      <w:r>
        <w:rPr>
          <w:rFonts w:ascii="Times New Roman" w:hAnsi="Times New Roman"/>
        </w:rPr>
        <w:t xml:space="preserve">  </w:t>
      </w:r>
      <w:r>
        <w:rPr>
          <w:rFonts w:ascii="Times New Roman" w:hAnsi="Times New Roman"/>
          <w:sz w:val="17"/>
        </w:rPr>
        <w:t>In March 2009, we completed the issuance of 5,750,000 common units at $36.90 per unit for net proceeds of approximately $210 million.  The net proceeds include our general partners proportionate capital contribution and is reflected net of costs associated with the offering.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Credit Facilities.</w:t>
      </w:r>
      <w:r>
        <w:rPr>
          <w:rFonts w:ascii="Times New Roman" w:hAnsi="Times New Roman"/>
        </w:rPr>
        <w:t xml:space="preserve"> </w:t>
      </w:r>
      <w:r>
        <w:rPr>
          <w:rFonts w:ascii="Times New Roman" w:hAnsi="Times New Roman"/>
          <w:sz w:val="17"/>
        </w:rPr>
        <w:t>During the three months ended March 31, 2010 and 2009, we had net repayments on our revolving credit facility and our hedged inventory facility of approximately $127 million and $466 million, respectively.  These net repayments resulted primarily from sales of LPG inventory that was liquidated during the respective quarter.  For further discussion related to our credit facilities and long-term debt, see Cash Flow from Operations above and Liquidity and Capital ResourcesCredit Facilities and Long-Term Debt under Item 7 of our 2009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Subsequent Events.</w:t>
      </w:r>
      <w:r>
        <w:rPr>
          <w:rFonts w:ascii="Times New Roman" w:hAnsi="Times New Roman"/>
        </w:rPr>
        <w:t xml:space="preserve">  </w:t>
      </w:r>
      <w:r>
        <w:rPr>
          <w:rFonts w:ascii="Times New Roman" w:hAnsi="Times New Roman"/>
          <w:sz w:val="17"/>
        </w:rPr>
        <w:t>In connection with the PNG IPO, PNG entered into a new $400 million revolving credit facility, which matures on May 5, 2013. PNG borrowed approximately $200 million under the credit facility as of the closing of the PNG IPO.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PNG will use the net proceeds from the PNG IPO, together with $200 million of borrowings under its new credit facility, to repay intercompany indebtedness owed to us. We expect to use all of these proceeds to repay amounts outstanding under our credit facilities and for general partnership purposes.  See Note 14 to our Condensed Consolidated Financial Statements for additional information related to the PNG IPO.</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Capital Expenditures and Distributions Paid to Unitholders and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cash primarily for our acquisition activities, internal growth projects and distributions paid to our unitholders and general partner. We have made and will continue to make capital expenditures for acquisitions, expansion capital and maintenance capital. Historically, we have financed these expenditures primarily with cash generated by operations and the financing activities discussed above. See Internal Growth Projects above and Acquisitions and Internal Growth Projects under Item 7 of our 2009 Annual Report on Form 10-K for further discussion for such capital expenditures.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Distributions to unitholders and general partner.</w:t>
      </w:r>
      <w:r>
        <w:rPr>
          <w:rFonts w:ascii="Times New Roman" w:hAnsi="Times New Roman"/>
        </w:rPr>
        <w:t xml:space="preserve">  </w:t>
      </w:r>
      <w:r>
        <w:rPr>
          <w:rFonts w:ascii="Times New Roman" w:hAnsi="Times New Roman"/>
          <w:sz w:val="17"/>
        </w:rPr>
        <w:t>We distribute 100% of our available cash within 45 days after the end of each quarter to unitholders of record and to our general partner. Available cash is generally defined as all of our cash and cash equivalents on hand at the end of each quarter less reserves established in the discretion of our general partner for future requirements. On May 14, 2010, we will pay a quarterly distribution of $0.9350 per limited partner unit.  This distribution represented a year-over-year distribution increase of approximately 3.3%. See Note 7 to our Condensed Consolidated Financial Statements for details of distributions paid. Also, see Item 5. Market for Registrants Common Units, Related Unitholder Matters and Issuer Purchases of Equity SecuritiesCash Distribution Policy of our 2009 Annual Report on Form 10-K for additional discussion of distribution thresholds.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Upon closing of the Pacific, Rainbow and PNGS acquisitions, our general partner agreed to reduce the amounts due as incentive distributions. See Note 7 to our Condensed Consolidated Financial Statements for details related to the general partners incentive distribution reduction.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we have sufficient liquid assets, cash flow from operations and borrowing capacity under our credit agreements to meet our financial commitments, debt service obligations, contingencies and anticipated capital expenditures. We are subject to business and operational risks, however, that could adversely affect our cash flow. A material decrease in our cash flows would likely produce an adverse effect on our borrowing capacity.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Contingencies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11 to our Condensed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Commitments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Contractual Obligations.</w:t>
      </w:r>
      <w:r>
        <w:rPr>
          <w:rFonts w:ascii="Times New Roman" w:hAnsi="Times New Roman"/>
        </w:rPr>
        <w:t xml:space="preserve">   </w:t>
      </w:r>
      <w:r>
        <w:rPr>
          <w:rFonts w:ascii="Times New Roman" w:hAnsi="Times New Roman"/>
          <w:sz w:val="17"/>
        </w:rPr>
        <w:t>In the ordinary course of doing business, we purchase crude oil and LPG from third parties under contracts, the majority of which range in term from thirty-day evergreen to three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Where applicable, the amounts presented represent the net obligations associated with buy/sell contracts and those subject to a net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39</w:t>
      </w:r>
      <w:bookmarkStart w:id="64" w:name="PB_39_153151_8146"/>
      <w:bookmarkEnd w:id="6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settlement arrangement with the counterparty.</w:t>
      </w:r>
      <w:r>
        <w:rPr>
          <w:rFonts w:ascii="Times New Roman" w:hAnsi="Times New Roman"/>
        </w:rPr>
        <w:t xml:space="preserve"> </w:t>
      </w:r>
      <w:r>
        <w:rPr>
          <w:rFonts w:ascii="Times New Roman" w:hAnsi="Times New Roman"/>
          <w:sz w:val="17"/>
        </w:rPr>
        <w:t>We do not expect to use a significant amount of internal capital to meet these obligations, as the obligations will be funded by corresponding sales to creditworthy entities.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includes our best estimate of the amount and timing of these payments as well as others due under the specified contractual obligations as of March 31, 2010 that varied significantly since December 31, 2009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078"/>
        <w:gridCol w:w="116"/>
        <w:gridCol w:w="128"/>
        <w:gridCol w:w="613"/>
        <w:gridCol w:w="116"/>
        <w:gridCol w:w="128"/>
        <w:gridCol w:w="581"/>
        <w:gridCol w:w="116"/>
        <w:gridCol w:w="127"/>
        <w:gridCol w:w="581"/>
        <w:gridCol w:w="116"/>
        <w:gridCol w:w="128"/>
        <w:gridCol w:w="581"/>
        <w:gridCol w:w="116"/>
        <w:gridCol w:w="128"/>
        <w:gridCol w:w="581"/>
        <w:gridCol w:w="116"/>
        <w:gridCol w:w="133"/>
        <w:gridCol w:w="736"/>
        <w:gridCol w:w="116"/>
        <w:gridCol w:w="128"/>
        <w:gridCol w:w="613"/>
        <w:gridCol w:w="129"/>
      </w:tblGrid>
      <w:tr>
        <w:trPr/>
        <w:tc>
          <w:tcPr>
            <w:tcW w:w="4078"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jc w:val="center"/>
              <w:rPr/>
            </w:pPr>
            <w:r>
              <w:rPr/>
              <w:t> </w:t>
            </w:r>
          </w:p>
        </w:tc>
        <w:tc>
          <w:tcPr>
            <w:tcW w:w="741" w:type="dxa"/>
            <w:gridSpan w:val="2"/>
            <w:tcBorders/>
            <w:shd w:fill="auto" w:val="clear"/>
            <w:vAlign w:val="bottom"/>
          </w:tcPr>
          <w:p>
            <w:pPr>
              <w:pStyle w:val="TableContents"/>
              <w:spacing w:before="0" w:after="0"/>
              <w:ind w:left="0" w:right="0" w:hanging="0"/>
              <w:jc w:val="center"/>
              <w:rPr/>
            </w:pPr>
            <w:r>
              <w:rPr/>
              <w:t> </w:t>
            </w:r>
          </w:p>
        </w:tc>
        <w:tc>
          <w:tcPr>
            <w:tcW w:w="116" w:type="dxa"/>
            <w:tcBorders/>
            <w:shd w:fill="auto" w:val="clear"/>
            <w:vAlign w:val="bottom"/>
          </w:tcPr>
          <w:p>
            <w:pPr>
              <w:pStyle w:val="TableContents"/>
              <w:spacing w:before="0" w:after="0"/>
              <w:ind w:left="0" w:right="0" w:hanging="0"/>
              <w:jc w:val="center"/>
              <w:rPr/>
            </w:pPr>
            <w:r>
              <w:rPr/>
              <w:t> </w:t>
            </w:r>
          </w:p>
        </w:tc>
        <w:tc>
          <w:tcPr>
            <w:tcW w:w="709" w:type="dxa"/>
            <w:gridSpan w:val="2"/>
            <w:tcBorders/>
            <w:shd w:fill="auto" w:val="clear"/>
            <w:vAlign w:val="bottom"/>
          </w:tcPr>
          <w:p>
            <w:pPr>
              <w:pStyle w:val="TableContents"/>
              <w:spacing w:before="0" w:after="0"/>
              <w:ind w:left="0" w:right="0" w:hanging="0"/>
              <w:jc w:val="center"/>
              <w:rPr/>
            </w:pPr>
            <w:r>
              <w:rPr/>
              <w:t> </w:t>
            </w:r>
          </w:p>
        </w:tc>
        <w:tc>
          <w:tcPr>
            <w:tcW w:w="116" w:type="dxa"/>
            <w:tcBorders/>
            <w:shd w:fill="auto" w:val="clear"/>
            <w:vAlign w:val="bottom"/>
          </w:tcPr>
          <w:p>
            <w:pPr>
              <w:pStyle w:val="TableContents"/>
              <w:spacing w:before="0" w:after="0"/>
              <w:ind w:left="0" w:right="0" w:hanging="0"/>
              <w:jc w:val="center"/>
              <w:rPr/>
            </w:pPr>
            <w:r>
              <w:rPr/>
              <w:t> </w:t>
            </w:r>
          </w:p>
        </w:tc>
        <w:tc>
          <w:tcPr>
            <w:tcW w:w="708" w:type="dxa"/>
            <w:gridSpan w:val="2"/>
            <w:tcBorders/>
            <w:shd w:fill="auto" w:val="clear"/>
            <w:vAlign w:val="bottom"/>
          </w:tcPr>
          <w:p>
            <w:pPr>
              <w:pStyle w:val="TableContents"/>
              <w:spacing w:before="0" w:after="0"/>
              <w:ind w:left="0" w:right="0" w:hanging="0"/>
              <w:jc w:val="center"/>
              <w:rPr/>
            </w:pPr>
            <w:r>
              <w:rPr/>
              <w:t> </w:t>
            </w:r>
          </w:p>
        </w:tc>
        <w:tc>
          <w:tcPr>
            <w:tcW w:w="116" w:type="dxa"/>
            <w:tcBorders/>
            <w:shd w:fill="auto" w:val="clear"/>
            <w:vAlign w:val="bottom"/>
          </w:tcPr>
          <w:p>
            <w:pPr>
              <w:pStyle w:val="TableContents"/>
              <w:spacing w:before="0" w:after="0"/>
              <w:ind w:left="0" w:right="0" w:hanging="0"/>
              <w:jc w:val="center"/>
              <w:rPr/>
            </w:pPr>
            <w:r>
              <w:rPr/>
              <w:t> </w:t>
            </w:r>
          </w:p>
        </w:tc>
        <w:tc>
          <w:tcPr>
            <w:tcW w:w="709" w:type="dxa"/>
            <w:gridSpan w:val="2"/>
            <w:tcBorders/>
            <w:shd w:fill="auto" w:val="clear"/>
            <w:vAlign w:val="bottom"/>
          </w:tcPr>
          <w:p>
            <w:pPr>
              <w:pStyle w:val="TableContents"/>
              <w:spacing w:before="0" w:after="0"/>
              <w:ind w:left="0" w:right="0" w:hanging="0"/>
              <w:jc w:val="center"/>
              <w:rPr/>
            </w:pPr>
            <w:r>
              <w:rPr/>
              <w:t> </w:t>
            </w:r>
          </w:p>
        </w:tc>
        <w:tc>
          <w:tcPr>
            <w:tcW w:w="116" w:type="dxa"/>
            <w:tcBorders/>
            <w:shd w:fill="auto" w:val="clear"/>
            <w:vAlign w:val="bottom"/>
          </w:tcPr>
          <w:p>
            <w:pPr>
              <w:pStyle w:val="TableContents"/>
              <w:spacing w:before="0" w:after="0"/>
              <w:ind w:left="0" w:right="0" w:hanging="0"/>
              <w:jc w:val="center"/>
              <w:rPr/>
            </w:pPr>
            <w:r>
              <w:rPr/>
              <w:t> </w:t>
            </w:r>
          </w:p>
        </w:tc>
        <w:tc>
          <w:tcPr>
            <w:tcW w:w="709" w:type="dxa"/>
            <w:gridSpan w:val="2"/>
            <w:tcBorders/>
            <w:shd w:fill="auto" w:val="clear"/>
            <w:vAlign w:val="bottom"/>
          </w:tcPr>
          <w:p>
            <w:pPr>
              <w:pStyle w:val="TableContents"/>
              <w:spacing w:before="0" w:after="0"/>
              <w:ind w:left="0" w:right="0" w:hanging="0"/>
              <w:jc w:val="center"/>
              <w:rPr/>
            </w:pPr>
            <w:r>
              <w:rPr/>
              <w:t> </w:t>
            </w:r>
          </w:p>
        </w:tc>
        <w:tc>
          <w:tcPr>
            <w:tcW w:w="116" w:type="dxa"/>
            <w:tcBorders/>
            <w:shd w:fill="auto" w:val="clear"/>
            <w:vAlign w:val="bottom"/>
          </w:tcPr>
          <w:p>
            <w:pPr>
              <w:pStyle w:val="TableContents"/>
              <w:spacing w:before="0" w:after="0"/>
              <w:ind w:left="0" w:right="0" w:hanging="0"/>
              <w:jc w:val="center"/>
              <w:rPr/>
            </w:pPr>
            <w:r>
              <w:rPr/>
              <w:t> </w:t>
            </w:r>
          </w:p>
        </w:tc>
        <w:tc>
          <w:tcPr>
            <w:tcW w:w="86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2015 and</w:t>
            </w:r>
          </w:p>
        </w:tc>
        <w:tc>
          <w:tcPr>
            <w:tcW w:w="116" w:type="dxa"/>
            <w:tcBorders/>
            <w:shd w:fill="auto" w:val="clear"/>
            <w:vAlign w:val="bottom"/>
          </w:tcPr>
          <w:p>
            <w:pPr>
              <w:pStyle w:val="TableContents"/>
              <w:spacing w:before="0" w:after="0"/>
              <w:ind w:left="0" w:right="0" w:hanging="0"/>
              <w:jc w:val="center"/>
              <w:rPr/>
            </w:pPr>
            <w:r>
              <w:rPr/>
              <w:t> </w:t>
            </w:r>
          </w:p>
        </w:tc>
        <w:tc>
          <w:tcPr>
            <w:tcW w:w="741" w:type="dxa"/>
            <w:gridSpan w:val="2"/>
            <w:tcBorders/>
            <w:shd w:fill="auto" w:val="clear"/>
            <w:vAlign w:val="bottom"/>
          </w:tcPr>
          <w:p>
            <w:pPr>
              <w:pStyle w:val="TableContents"/>
              <w:spacing w:before="0" w:after="0"/>
              <w:ind w:left="0" w:right="0" w:hanging="0"/>
              <w:jc w:val="center"/>
              <w:rPr/>
            </w:pPr>
            <w:r>
              <w:rPr/>
              <w:t> </w:t>
            </w:r>
          </w:p>
        </w:tc>
        <w:tc>
          <w:tcPr>
            <w:tcW w:w="129" w:type="dxa"/>
            <w:tcBorders/>
            <w:shd w:fill="auto" w:val="clear"/>
            <w:vAlign w:val="bottom"/>
          </w:tcPr>
          <w:p>
            <w:pPr>
              <w:pStyle w:val="TableContents"/>
              <w:spacing w:before="0" w:after="0"/>
              <w:ind w:left="0" w:right="0" w:hanging="0"/>
              <w:jc w:val="center"/>
              <w:rPr/>
            </w:pPr>
            <w:r>
              <w:rPr/>
              <w:t> </w:t>
            </w:r>
          </w:p>
        </w:tc>
      </w:tr>
      <w:tr>
        <w:trPr/>
        <w:tc>
          <w:tcPr>
            <w:tcW w:w="4078"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jc w:val="center"/>
              <w:rPr/>
            </w:pPr>
            <w:r>
              <w:rPr/>
              <w:t> </w:t>
            </w:r>
          </w:p>
        </w:tc>
        <w:tc>
          <w:tcPr>
            <w:tcW w:w="7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16" w:type="dxa"/>
            <w:tcBorders/>
            <w:shd w:fill="auto" w:val="clear"/>
            <w:vAlign w:val="bottom"/>
          </w:tcPr>
          <w:p>
            <w:pPr>
              <w:pStyle w:val="TableContents"/>
              <w:spacing w:before="0" w:after="0"/>
              <w:ind w:left="0" w:right="0" w:hanging="0"/>
              <w:jc w:val="center"/>
              <w:rPr/>
            </w:pPr>
            <w:r>
              <w:rPr/>
              <w:t> </w:t>
            </w:r>
          </w:p>
        </w:tc>
        <w:tc>
          <w:tcPr>
            <w:tcW w:w="70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16" w:type="dxa"/>
            <w:tcBorders/>
            <w:shd w:fill="auto" w:val="clear"/>
            <w:vAlign w:val="bottom"/>
          </w:tcPr>
          <w:p>
            <w:pPr>
              <w:pStyle w:val="TableContents"/>
              <w:spacing w:before="0" w:after="0"/>
              <w:ind w:left="0" w:right="0" w:hanging="0"/>
              <w:jc w:val="center"/>
              <w:rPr/>
            </w:pPr>
            <w:r>
              <w:rPr/>
              <w:t> </w:t>
            </w:r>
          </w:p>
        </w:tc>
        <w:tc>
          <w:tcPr>
            <w:tcW w:w="7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6" w:type="dxa"/>
            <w:tcBorders/>
            <w:shd w:fill="auto" w:val="clear"/>
            <w:vAlign w:val="bottom"/>
          </w:tcPr>
          <w:p>
            <w:pPr>
              <w:pStyle w:val="TableContents"/>
              <w:spacing w:before="0" w:after="0"/>
              <w:ind w:left="0" w:right="0" w:hanging="0"/>
              <w:jc w:val="center"/>
              <w:rPr/>
            </w:pPr>
            <w:r>
              <w:rPr/>
              <w:t> </w:t>
            </w:r>
          </w:p>
        </w:tc>
        <w:tc>
          <w:tcPr>
            <w:tcW w:w="70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16" w:type="dxa"/>
            <w:tcBorders/>
            <w:shd w:fill="auto" w:val="clear"/>
            <w:vAlign w:val="bottom"/>
          </w:tcPr>
          <w:p>
            <w:pPr>
              <w:pStyle w:val="TableContents"/>
              <w:spacing w:before="0" w:after="0"/>
              <w:ind w:left="0" w:right="0" w:hanging="0"/>
              <w:jc w:val="center"/>
              <w:rPr/>
            </w:pPr>
            <w:r>
              <w:rPr/>
              <w:t> </w:t>
            </w:r>
          </w:p>
        </w:tc>
        <w:tc>
          <w:tcPr>
            <w:tcW w:w="70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116" w:type="dxa"/>
            <w:tcBorders/>
            <w:shd w:fill="auto" w:val="clear"/>
            <w:vAlign w:val="bottom"/>
          </w:tcPr>
          <w:p>
            <w:pPr>
              <w:pStyle w:val="TableContents"/>
              <w:spacing w:before="0" w:after="0"/>
              <w:ind w:left="0" w:right="0" w:hanging="0"/>
              <w:jc w:val="center"/>
              <w:rPr/>
            </w:pPr>
            <w:r>
              <w:rPr/>
              <w:t> </w:t>
            </w:r>
          </w:p>
        </w:tc>
        <w:tc>
          <w:tcPr>
            <w:tcW w:w="8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Thereafter</w:t>
            </w:r>
          </w:p>
        </w:tc>
        <w:tc>
          <w:tcPr>
            <w:tcW w:w="116" w:type="dxa"/>
            <w:tcBorders/>
            <w:shd w:fill="auto" w:val="clear"/>
            <w:vAlign w:val="bottom"/>
          </w:tcPr>
          <w:p>
            <w:pPr>
              <w:pStyle w:val="TableContents"/>
              <w:spacing w:before="0" w:after="0"/>
              <w:ind w:left="0" w:right="0" w:hanging="0"/>
              <w:jc w:val="center"/>
              <w:rPr/>
            </w:pPr>
            <w:r>
              <w:rPr/>
              <w:t> </w:t>
            </w:r>
          </w:p>
        </w:tc>
        <w:tc>
          <w:tcPr>
            <w:tcW w:w="7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9" w:type="dxa"/>
            <w:tcBorders/>
            <w:shd w:fill="auto" w:val="clear"/>
            <w:vAlign w:val="bottom"/>
          </w:tcPr>
          <w:p>
            <w:pPr>
              <w:pStyle w:val="TableContents"/>
              <w:spacing w:before="0" w:after="0"/>
              <w:ind w:left="0" w:right="0" w:hanging="0"/>
              <w:jc w:val="center"/>
              <w:rPr/>
            </w:pPr>
            <w:r>
              <w:rPr/>
              <w:t> </w:t>
            </w:r>
          </w:p>
        </w:tc>
      </w:tr>
      <w:tr>
        <w:trPr/>
        <w:tc>
          <w:tcPr>
            <w:tcW w:w="4078" w:type="dxa"/>
            <w:tcBorders/>
            <w:shd w:fill="CCEEFF" w:val="clear"/>
            <w:vAlign w:val="bottom"/>
          </w:tcPr>
          <w:p>
            <w:pPr>
              <w:pStyle w:val="TableContents"/>
              <w:spacing w:before="0" w:after="0"/>
              <w:ind w:left="0" w:right="0" w:hanging="0"/>
              <w:rPr/>
            </w:pPr>
            <w:r>
              <w:rPr>
                <w:rFonts w:ascii="Times New Roman" w:hAnsi="Times New Roman"/>
                <w:sz w:val="17"/>
              </w:rPr>
              <w:t xml:space="preserve">Long-term debt and interest payments </w:t>
            </w:r>
            <w:r>
              <w:rPr>
                <w:sz w:val="11"/>
              </w:rPr>
              <w:t>(1)</w:t>
            </w:r>
          </w:p>
        </w:tc>
        <w:tc>
          <w:tcPr>
            <w:tcW w:w="116"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116"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261</w:t>
            </w:r>
          </w:p>
        </w:tc>
        <w:tc>
          <w:tcPr>
            <w:tcW w:w="116"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950</w:t>
            </w:r>
          </w:p>
        </w:tc>
        <w:tc>
          <w:tcPr>
            <w:tcW w:w="116"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472</w:t>
            </w:r>
          </w:p>
        </w:tc>
        <w:tc>
          <w:tcPr>
            <w:tcW w:w="116"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116"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4,933</w:t>
            </w:r>
          </w:p>
        </w:tc>
        <w:tc>
          <w:tcPr>
            <w:tcW w:w="116"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6,890</w:t>
            </w:r>
          </w:p>
        </w:tc>
        <w:tc>
          <w:tcPr>
            <w:tcW w:w="129" w:type="dxa"/>
            <w:tcBorders/>
            <w:shd w:fill="CCEEFF" w:val="clear"/>
            <w:vAlign w:val="bottom"/>
          </w:tcPr>
          <w:p>
            <w:pPr>
              <w:pStyle w:val="TableContents"/>
              <w:spacing w:before="0" w:after="0"/>
              <w:ind w:left="0" w:right="0" w:hanging="0"/>
              <w:rPr/>
            </w:pPr>
            <w:r>
              <w:rPr/>
              <w:t> </w:t>
            </w:r>
          </w:p>
        </w:tc>
      </w:tr>
      <w:tr>
        <w:trPr/>
        <w:tc>
          <w:tcPr>
            <w:tcW w:w="4078" w:type="dxa"/>
            <w:tcBorders/>
            <w:shd w:fill="auto" w:val="clear"/>
            <w:vAlign w:val="bottom"/>
          </w:tcPr>
          <w:p>
            <w:pPr>
              <w:pStyle w:val="TableContents"/>
              <w:spacing w:before="0" w:after="0"/>
              <w:ind w:left="0" w:right="0" w:hanging="0"/>
              <w:rPr/>
            </w:pPr>
            <w:r>
              <w:rPr>
                <w:rFonts w:ascii="Times New Roman" w:hAnsi="Times New Roman"/>
                <w:sz w:val="17"/>
              </w:rPr>
              <w:t xml:space="preserve">Leases </w:t>
            </w:r>
            <w:r>
              <w:rPr>
                <w:sz w:val="11"/>
              </w:rPr>
              <w:t>(2)</w:t>
            </w:r>
          </w:p>
        </w:tc>
        <w:tc>
          <w:tcPr>
            <w:tcW w:w="116" w:type="dxa"/>
            <w:tcBorders/>
            <w:shd w:fill="auto" w:val="clear"/>
            <w:vAlign w:val="bottom"/>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16" w:type="dxa"/>
            <w:tcBorders/>
            <w:shd w:fill="auto" w:val="clear"/>
            <w:vAlign w:val="bottom"/>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16"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16" w:type="dxa"/>
            <w:tcBorders/>
            <w:shd w:fill="auto" w:val="clear"/>
            <w:vAlign w:val="bottom"/>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16" w:type="dxa"/>
            <w:tcBorders/>
            <w:shd w:fill="auto" w:val="clear"/>
            <w:vAlign w:val="bottom"/>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16"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w:t>
            </w:r>
          </w:p>
        </w:tc>
        <w:tc>
          <w:tcPr>
            <w:tcW w:w="116" w:type="dxa"/>
            <w:tcBorders/>
            <w:shd w:fill="auto" w:val="clear"/>
            <w:vAlign w:val="bottom"/>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484</w:t>
            </w:r>
          </w:p>
        </w:tc>
        <w:tc>
          <w:tcPr>
            <w:tcW w:w="129" w:type="dxa"/>
            <w:tcBorders/>
            <w:shd w:fill="auto" w:val="clear"/>
            <w:vAlign w:val="bottom"/>
          </w:tcPr>
          <w:p>
            <w:pPr>
              <w:pStyle w:val="TableContents"/>
              <w:spacing w:before="0" w:after="0"/>
              <w:ind w:left="0" w:right="0" w:hanging="0"/>
              <w:rPr/>
            </w:pPr>
            <w:r>
              <w:rPr/>
              <w:t> </w:t>
            </w:r>
          </w:p>
        </w:tc>
      </w:tr>
      <w:tr>
        <w:trPr/>
        <w:tc>
          <w:tcPr>
            <w:tcW w:w="4078" w:type="dxa"/>
            <w:tcBorders/>
            <w:shd w:fill="CCEEFF" w:val="clear"/>
            <w:vAlign w:val="bottom"/>
          </w:tcPr>
          <w:p>
            <w:pPr>
              <w:pStyle w:val="TableContents"/>
              <w:spacing w:before="0" w:after="0"/>
              <w:ind w:left="0" w:right="0" w:hanging="0"/>
              <w:rPr/>
            </w:pPr>
            <w:r>
              <w:rPr>
                <w:rFonts w:ascii="Times New Roman" w:hAnsi="Times New Roman"/>
                <w:sz w:val="17"/>
              </w:rPr>
              <w:t xml:space="preserve">Crude oil, refined products and LPG purchases </w:t>
            </w:r>
            <w:r>
              <w:rPr>
                <w:sz w:val="11"/>
              </w:rPr>
              <w:t>(3)</w:t>
            </w:r>
          </w:p>
        </w:tc>
        <w:tc>
          <w:tcPr>
            <w:tcW w:w="116"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5,597</w:t>
            </w:r>
          </w:p>
        </w:tc>
        <w:tc>
          <w:tcPr>
            <w:tcW w:w="116"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984</w:t>
            </w:r>
          </w:p>
        </w:tc>
        <w:tc>
          <w:tcPr>
            <w:tcW w:w="116"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625</w:t>
            </w:r>
          </w:p>
        </w:tc>
        <w:tc>
          <w:tcPr>
            <w:tcW w:w="116"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116"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116"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6"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7,703</w:t>
            </w:r>
          </w:p>
        </w:tc>
        <w:tc>
          <w:tcPr>
            <w:tcW w:w="12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debt service payments, interest payments due on our senior notes and the commitment fee on our revolving credit facility. Although there is an outstanding balance on our revolving credit facility at March 31, 2010, we historically repay and borrow at varying amounts. As such, we have included only the maximum commitment fee (as if no amounts were outstanding on the facility) in the amounts above.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Leases are primarily for (i) storage, (ii) rights-of-way, (iii) office rent, (iv) pipeline assets and (v) trucks used in our gathering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Amounts are based on estimated volumes and market prices based on average activity during March 2010.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Letters of Credit. </w:t>
      </w:r>
      <w:r>
        <w:rPr>
          <w:rFonts w:ascii="Times New Roman" w:hAnsi="Times New Roman"/>
          <w:sz w:val="17"/>
        </w:rPr>
        <w:t>In connection with our crude oil supply and logistics activities, we provide certain suppliers with irrevocable standby letters of credit to secure our obligations for the purchase of crude oil.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March 31, 2010</w:t>
      </w:r>
      <w:r>
        <w:rPr>
          <w:rFonts w:ascii="Times New Roman" w:hAnsi="Times New Roman"/>
        </w:rPr>
        <w:t xml:space="preserve"> </w:t>
      </w:r>
      <w:r>
        <w:rPr>
          <w:rFonts w:ascii="Times New Roman" w:hAnsi="Times New Roman"/>
          <w:sz w:val="17"/>
        </w:rPr>
        <w:t>and December 31, 2009, we had outstanding letters of credit of approximately $107 million and $76 million, respectively.</w:t>
      </w:r>
    </w:p>
    <w:p>
      <w:pPr>
        <w:pStyle w:val="TextBody"/>
        <w:spacing w:before="0" w:after="0"/>
        <w:ind w:left="0" w:right="0" w:hanging="0"/>
        <w:rPr/>
      </w:pPr>
      <w:r>
        <w:rPr/>
        <w:t> </w:t>
      </w:r>
    </w:p>
    <w:p>
      <w:pPr>
        <w:pStyle w:val="TextBody"/>
        <w:jc w:val="left"/>
        <w:rPr>
          <w:rFonts w:ascii="Times New Roman" w:hAnsi="Times New Roman"/>
          <w:b/>
          <w:spacing w:val="0"/>
          <w:sz w:val="17"/>
        </w:rPr>
      </w:pPr>
      <w:r>
        <w:rPr>
          <w:rFonts w:ascii="Times New Roman" w:hAnsi="Times New Roman"/>
          <w:b/>
          <w:spacing w:val="0"/>
          <w:sz w:val="17"/>
        </w:rPr>
        <w:t>Off-Balance Sheet Arrangements</w:t>
      </w:r>
    </w:p>
    <w:p>
      <w:pPr>
        <w:pStyle w:val="TextBody"/>
        <w:jc w:val="left"/>
        <w:rPr>
          <w:spacing w:val="0"/>
        </w:rPr>
      </w:pPr>
      <w:r>
        <w:rPr>
          <w:spacing w:val="0"/>
        </w:rPr>
        <w:t> </w:t>
      </w:r>
    </w:p>
    <w:p>
      <w:pPr>
        <w:pStyle w:val="TextBody"/>
        <w:spacing w:before="0" w:after="0"/>
        <w:ind w:left="0" w:right="0" w:hanging="0"/>
        <w:rPr>
          <w:rFonts w:ascii="Times New Roman" w:hAnsi="Times New Roman"/>
          <w:sz w:val="17"/>
        </w:rPr>
      </w:pPr>
      <w:r>
        <w:rPr>
          <w:rFonts w:ascii="Times New Roman" w:hAnsi="Times New Roman"/>
          <w:sz w:val="17"/>
        </w:rPr>
        <w:t>We have no significant off-balance sheet arrangements as defined by Item 307 of Regulation S-K.</w:t>
      </w:r>
    </w:p>
    <w:p>
      <w:pPr>
        <w:pStyle w:val="TextBody"/>
        <w:spacing w:before="0" w:after="0"/>
        <w:ind w:left="0" w:right="0" w:hanging="0"/>
        <w:rPr/>
      </w:pPr>
      <w:r>
        <w:rPr/>
        <w:t> </w:t>
      </w:r>
    </w:p>
    <w:p>
      <w:pPr>
        <w:pStyle w:val="TextBody"/>
        <w:jc w:val="left"/>
        <w:rPr>
          <w:rFonts w:ascii="Times New Roman" w:hAnsi="Times New Roman"/>
          <w:b/>
          <w:spacing w:val="0"/>
          <w:sz w:val="17"/>
        </w:rPr>
      </w:pPr>
      <w:r>
        <w:rPr>
          <w:rFonts w:ascii="Times New Roman" w:hAnsi="Times New Roman"/>
          <w:b/>
          <w:spacing w:val="0"/>
          <w:sz w:val="17"/>
        </w:rPr>
        <w:t>Recent Accounting Pronouncements</w:t>
      </w:r>
    </w:p>
    <w:p>
      <w:pPr>
        <w:pStyle w:val="TextBody"/>
        <w:jc w:val="left"/>
        <w:rPr>
          <w:spacing w:val="0"/>
        </w:rPr>
      </w:pPr>
      <w:r>
        <w:rPr>
          <w:spacing w:val="0"/>
        </w:rPr>
        <w:t> </w:t>
      </w:r>
    </w:p>
    <w:p>
      <w:pPr>
        <w:pStyle w:val="TextBody"/>
        <w:spacing w:before="0" w:after="0"/>
        <w:ind w:left="0" w:right="0" w:hanging="0"/>
        <w:rPr>
          <w:rFonts w:ascii="Times New Roman" w:hAnsi="Times New Roman"/>
          <w:sz w:val="17"/>
        </w:rPr>
      </w:pPr>
      <w:r>
        <w:rPr>
          <w:rFonts w:ascii="Times New Roman" w:hAnsi="Times New Roman"/>
          <w:sz w:val="17"/>
        </w:rPr>
        <w:t>See Note 2 to our Condensed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Critical Accounting Policies and Estimates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additional discussion regarding our critical accounting policies and estimates, see Critical Accounting Policies and Estimates under Item 7 of our 2009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the results anticipated in the forward-looking statements. These factors include, but are not limited to: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40</w:t>
      </w:r>
      <w:bookmarkStart w:id="65" w:name="PB_40_154156_455"/>
      <w:bookmarkEnd w:id="6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implement or capitalize on planned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maintenance of our credit rating and ability to receive open credit from our suppliers and trade counterparties;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creditworthiness of, and performance by, our counterparties, including financial institutions and trading companies with which we do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effectiveness of our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environmental liabilities or events that are not covered by an indemnity, insurance or existing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abrupt or severe declines or interruptions in outer continental shelf production located offshore California and transported on our pipeline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shortages or cost increases of power supplies, materials or labor;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and our ability to consummate, acquisition or combination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unanticipated changes in crude oil market structure, grade differentials and volatility (or lack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impact of current and future laws, rulings, governmental regulations, accounting standards and statements and related interpretations;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effects of competition;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interruptions in service and fluctuations in tariffs or volumes on third-party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costs or lack of availability of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the debt and equity markets, including the price of our units at the time of vesting under our long-term incentive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currency exchange rate of the Canadian dollar;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 interference with business operations or project construction;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related to the development and operation of natural gas storage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future developments and circumstances at the time distributions are declared;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 economic, market or business conditions and the amplification of other risks caused by deteriorated financial markets, capital constraints and pervasive liquidity concerns;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 xml:space="preserve">other factors and uncertainties inherent in the transportation, storage, terminalling and marketing of crude oil, refined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41</w:t>
      </w:r>
      <w:bookmarkStart w:id="66" w:name="PB_41_154220_4141"/>
      <w:bookmarkEnd w:id="6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products and liquefied petroleum gas and other natural gas related petroleum products.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factors, described herein, or factors that are unknown or unpredictable, could also have a material adverse effect on future results. Please read Risks Factors discussed in Item 1A of our 2009 Annual Report on Form 10-K. Except as required by applicable securities laws, we do not intend to update these forward-looking statements and information.</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3. QUANTITATIVE AND QUALITATIVE DISCLOSURES ABOUT MARKET RISK.</w:t>
      </w:r>
      <w:bookmarkStart w:id="67" w:name="Item3_QuantitativeAndQualitativeD_161631"/>
      <w:bookmarkEnd w:id="67"/>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should be read in conjunction with Quantitative and Qualitative Disclosures About Market Risk included under Item 7A in our 2009 Annual Report on Form 10-K. There have been no material changes in that information other than as discussed below. Also, see Note 9 to our Condensed Consolidated Financial Statements for additional discussion related to derivative instruments and hedging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Commodity Price Risk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All of our open commodity price risk derivatives at March 31, 2010</w:t>
      </w:r>
      <w:r>
        <w:rPr>
          <w:rFonts w:ascii="Times New Roman" w:hAnsi="Times New Roman"/>
        </w:rPr>
        <w:t xml:space="preserve"> </w:t>
      </w:r>
      <w:r>
        <w:rPr>
          <w:rFonts w:ascii="Times New Roman" w:hAnsi="Times New Roman"/>
          <w:sz w:val="17"/>
        </w:rPr>
        <w:t>were categorized as non-trading. The fair value of these instruments and the change in fair value that would be expected from a ten percent price decrease are shown in the table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26"/>
        <w:gridCol w:w="226"/>
        <w:gridCol w:w="181"/>
        <w:gridCol w:w="1088"/>
        <w:gridCol w:w="240"/>
        <w:gridCol w:w="293"/>
        <w:gridCol w:w="1099"/>
        <w:gridCol w:w="152"/>
      </w:tblGrid>
      <w:tr>
        <w:trPr/>
        <w:tc>
          <w:tcPr>
            <w:tcW w:w="6926" w:type="dxa"/>
            <w:tcBorders/>
            <w:shd w:fill="auto" w:val="clear"/>
            <w:vAlign w:val="bottom"/>
          </w:tcPr>
          <w:p>
            <w:pPr>
              <w:pStyle w:val="TableContents"/>
              <w:spacing w:before="0" w:after="0"/>
              <w:ind w:left="0" w:right="0" w:hanging="0"/>
              <w:rPr/>
            </w:pPr>
            <w:r>
              <w:rPr/>
              <w:t> </w:t>
            </w:r>
          </w:p>
        </w:tc>
        <w:tc>
          <w:tcPr>
            <w:tcW w:w="226" w:type="dxa"/>
            <w:tcBorders/>
            <w:shd w:fill="auto" w:val="clear"/>
            <w:vAlign w:val="bottom"/>
          </w:tcPr>
          <w:p>
            <w:pPr>
              <w:pStyle w:val="TableContents"/>
              <w:spacing w:before="0" w:after="0"/>
              <w:ind w:left="0" w:right="0" w:hanging="0"/>
              <w:jc w:val="center"/>
              <w:rPr/>
            </w:pPr>
            <w:r>
              <w:rPr/>
              <w:t> </w:t>
            </w:r>
          </w:p>
        </w:tc>
        <w:tc>
          <w:tcPr>
            <w:tcW w:w="1269" w:type="dxa"/>
            <w:gridSpan w:val="2"/>
            <w:tcBorders/>
            <w:shd w:fill="auto" w:val="clear"/>
            <w:vAlign w:val="bottom"/>
          </w:tcPr>
          <w:p>
            <w:pPr>
              <w:pStyle w:val="TableContents"/>
              <w:spacing w:before="0" w:after="0"/>
              <w:ind w:left="0" w:right="0" w:hanging="0"/>
              <w:jc w:val="center"/>
              <w:rPr/>
            </w:pPr>
            <w:r>
              <w:rPr/>
              <w:t> </w:t>
            </w:r>
          </w:p>
        </w:tc>
        <w:tc>
          <w:tcPr>
            <w:tcW w:w="240" w:type="dxa"/>
            <w:tcBorders/>
            <w:shd w:fill="auto" w:val="clear"/>
            <w:vAlign w:val="bottom"/>
          </w:tcPr>
          <w:p>
            <w:pPr>
              <w:pStyle w:val="TableContents"/>
              <w:spacing w:before="0" w:after="0"/>
              <w:ind w:left="0" w:right="0" w:hanging="0"/>
              <w:jc w:val="center"/>
              <w:rPr/>
            </w:pPr>
            <w:r>
              <w:rPr/>
              <w:t> </w:t>
            </w:r>
          </w:p>
        </w:tc>
        <w:tc>
          <w:tcPr>
            <w:tcW w:w="139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Effect of 10%</w:t>
            </w:r>
          </w:p>
        </w:tc>
        <w:tc>
          <w:tcPr>
            <w:tcW w:w="152" w:type="dxa"/>
            <w:tcBorders/>
            <w:shd w:fill="auto" w:val="clear"/>
            <w:vAlign w:val="bottom"/>
          </w:tcPr>
          <w:p>
            <w:pPr>
              <w:pStyle w:val="TableContents"/>
              <w:spacing w:before="0" w:after="0"/>
              <w:ind w:left="0" w:right="0" w:hanging="0"/>
              <w:jc w:val="center"/>
              <w:rPr/>
            </w:pPr>
            <w:r>
              <w:rPr/>
              <w:t> </w:t>
            </w:r>
          </w:p>
        </w:tc>
      </w:tr>
      <w:tr>
        <w:trPr/>
        <w:tc>
          <w:tcPr>
            <w:tcW w:w="6926" w:type="dxa"/>
            <w:tcBorders/>
            <w:shd w:fill="auto" w:val="clear"/>
            <w:vAlign w:val="bottom"/>
          </w:tcPr>
          <w:p>
            <w:pPr>
              <w:pStyle w:val="TableContents"/>
              <w:spacing w:before="0" w:after="0"/>
              <w:ind w:left="0" w:right="0" w:hanging="0"/>
              <w:rPr/>
            </w:pPr>
            <w:r>
              <w:rPr/>
              <w:t> </w:t>
            </w:r>
          </w:p>
        </w:tc>
        <w:tc>
          <w:tcPr>
            <w:tcW w:w="226" w:type="dxa"/>
            <w:tcBorders/>
            <w:shd w:fill="auto" w:val="clear"/>
            <w:vAlign w:val="bottom"/>
          </w:tcPr>
          <w:p>
            <w:pPr>
              <w:pStyle w:val="TableContents"/>
              <w:spacing w:before="0" w:after="0"/>
              <w:ind w:left="0" w:right="0" w:hanging="0"/>
              <w:jc w:val="center"/>
              <w:rPr/>
            </w:pPr>
            <w:r>
              <w:rPr/>
              <w:t> </w:t>
            </w:r>
          </w:p>
        </w:tc>
        <w:tc>
          <w:tcPr>
            <w:tcW w:w="12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40" w:type="dxa"/>
            <w:tcBorders/>
            <w:shd w:fill="auto" w:val="clear"/>
            <w:vAlign w:val="bottom"/>
          </w:tcPr>
          <w:p>
            <w:pPr>
              <w:pStyle w:val="TableContents"/>
              <w:spacing w:before="0" w:after="0"/>
              <w:ind w:left="0" w:right="0" w:hanging="0"/>
              <w:jc w:val="center"/>
              <w:rPr/>
            </w:pPr>
            <w:r>
              <w:rPr/>
              <w:t> </w:t>
            </w:r>
          </w:p>
        </w:tc>
        <w:tc>
          <w:tcPr>
            <w:tcW w:w="139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 Decrease</w:t>
            </w:r>
          </w:p>
        </w:tc>
        <w:tc>
          <w:tcPr>
            <w:tcW w:w="152" w:type="dxa"/>
            <w:tcBorders/>
            <w:shd w:fill="auto" w:val="clear"/>
            <w:vAlign w:val="bottom"/>
          </w:tcPr>
          <w:p>
            <w:pPr>
              <w:pStyle w:val="TableContents"/>
              <w:spacing w:before="0" w:after="0"/>
              <w:ind w:left="0" w:right="0" w:hanging="0"/>
              <w:jc w:val="center"/>
              <w:rPr/>
            </w:pPr>
            <w:r>
              <w:rPr/>
              <w:t> </w:t>
            </w:r>
          </w:p>
        </w:tc>
      </w:tr>
      <w:tr>
        <w:trPr/>
        <w:tc>
          <w:tcPr>
            <w:tcW w:w="69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226"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pPr>
            <w:r>
              <w:rPr/>
              <w:t> </w:t>
            </w:r>
          </w:p>
        </w:tc>
        <w:tc>
          <w:tcPr>
            <w:tcW w:w="240" w:type="dxa"/>
            <w:tcBorders/>
            <w:shd w:fill="CCEEFF" w:val="clear"/>
            <w:vAlign w:val="bottom"/>
          </w:tcPr>
          <w:p>
            <w:pPr>
              <w:pStyle w:val="TableContents"/>
              <w:spacing w:before="0" w:after="0"/>
              <w:ind w:left="0" w:right="0" w:hanging="0"/>
              <w:rPr/>
            </w:pPr>
            <w:r>
              <w:rPr/>
              <w:t> </w:t>
            </w:r>
          </w:p>
        </w:tc>
        <w:tc>
          <w:tcPr>
            <w:tcW w:w="1392" w:type="dxa"/>
            <w:gridSpan w:val="2"/>
            <w:tcBorders/>
            <w:shd w:fill="CCEEFF" w:val="clear"/>
            <w:vAlign w:val="bottom"/>
          </w:tcPr>
          <w:p>
            <w:pPr>
              <w:pStyle w:val="TableContents"/>
              <w:spacing w:before="0" w:after="0"/>
              <w:ind w:left="0" w:right="0" w:hanging="0"/>
              <w:jc w:val="right"/>
              <w:rPr/>
            </w:pPr>
            <w:r>
              <w:rPr/>
              <w:t> </w:t>
            </w:r>
          </w:p>
        </w:tc>
        <w:tc>
          <w:tcPr>
            <w:tcW w:w="152" w:type="dxa"/>
            <w:tcBorders/>
            <w:shd w:fill="CCEEFF" w:val="clear"/>
            <w:vAlign w:val="bottom"/>
          </w:tcPr>
          <w:p>
            <w:pPr>
              <w:pStyle w:val="TableContents"/>
              <w:spacing w:before="0" w:after="0"/>
              <w:ind w:left="0" w:right="0" w:hanging="0"/>
              <w:rPr/>
            </w:pPr>
            <w:r>
              <w:rPr/>
              <w:t> </w:t>
            </w:r>
          </w:p>
        </w:tc>
      </w:tr>
      <w:tr>
        <w:trPr/>
        <w:tc>
          <w:tcPr>
            <w:tcW w:w="69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Futures contracts</w:t>
            </w:r>
          </w:p>
        </w:tc>
        <w:tc>
          <w:tcPr>
            <w:tcW w:w="226"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40" w:type="dxa"/>
            <w:tcBorders/>
            <w:shd w:fill="auto" w:val="clear"/>
            <w:vAlign w:val="bottom"/>
          </w:tcPr>
          <w:p>
            <w:pPr>
              <w:pStyle w:val="TableContents"/>
              <w:spacing w:before="0" w:after="0"/>
              <w:ind w:left="0" w:right="0" w:hanging="0"/>
              <w:rPr/>
            </w:pPr>
            <w:r>
              <w:rPr/>
              <w:t> </w:t>
            </w:r>
          </w:p>
        </w:tc>
        <w:tc>
          <w:tcPr>
            <w:tcW w:w="2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52" w:type="dxa"/>
            <w:tcBorders/>
            <w:shd w:fill="auto" w:val="clear"/>
            <w:vAlign w:val="bottom"/>
          </w:tcPr>
          <w:p>
            <w:pPr>
              <w:pStyle w:val="TableContents"/>
              <w:spacing w:before="0" w:after="0"/>
              <w:ind w:left="0" w:right="0" w:hanging="0"/>
              <w:rPr/>
            </w:pPr>
            <w:r>
              <w:rPr/>
              <w:t> </w:t>
            </w:r>
          </w:p>
        </w:tc>
      </w:tr>
      <w:tr>
        <w:trPr/>
        <w:tc>
          <w:tcPr>
            <w:tcW w:w="69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Swaps and options contracts</w:t>
            </w:r>
          </w:p>
        </w:tc>
        <w:tc>
          <w:tcPr>
            <w:tcW w:w="226"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40" w:type="dxa"/>
            <w:tcBorders/>
            <w:shd w:fill="CCEEFF" w:val="clear"/>
            <w:vAlign w:val="bottom"/>
          </w:tcPr>
          <w:p>
            <w:pPr>
              <w:pStyle w:val="TableContents"/>
              <w:spacing w:before="0" w:after="0"/>
              <w:ind w:left="0" w:right="0" w:hanging="0"/>
              <w:rPr/>
            </w:pPr>
            <w:r>
              <w:rPr/>
              <w:t> </w:t>
            </w:r>
          </w:p>
        </w:tc>
        <w:tc>
          <w:tcPr>
            <w:tcW w:w="2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52" w:type="dxa"/>
            <w:tcBorders/>
            <w:shd w:fill="CCEEFF" w:val="clear"/>
            <w:vAlign w:val="bottom"/>
          </w:tcPr>
          <w:p>
            <w:pPr>
              <w:pStyle w:val="TableContents"/>
              <w:spacing w:before="0" w:after="0"/>
              <w:ind w:left="0" w:right="0" w:hanging="0"/>
              <w:rPr/>
            </w:pPr>
            <w:r>
              <w:rPr/>
              <w:t> </w:t>
            </w:r>
          </w:p>
        </w:tc>
      </w:tr>
      <w:tr>
        <w:trPr/>
        <w:tc>
          <w:tcPr>
            <w:tcW w:w="6926" w:type="dxa"/>
            <w:tcBorders/>
            <w:shd w:fill="auto" w:val="clear"/>
            <w:vAlign w:val="bottom"/>
          </w:tcPr>
          <w:p>
            <w:pPr>
              <w:pStyle w:val="TableContents"/>
              <w:spacing w:before="0" w:after="0"/>
              <w:ind w:left="0" w:right="0" w:hanging="0"/>
              <w:rPr/>
            </w:pPr>
            <w:r>
              <w:rPr/>
              <w:t> </w:t>
            </w:r>
          </w:p>
        </w:tc>
        <w:tc>
          <w:tcPr>
            <w:tcW w:w="226"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pPr>
            <w:r>
              <w:rPr/>
              <w:t> </w:t>
            </w:r>
          </w:p>
        </w:tc>
        <w:tc>
          <w:tcPr>
            <w:tcW w:w="240" w:type="dxa"/>
            <w:tcBorders/>
            <w:shd w:fill="auto" w:val="clear"/>
            <w:vAlign w:val="bottom"/>
          </w:tcPr>
          <w:p>
            <w:pPr>
              <w:pStyle w:val="TableContents"/>
              <w:spacing w:before="0" w:after="0"/>
              <w:ind w:left="0" w:right="0" w:hanging="0"/>
              <w:rPr/>
            </w:pPr>
            <w:r>
              <w:rPr/>
              <w:t> </w:t>
            </w:r>
          </w:p>
        </w:tc>
        <w:tc>
          <w:tcPr>
            <w:tcW w:w="1392"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r>
      <w:tr>
        <w:trPr/>
        <w:tc>
          <w:tcPr>
            <w:tcW w:w="69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and other:</w:t>
            </w:r>
          </w:p>
        </w:tc>
        <w:tc>
          <w:tcPr>
            <w:tcW w:w="226"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pPr>
            <w:r>
              <w:rPr/>
              <w:t> </w:t>
            </w:r>
          </w:p>
        </w:tc>
        <w:tc>
          <w:tcPr>
            <w:tcW w:w="240" w:type="dxa"/>
            <w:tcBorders/>
            <w:shd w:fill="CCEEFF" w:val="clear"/>
            <w:vAlign w:val="bottom"/>
          </w:tcPr>
          <w:p>
            <w:pPr>
              <w:pStyle w:val="TableContents"/>
              <w:spacing w:before="0" w:after="0"/>
              <w:ind w:left="0" w:right="0" w:hanging="0"/>
              <w:rPr/>
            </w:pPr>
            <w:r>
              <w:rPr/>
              <w:t> </w:t>
            </w:r>
          </w:p>
        </w:tc>
        <w:tc>
          <w:tcPr>
            <w:tcW w:w="1392" w:type="dxa"/>
            <w:gridSpan w:val="2"/>
            <w:tcBorders/>
            <w:shd w:fill="CCEEFF" w:val="clear"/>
            <w:vAlign w:val="bottom"/>
          </w:tcPr>
          <w:p>
            <w:pPr>
              <w:pStyle w:val="TableContents"/>
              <w:spacing w:before="0" w:after="0"/>
              <w:ind w:left="0" w:right="0" w:hanging="0"/>
              <w:jc w:val="right"/>
              <w:rPr/>
            </w:pPr>
            <w:r>
              <w:rPr/>
              <w:t> </w:t>
            </w:r>
          </w:p>
        </w:tc>
        <w:tc>
          <w:tcPr>
            <w:tcW w:w="152" w:type="dxa"/>
            <w:tcBorders/>
            <w:shd w:fill="CCEEFF" w:val="clear"/>
            <w:vAlign w:val="bottom"/>
          </w:tcPr>
          <w:p>
            <w:pPr>
              <w:pStyle w:val="TableContents"/>
              <w:spacing w:before="0" w:after="0"/>
              <w:ind w:left="0" w:right="0" w:hanging="0"/>
              <w:rPr/>
            </w:pPr>
            <w:r>
              <w:rPr/>
              <w:t> </w:t>
            </w:r>
          </w:p>
        </w:tc>
      </w:tr>
      <w:tr>
        <w:trPr/>
        <w:tc>
          <w:tcPr>
            <w:tcW w:w="69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Futures contracts</w:t>
            </w:r>
          </w:p>
        </w:tc>
        <w:tc>
          <w:tcPr>
            <w:tcW w:w="226"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2" w:type="dxa"/>
            <w:tcBorders/>
            <w:shd w:fill="auto" w:val="clear"/>
            <w:vAlign w:val="bottom"/>
          </w:tcPr>
          <w:p>
            <w:pPr>
              <w:pStyle w:val="TableContents"/>
              <w:spacing w:before="0" w:after="0"/>
              <w:ind w:left="0" w:right="0" w:hanging="0"/>
              <w:rPr/>
            </w:pPr>
            <w:r>
              <w:rPr/>
              <w:t> </w:t>
            </w:r>
          </w:p>
        </w:tc>
      </w:tr>
      <w:tr>
        <w:trPr/>
        <w:tc>
          <w:tcPr>
            <w:tcW w:w="69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Swaps and options contracts</w:t>
            </w:r>
          </w:p>
        </w:tc>
        <w:tc>
          <w:tcPr>
            <w:tcW w:w="226" w:type="dxa"/>
            <w:tcBorders/>
            <w:shd w:fill="CCEEFF" w:val="clear"/>
            <w:vAlign w:val="bottom"/>
          </w:tcPr>
          <w:p>
            <w:pPr>
              <w:pStyle w:val="TableContents"/>
              <w:spacing w:before="0" w:after="0"/>
              <w:ind w:left="0" w:right="0" w:hanging="0"/>
              <w:rPr/>
            </w:pPr>
            <w:r>
              <w:rPr/>
              <w:t> </w:t>
            </w:r>
          </w:p>
        </w:tc>
        <w:tc>
          <w:tcPr>
            <w:tcW w:w="12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9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Fair Value</w:t>
            </w:r>
          </w:p>
        </w:tc>
        <w:tc>
          <w:tcPr>
            <w:tcW w:w="226"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40" w:type="dxa"/>
            <w:tcBorders/>
            <w:shd w:fill="auto" w:val="clear"/>
            <w:vAlign w:val="bottom"/>
          </w:tcPr>
          <w:p>
            <w:pPr>
              <w:pStyle w:val="TableContents"/>
              <w:spacing w:before="0" w:after="0"/>
              <w:ind w:left="0" w:right="0" w:hanging="0"/>
              <w:rPr/>
            </w:pPr>
            <w:r>
              <w:rPr/>
              <w:t> </w:t>
            </w:r>
          </w:p>
        </w:tc>
        <w:tc>
          <w:tcPr>
            <w:tcW w:w="1392"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4. CONTROLS AND PROCEDURES</w:t>
      </w:r>
      <w:bookmarkStart w:id="68" w:name="Item4_ControlsAndProcedures_161633"/>
      <w:bookmarkEnd w:id="68"/>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Disclosure Controls and Procedures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maintain written DCP. The purpose of our DCP is to provide reasonable assurance that (i) information is recorded, processed, summarized and reported in a manner that allows for timely disclosure of such information in accordance with the securities laws and SEC regulations and (ii) information is accumulated and communicated to management, including our Chief Executive Officer and Chief Financial Officer, to allow for timely decisions regarding required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Changes in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the information concerning our DCP, we are required to disclose certain changes in our internal control over financial reporting. Although we have made various enhancements to our controls, there have been no changes in our internal control over financial reporting during the period covered by this report that have materially affected, or are reasonably likely to materially affect, our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Certifications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42</w:t>
      </w:r>
      <w:bookmarkStart w:id="69" w:name="PB_42_154332_8627"/>
      <w:bookmarkEnd w:id="6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II. OTHER INFORMATION</w:t>
      </w:r>
      <w:bookmarkStart w:id="70" w:name="Partii_OtherInformation_155221"/>
      <w:bookmarkEnd w:id="70"/>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1. LEGAL PROCEEDINGS</w:t>
      </w:r>
      <w:bookmarkStart w:id="71" w:name="Item1_LegalProceedings_155220"/>
      <w:bookmarkEnd w:id="71"/>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information required by this item is included under the caption Litigation in Note 11 to our Condensed Consolidated Financial Statements, and is incorporated herein by reference thereto.</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1A. RISK FACTORS</w:t>
      </w:r>
      <w:bookmarkStart w:id="72" w:name="Item1a_RiskFactors_155219"/>
      <w:bookmarkEnd w:id="72"/>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discussion regarding our risk factors, see Item 1A of our 2009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pStyle w:val="TextBody"/>
        <w:spacing w:before="0" w:after="0"/>
        <w:ind w:left="0" w:right="0" w:hanging="0"/>
        <w:rPr/>
      </w:pPr>
      <w:r>
        <w:rPr/>
        <w:t> </w:t>
      </w:r>
    </w:p>
    <w:p>
      <w:pPr>
        <w:pStyle w:val="TextBody"/>
        <w:jc w:val="left"/>
        <w:rPr>
          <w:rFonts w:ascii="Times New Roman" w:hAnsi="Times New Roman"/>
          <w:b/>
          <w:spacing w:val="0"/>
          <w:sz w:val="17"/>
        </w:rPr>
      </w:pPr>
      <w:r>
        <w:rPr>
          <w:rFonts w:ascii="Times New Roman" w:hAnsi="Times New Roman"/>
          <w:b/>
          <w:spacing w:val="0"/>
          <w:sz w:val="17"/>
        </w:rPr>
        <w:t>Item 2. UNREGISTERED SALES OF EQUITY SECURITIES AND USE OF PROCEEDS</w:t>
      </w:r>
      <w:bookmarkStart w:id="73" w:name="Item2_UnregisteredSalesOfEquitySe_155217"/>
      <w:bookmarkEnd w:id="73"/>
    </w:p>
    <w:p>
      <w:pPr>
        <w:pStyle w:val="TextBody"/>
        <w:jc w:val="left"/>
        <w:rPr>
          <w:spacing w:val="0"/>
        </w:rPr>
      </w:pPr>
      <w:r>
        <w:rPr>
          <w:spacing w:val="0"/>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3. DEFAULTS UPON SENIOR SECURITIES</w:t>
      </w:r>
      <w:bookmarkStart w:id="74" w:name="Item3_DefaultsUponSeniorSecuritie_155216"/>
      <w:bookmarkEnd w:id="74"/>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4. [REMOVED AND RESERVED]</w:t>
      </w:r>
      <w:bookmarkStart w:id="75" w:name="Item4_removedAndReserved_155213"/>
      <w:bookmarkEnd w:id="75"/>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5. OTHER INFORMATION</w:t>
      </w:r>
      <w:bookmarkStart w:id="76" w:name="Item5_OtherInformation_155212"/>
      <w:bookmarkEnd w:id="7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6. EXHIBITS</w:t>
      </w:r>
      <w:bookmarkStart w:id="77" w:name="Item6_Exhibits_155210"/>
      <w:bookmarkEnd w:id="77"/>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17"/>
        <w:gridCol w:w="411"/>
        <w:gridCol w:w="9177"/>
      </w:tblGrid>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All American Pipeline, L.P. dated as of June 27, 2001 (incorporated by reference to Exhibit 3.1 to the Current Report on Form 8-K filed August 27, 2001).</w:t>
            </w:r>
          </w:p>
        </w:tc>
      </w:tr>
      <w:tr>
        <w:trPr/>
        <w:tc>
          <w:tcPr>
            <w:tcW w:w="617"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9177"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Amendment No. 1 dated April 15, 2004 to the Third Amended and Restated Agreement of Limited Partnership of Plains All American Pipeline, L.P. (incorporated by reference to Exhibit 3.1 to the Quarterly Report on Form 10-Q for the quarter ended March 31, 2004).</w:t>
            </w:r>
          </w:p>
        </w:tc>
      </w:tr>
      <w:tr>
        <w:trPr/>
        <w:tc>
          <w:tcPr>
            <w:tcW w:w="617"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9177"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3.3</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Amendment No. 2 dated November 15, 2006 to Third Amended and Restated Agreement of Limited Partnership of Plains All American Pipeline, L.P. (incorporated by reference to Exhibit 3.1 to the Current Report on Form 8-K filed November 21, 2006).</w:t>
            </w:r>
          </w:p>
        </w:tc>
      </w:tr>
      <w:tr>
        <w:trPr/>
        <w:tc>
          <w:tcPr>
            <w:tcW w:w="617"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9177"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3.4</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Amendment No. 3 dated August 16, 2007 to Third Amended and Restated Agreement of Limited Partnership of Plains All American Pipeline, L.P. (incorporated by reference to Exhibit 3.1 to the Current Report on Form 8-K filed August 22, 2007).</w:t>
            </w:r>
          </w:p>
        </w:tc>
      </w:tr>
      <w:tr>
        <w:trPr/>
        <w:tc>
          <w:tcPr>
            <w:tcW w:w="617"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9177"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3.5</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Amendment No. 4 effective as of January 1, 2007 to Third Amended and Restated Agreement of Limited Partnership of Plains All American Pipeline, L.P. (incorporated by reference to Exhibit 3.1 to the Current Report on Form 8-K filed April 15, 2008).</w:t>
            </w:r>
          </w:p>
        </w:tc>
      </w:tr>
      <w:tr>
        <w:trPr/>
        <w:tc>
          <w:tcPr>
            <w:tcW w:w="617"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9177"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3.6</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Amendment No. 5 dated May 28, 2008 to Third Amended and Restated Agreement of Limited Partnership of Plains All American Pipeline, L.P. (incorporated by reference to Exhibit 3.1 to the Current Report on Form 8-K filed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43</w:t>
      </w:r>
      <w:bookmarkStart w:id="78" w:name="PB_43_154540_7906"/>
      <w:bookmarkEnd w:id="7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617"/>
        <w:gridCol w:w="412"/>
        <w:gridCol w:w="9176"/>
      </w:tblGrid>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May 30, 2008).</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3.7</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Amendment No. 6 dated September 3, 2009 to Third Amended and Restated Agreement of Limited Partnership of Plains All American Pipeline, L.P. (incorporated by reference to Exhibit 3.1 to the Current Report on Form 8-K filed September 3, 2009).</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3.8</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Marketing, L.P. dated as of April 1, 2004 (incorporated by reference to Exhibit 3.2 to the Quarterly Report on Form 10-Q for the quarter ended March 31, 2004).</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3.9</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Pipeline, L.P. dated as of April 1, 2004 (incorporated by reference to Exhibit 3.3 to the Quarterly Report on Form 10-Q for the quarter ended March 31, 2004).</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3.10</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Fourth Amended and Restated Limited Liability Company Agreement of Plains All American GP LLC dated August 7, 2008, as amended November 2, 2009 (incorporated by reference to Exhibit 3.10 to the Quarterly Report on Form 10-Q for the quarter ended September 30, 2009).</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3.11</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Fifth Amended and Restated Limited Partnership Agreement of Plains AAP, L.P. dated August 7, 2008 (incorporated by reference to Exhibit 3.1 to the Current Report on Form 8-K filed August 7, 2008).</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3.12</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Certificate of Incorporation of PAA Finance Corp (f/k/a Pacific Energy Finance Corporation, successor-by-merger to PAA Finance Corp.) (incorporated by reference to Exhibit 3.10 to the Annual Report on Form 10-K for the year ended December 31, 2006).</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3.13</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Bylaws of PAA Finance Corp (f/k/a Pacific Energy Finance Corporation, successor-by-merger to PAA Finance Corp.) (incorporated by reference to Exhibit 3.11 to the Annual Report on Form 10-K for the year ended December 31, 2006).</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3.14</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Limited Liability Company Agreement of PAA GP LLC dated December 28, 2007 (incorporated by reference to Exhibit 3.3 to the Current Report on Form 8-K filed January 4, 2008).</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Indenture dated September 25, 2002 among Plains All American Pipeline, L.P., PAA Finance Corp. and Wachovia Bank, National Association, as trustee (incorporated by reference to Exhibit 4.1 to the Quarterly Report on Form 10-Q for the quarter ended September 30, 2002).</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First Supplemental Indenture (Series A and Series B 7.75% Senior Notes due 2012) dated as of September 25, 2002 among Plains All American Pipeline, L.P., PAA Finance Corp., the Subsidiary Guarantors named therein and Wachovia Bank, National Association, as trustee (incorporated by reference to Exhibit 4.2 to the Quarterly Report on Form 10-Q for the quarter ended September 30, 2002).</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4.3</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Second Supplemental Indenture (Series A and Series B 5.625% Senior Notes due 2013) dated as of December 10, 2003 among Plains All American Pipeline, L.P., PAA Finance Corp., the Subsidiary Guarantors named therein and Wachovia Bank, National Association, as trustee (incorporated by reference to Exhibit 4.4 to the Annual Report on Form 10-K for the year ended December 31, 2003).</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4.4</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the Registration Statement on Form S-4, File No. 333-121168).</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4.5</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Fifth Supplemental Indenture (Series A and Series B 5.25% Senior Notes due 2015) dated May 27, 2005 among Plains All American Pipeline, L.P., PAA Finance Corp., the Subsidiary Guarantors named therein and Wachovia Bank, National Association, as trustee (incorporated by reference to Exhibit 4.1 to the Current Report on Form 8-K filed May 31, 2005).</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4.6</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the Current Report on Form 8-K filed May 12, 2006).</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44</w:t>
      </w:r>
      <w:bookmarkStart w:id="79" w:name="PB_44_154610_3736"/>
      <w:bookmarkEnd w:id="7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617"/>
        <w:gridCol w:w="412"/>
        <w:gridCol w:w="9176"/>
      </w:tblGrid>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4.7</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Seventh Supplemental Indenture dated May 12, 2006 among Plains All American Pipeline, L.P., PAA Finance Corp., the Subsidiary Guarantors named therein and Wachovia Bank, National Association, as trustee (incorporated by reference to Exhibit 4.3 to the Current Report on Form 8-K filed May 12, 2006).</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4.8</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Eighth Supplemental Indenture dated August 25, 2006 among Plains All American Pipeline, L.P., PAA Finance Corp., the Subsidiary Guarantors named therein and Wachovia Bank, National Association, as trustee (incorporated by reference to Exhibit 4.1 to the Current Report on Form 8-K filed August 25, 2006).</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4.9</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the Current Report on Form 8-K filed October 30, 2006).</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4.10</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the Current Report on Form 8-K filed October 30, 2006).</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4.11</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Eleventh Supplemental Indenture dated November 15, 2006 among Plains All American Pipeline, L.P., PAA Finance Corp., the Subsidiary Guarantors named therein and U.S. Bank National Association, as trustee (incorporated by reference to Exhibit 4.1 to the Current Report on Form 8-K filed November 21, 2006).</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4.12</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Twelfth Supplemental Indenture dated January 1, 2008 among Plains All American Pipeline, L.P., PAA Finance Corp., the Subsidiary Guarantors named therein and U.S. Bank National Association, as trustee (incorporated by reference to Exhibit 4.21 to the Annual Report on Form 10-K for the year ended December 31, 2007).</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4.13</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Thirteenth Supplemental Indenture (Series A and Series B 6.5% Senior Notes due 2018) dated April 23, 2008 among Plains All American Pipeline, L.P., PAA Finance Corp., the Subsidiary Guarantors named therein and U.S. Bank National Association, as trustee (incorporated by reference to Exhibit 4.1 to the Current Report on Form 8-K filed April 23, 2008).</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4.14</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Fourteenth Supplemental Indenture dated July 1, 2008 among Plains All American Pipeline, L.P., PAA Finance Corp., the Subsidiary Guarantors named therein and U.S. Bank National Association, as trustee (incorporated by reference to Exhibit 4.15 to the Quarterly Report on Form 10-Q for the quarter ended June 30, 2008).</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4.15</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Fifteenth Supplemental Indenture (8.75% Senior Notes due 2019) dated April 20, 2009 among Plains All American Pipeline, L.P., PAA Finance Corp., the Subsidiary Guarantors named therein and U.S. Bank National Association, as trustee (incorporated by reference to Exhibit 4.1 to the Current Report on Form 8-K filed April 20, 2009).</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4.16</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Sixteenth Supplemental Indenture (4.25% Senior Notes due 2012) dated July 23, 2009 among Plains All American Pipeline, L.P., PAA Finance Corp., the Subsidiary Guarantors named therein and U.S. Bank National Association, as trustee (incorporated by reference to Exhibit 4.1 to the Current Report on Form 8-K filed July 23, 2009).</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4.17</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Seventeenth Supplemental Indenture (5.75% Senior Notes due 2020) dated September 4, 2009 among Plains All American Pipeline, L.P., PAA Finance Corp., the Subsidiary Guarantors named therein, and U.S. Bank National Association as trustee (incorporated by reference to Exhibit 4.1 to the Current Report on Form 8-K filed September 4, 2009).</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4.18</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Indenture dated September 23, 2005 among Pacific Energy Partners, L.P., PAA Finance Corp. (f/k/a Pacific Energy Finance Corporation), the Guarantors named therein, and Wells Fargo Bank, National Association, as trustee of the 61/4% senior notes due 2015 (incorporated by reference to Exhibit 4.1 to Pacific Energy Partners, L.P.s Current Report on Form 8-K filed September 28, 2005).</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4.19</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First Supplemental Indenture dated November 15, 2006 among Plains All American Pipeline, L.P., PAA Finance Corp. (f/k/a Pacific Energy Finance Corporation), the Guarantors named therein, and Wells Fargo Bank, National Association, as trustee (incorporated by reference to Exhibit 4.3 to the Current Report on Form 8-K filed November 21, 2006).</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45</w:t>
      </w:r>
      <w:bookmarkStart w:id="80" w:name="PB_45_154622_9621"/>
      <w:bookmarkEnd w:id="8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617"/>
        <w:gridCol w:w="412"/>
        <w:gridCol w:w="9176"/>
      </w:tblGrid>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4.20</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Second Supplemental Indenture dated January 1, 2008 among Plains All American Pipeline, L.P., PAA Finance Corp. (f/k/a Pacific Energy Finance Corporation), the Guarantors named therein, and Wells Fargo Bank, National Association, as trustee (incorporated by reference to Exhibit 4.22 to the Annual Report on Form 10-K for the year ended December 31, 2007).</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4.21</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Registration Rights Agreement dated September 3, 2009 by and between Plains All American Pipeline, L.P. and Vulcan Gas Storage LLC (incorporated by reference to Exhibit 4.1 to the Registration Statement on Form S-3, File No. 333-162477).</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pPr>
            <w:r>
              <w:rPr>
                <w:rFonts w:ascii="Times New Roman" w:hAnsi="Times New Roman"/>
                <w:sz w:val="17"/>
              </w:rPr>
              <w:t>12.1</w:t>
            </w:r>
            <w:r>
              <w:rPr>
                <w:sz w:val="17"/>
              </w:rPr>
              <w:t></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Computation of Ratio of Earnings to Fixed Charges</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pPr>
            <w:r>
              <w:rPr>
                <w:rFonts w:ascii="Times New Roman" w:hAnsi="Times New Roman"/>
                <w:sz w:val="17"/>
              </w:rPr>
              <w:t>31.1</w:t>
            </w:r>
            <w:r>
              <w:rPr>
                <w:sz w:val="17"/>
              </w:rPr>
              <w:t></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Exchange Act Rules 13a-14(a) and 15d-14(a).</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pPr>
            <w:r>
              <w:rPr>
                <w:rFonts w:ascii="Times New Roman" w:hAnsi="Times New Roman"/>
                <w:sz w:val="17"/>
              </w:rPr>
              <w:t>31.2</w:t>
            </w:r>
            <w:r>
              <w:rPr>
                <w:sz w:val="17"/>
              </w:rPr>
              <w:t></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Exchange Act Rules 13a-14(a) and 15d-14(a).</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pPr>
            <w:r>
              <w:rPr>
                <w:rFonts w:ascii="Times New Roman" w:hAnsi="Times New Roman"/>
                <w:sz w:val="17"/>
              </w:rPr>
              <w:t>32.1</w:t>
            </w:r>
            <w:r>
              <w:rPr>
                <w:sz w:val="17"/>
              </w:rPr>
              <w:t></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18 U.S.C. 1350</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pPr>
            <w:r>
              <w:rPr>
                <w:rFonts w:ascii="Times New Roman" w:hAnsi="Times New Roman"/>
                <w:sz w:val="17"/>
              </w:rPr>
              <w:t>32.2</w:t>
            </w:r>
            <w:r>
              <w:rPr>
                <w:sz w:val="17"/>
              </w:rPr>
              <w:t></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18 U.S.C. 1350</w:t>
            </w:r>
          </w:p>
        </w:tc>
      </w:tr>
      <w:tr>
        <w:trPr/>
        <w:tc>
          <w:tcPr>
            <w:tcW w:w="617"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9176" w:type="dxa"/>
            <w:tcBorders/>
            <w:shd w:fill="auto" w:val="clear"/>
            <w:vAlign w:val="bottom"/>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pPr>
            <w:r>
              <w:rPr>
                <w:rFonts w:ascii="Times New Roman" w:hAnsi="Times New Roman"/>
                <w:sz w:val="17"/>
              </w:rPr>
              <w:t>101</w:t>
            </w:r>
            <w:r>
              <w:rPr>
                <w:sz w:val="17"/>
              </w:rPr>
              <w:t></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The following financial information from the quarterly report on Form 10-Q of Plains All American Pipeline, L.P. for the quarter ended March 31, 2010, formatted in XBRL (eXtensible Business Reporting Language): (i) Condensed Consolidated Statements of Operations, (ii) Condensed Consolidated Balance Sheets, (iii) Condensed Consolidated Statements of Cash Flows, (iv) Condensed Consolidated Statement of Partners Capital, (v) Condensed Consolidated Statements of Comprehensive Income, (vi) Condensed Consolidated Statement of Changes in Accumulated Other Comprehensive Income and (vii) Notes to the Condensed Consolidated Financial Statements, tagged as blocks of text.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w:t>
      </w:r>
      <w:r>
        <w:rPr>
          <w:rFonts w:ascii="Times New Roman" w:hAnsi="Times New Roman"/>
        </w:rPr>
        <w:t xml:space="preserve">                                          </w:t>
      </w:r>
      <w:r>
        <w:rPr>
          <w:rFonts w:ascii="Times New Roman" w:hAnsi="Times New Roman"/>
          <w:sz w:val="17"/>
        </w:rPr>
        <w:t>Filed herewith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w:t>
      </w:r>
      <w:r>
        <w:rPr>
          <w:rFonts w:ascii="Times New Roman" w:hAnsi="Times New Roman"/>
        </w:rPr>
        <w:t xml:space="preserve">                                  </w:t>
      </w:r>
      <w:r>
        <w:rPr>
          <w:rFonts w:ascii="Times New Roman" w:hAnsi="Times New Roman"/>
          <w:sz w:val="17"/>
        </w:rPr>
        <w:t>Management compensatory plan or arrangement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46</w:t>
      </w:r>
      <w:bookmarkStart w:id="81" w:name="PB_46_154703_8715"/>
      <w:bookmarkEnd w:id="8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bookmarkStart w:id="82" w:name="Signatures_155203"/>
      <w:bookmarkEnd w:id="82"/>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515"/>
        <w:gridCol w:w="4536"/>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sole member</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May 7, 2010</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GREG L. ARMSTRONG</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Greg L. Armstrong, </w:t>
            </w:r>
            <w:r>
              <w:rPr>
                <w:rFonts w:ascii="Times New Roman" w:hAnsi="Times New Roman"/>
                <w:i/>
                <w:sz w:val="17"/>
              </w:rPr>
              <w:t>Chairman of the Board,</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pPr>
            <w:r>
              <w:rPr>
                <w:rFonts w:ascii="Times New Roman" w:hAnsi="Times New Roman"/>
                <w:i/>
                <w:sz w:val="17"/>
              </w:rPr>
              <w:t>Chief Executive Officer and</w:t>
            </w:r>
            <w:r>
              <w:rPr/>
              <w:t xml:space="preserve"> </w:t>
            </w:r>
            <w:r>
              <w:rPr>
                <w:i/>
                <w:sz w:val="17"/>
              </w:rPr>
              <w:t>Director</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(Principal Executive Officer)</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May 7, 2010</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AL SWANSON</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Al Swanson, </w:t>
            </w:r>
            <w:r>
              <w:rPr>
                <w:rFonts w:ascii="Times New Roman" w:hAnsi="Times New Roman"/>
                <w:i/>
                <w:sz w:val="17"/>
              </w:rPr>
              <w:t>Senior</w:t>
            </w:r>
            <w:r>
              <w:rPr>
                <w:rFonts w:ascii="Times New Roman" w:hAnsi="Times New Roman"/>
                <w:sz w:val="17"/>
              </w:rPr>
              <w:t xml:space="preserve"> </w:t>
            </w:r>
            <w:r>
              <w:rPr>
                <w:rFonts w:ascii="Times New Roman" w:hAnsi="Times New Roman"/>
                <w:i/>
                <w:sz w:val="17"/>
              </w:rPr>
              <w:t>Vice</w:t>
            </w:r>
            <w:r>
              <w:rPr>
                <w:rFonts w:ascii="Times New Roman" w:hAnsi="Times New Roman"/>
                <w:sz w:val="17"/>
              </w:rPr>
              <w:t xml:space="preserve"> </w:t>
            </w:r>
            <w:r>
              <w:rPr>
                <w:rFonts w:ascii="Times New Roman" w:hAnsi="Times New Roman"/>
                <w:i/>
                <w:sz w:val="17"/>
              </w:rPr>
              <w:t>President and</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Chief Financial Officer</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(Principal Financial Officer)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47</w:t>
      </w:r>
      <w:bookmarkStart w:id="83" w:name="PB_47_154826_563"/>
      <w:bookmarkEnd w:id="8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INDEX</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36"/>
        <w:gridCol w:w="23"/>
        <w:gridCol w:w="132"/>
        <w:gridCol w:w="60"/>
        <w:gridCol w:w="9354"/>
      </w:tblGrid>
      <w:tr>
        <w:trPr/>
        <w:tc>
          <w:tcPr>
            <w:tcW w:w="65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19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All American Pipeline, L.P. dated as of June 27, 2001 (incorporated by reference to Exhibit 3.1 to the Current Report on Form 8-K filed August 27, 2001).</w:t>
            </w:r>
          </w:p>
        </w:tc>
      </w:tr>
      <w:tr>
        <w:trPr/>
        <w:tc>
          <w:tcPr>
            <w:tcW w:w="659" w:type="dxa"/>
            <w:gridSpan w:val="2"/>
            <w:tcBorders/>
            <w:shd w:fill="auto" w:val="clear"/>
          </w:tcPr>
          <w:p>
            <w:pPr>
              <w:pStyle w:val="TableContents"/>
              <w:spacing w:before="0" w:after="0"/>
              <w:ind w:left="0" w:right="0" w:hanging="0"/>
              <w:rPr/>
            </w:pPr>
            <w:r>
              <w:rPr/>
              <w:t> </w:t>
            </w:r>
          </w:p>
        </w:tc>
        <w:tc>
          <w:tcPr>
            <w:tcW w:w="192" w:type="dxa"/>
            <w:gridSpan w:val="2"/>
            <w:tcBorders/>
            <w:shd w:fill="auto" w:val="clear"/>
          </w:tcPr>
          <w:p>
            <w:pPr>
              <w:pStyle w:val="TableContents"/>
              <w:spacing w:before="0" w:after="0"/>
              <w:ind w:left="0" w:right="0" w:hanging="0"/>
              <w:rPr/>
            </w:pPr>
            <w:r>
              <w:rPr/>
              <w:t> </w:t>
            </w:r>
          </w:p>
        </w:tc>
        <w:tc>
          <w:tcPr>
            <w:tcW w:w="9354" w:type="dxa"/>
            <w:tcBorders/>
            <w:shd w:fill="auto" w:val="clear"/>
            <w:vAlign w:val="bottom"/>
          </w:tcPr>
          <w:p>
            <w:pPr>
              <w:pStyle w:val="TableContents"/>
              <w:spacing w:before="0" w:after="0"/>
              <w:ind w:left="0" w:right="0" w:hanging="0"/>
              <w:rPr/>
            </w:pPr>
            <w:r>
              <w:rPr/>
              <w:t> </w:t>
            </w:r>
          </w:p>
        </w:tc>
      </w:tr>
      <w:tr>
        <w:trPr/>
        <w:tc>
          <w:tcPr>
            <w:tcW w:w="65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w:t>
            </w:r>
          </w:p>
        </w:tc>
        <w:tc>
          <w:tcPr>
            <w:tcW w:w="19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Amendment No. 1 dated April 15, 2004 to the Third Amended and Restated Agreement of Limited Partnership of Plains All American Pipeline, L.P. (incorporated by reference to Exhibit 3.1 to the Quarterly Report on Form 10-Q for the quarter ended March 31, 2004).</w:t>
            </w:r>
          </w:p>
        </w:tc>
      </w:tr>
      <w:tr>
        <w:trPr/>
        <w:tc>
          <w:tcPr>
            <w:tcW w:w="659" w:type="dxa"/>
            <w:gridSpan w:val="2"/>
            <w:tcBorders/>
            <w:shd w:fill="auto" w:val="clear"/>
          </w:tcPr>
          <w:p>
            <w:pPr>
              <w:pStyle w:val="TableContents"/>
              <w:spacing w:before="0" w:after="0"/>
              <w:ind w:left="0" w:right="0" w:hanging="0"/>
              <w:rPr/>
            </w:pPr>
            <w:r>
              <w:rPr/>
              <w:t> </w:t>
            </w:r>
          </w:p>
        </w:tc>
        <w:tc>
          <w:tcPr>
            <w:tcW w:w="192" w:type="dxa"/>
            <w:gridSpan w:val="2"/>
            <w:tcBorders/>
            <w:shd w:fill="auto" w:val="clear"/>
          </w:tcPr>
          <w:p>
            <w:pPr>
              <w:pStyle w:val="TableContents"/>
              <w:spacing w:before="0" w:after="0"/>
              <w:ind w:left="0" w:right="0" w:hanging="0"/>
              <w:rPr/>
            </w:pPr>
            <w:r>
              <w:rPr/>
              <w:t> </w:t>
            </w:r>
          </w:p>
        </w:tc>
        <w:tc>
          <w:tcPr>
            <w:tcW w:w="9354" w:type="dxa"/>
            <w:tcBorders/>
            <w:shd w:fill="auto" w:val="clear"/>
            <w:vAlign w:val="bottom"/>
          </w:tcPr>
          <w:p>
            <w:pPr>
              <w:pStyle w:val="TableContents"/>
              <w:spacing w:before="0" w:after="0"/>
              <w:ind w:left="0" w:right="0" w:hanging="0"/>
              <w:rPr/>
            </w:pPr>
            <w:r>
              <w:rPr/>
              <w:t> </w:t>
            </w:r>
          </w:p>
        </w:tc>
      </w:tr>
      <w:tr>
        <w:trPr/>
        <w:tc>
          <w:tcPr>
            <w:tcW w:w="65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3.3</w:t>
            </w:r>
          </w:p>
        </w:tc>
        <w:tc>
          <w:tcPr>
            <w:tcW w:w="19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Amendment No. 2 dated November 15, 2006 to Third Amended and Restated Agreement of Limited Partnership of Plains All American Pipeline, L.P. (incorporated by reference to Exhibit 3.1 to the Current Report on Form 8-K filed November 21, 2006).</w:t>
            </w:r>
          </w:p>
        </w:tc>
      </w:tr>
      <w:tr>
        <w:trPr/>
        <w:tc>
          <w:tcPr>
            <w:tcW w:w="659" w:type="dxa"/>
            <w:gridSpan w:val="2"/>
            <w:tcBorders/>
            <w:shd w:fill="auto" w:val="clear"/>
          </w:tcPr>
          <w:p>
            <w:pPr>
              <w:pStyle w:val="TableContents"/>
              <w:spacing w:before="0" w:after="0"/>
              <w:ind w:left="0" w:right="0" w:hanging="0"/>
              <w:rPr/>
            </w:pPr>
            <w:r>
              <w:rPr/>
              <w:t> </w:t>
            </w:r>
          </w:p>
        </w:tc>
        <w:tc>
          <w:tcPr>
            <w:tcW w:w="192" w:type="dxa"/>
            <w:gridSpan w:val="2"/>
            <w:tcBorders/>
            <w:shd w:fill="auto" w:val="clear"/>
          </w:tcPr>
          <w:p>
            <w:pPr>
              <w:pStyle w:val="TableContents"/>
              <w:spacing w:before="0" w:after="0"/>
              <w:ind w:left="0" w:right="0" w:hanging="0"/>
              <w:rPr/>
            </w:pPr>
            <w:r>
              <w:rPr/>
              <w:t> </w:t>
            </w:r>
          </w:p>
        </w:tc>
        <w:tc>
          <w:tcPr>
            <w:tcW w:w="9354" w:type="dxa"/>
            <w:tcBorders/>
            <w:shd w:fill="auto" w:val="clear"/>
            <w:vAlign w:val="bottom"/>
          </w:tcPr>
          <w:p>
            <w:pPr>
              <w:pStyle w:val="TableContents"/>
              <w:spacing w:before="0" w:after="0"/>
              <w:ind w:left="0" w:right="0" w:hanging="0"/>
              <w:rPr/>
            </w:pPr>
            <w:r>
              <w:rPr/>
              <w:t> </w:t>
            </w:r>
          </w:p>
        </w:tc>
      </w:tr>
      <w:tr>
        <w:trPr/>
        <w:tc>
          <w:tcPr>
            <w:tcW w:w="65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3.4</w:t>
            </w:r>
          </w:p>
        </w:tc>
        <w:tc>
          <w:tcPr>
            <w:tcW w:w="19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Amendment No. 3 dated August 16, 2007 to Third Amended and Restated Agreement of Limited Partnership of Plains All American Pipeline, L.P. (incorporated by reference to Exhibit 3.1 to the Current Report on Form 8-K filed August 22, 2007).</w:t>
            </w:r>
          </w:p>
        </w:tc>
      </w:tr>
      <w:tr>
        <w:trPr/>
        <w:tc>
          <w:tcPr>
            <w:tcW w:w="659" w:type="dxa"/>
            <w:gridSpan w:val="2"/>
            <w:tcBorders/>
            <w:shd w:fill="auto" w:val="clear"/>
          </w:tcPr>
          <w:p>
            <w:pPr>
              <w:pStyle w:val="TableContents"/>
              <w:spacing w:before="0" w:after="0"/>
              <w:ind w:left="0" w:right="0" w:hanging="0"/>
              <w:rPr/>
            </w:pPr>
            <w:r>
              <w:rPr/>
              <w:t> </w:t>
            </w:r>
          </w:p>
        </w:tc>
        <w:tc>
          <w:tcPr>
            <w:tcW w:w="192" w:type="dxa"/>
            <w:gridSpan w:val="2"/>
            <w:tcBorders/>
            <w:shd w:fill="auto" w:val="clear"/>
          </w:tcPr>
          <w:p>
            <w:pPr>
              <w:pStyle w:val="TableContents"/>
              <w:spacing w:before="0" w:after="0"/>
              <w:ind w:left="0" w:right="0" w:hanging="0"/>
              <w:rPr/>
            </w:pPr>
            <w:r>
              <w:rPr/>
              <w:t> </w:t>
            </w:r>
          </w:p>
        </w:tc>
        <w:tc>
          <w:tcPr>
            <w:tcW w:w="9354" w:type="dxa"/>
            <w:tcBorders/>
            <w:shd w:fill="auto" w:val="clear"/>
            <w:vAlign w:val="bottom"/>
          </w:tcPr>
          <w:p>
            <w:pPr>
              <w:pStyle w:val="TableContents"/>
              <w:spacing w:before="0" w:after="0"/>
              <w:ind w:left="0" w:right="0" w:hanging="0"/>
              <w:rPr/>
            </w:pPr>
            <w:r>
              <w:rPr/>
              <w:t> </w:t>
            </w:r>
          </w:p>
        </w:tc>
      </w:tr>
      <w:tr>
        <w:trPr/>
        <w:tc>
          <w:tcPr>
            <w:tcW w:w="65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3.5</w:t>
            </w:r>
          </w:p>
        </w:tc>
        <w:tc>
          <w:tcPr>
            <w:tcW w:w="19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Amendment No. 4 effective as of January 1, 2007 to Third Amended and Restated Agreement of Limited Partnership of Plains All American Pipeline, L.P. (incorporated by reference to Exhibit 3.1 to the Current Report on Form 8-K filed April 15, 2008).</w:t>
            </w:r>
          </w:p>
        </w:tc>
      </w:tr>
      <w:tr>
        <w:trPr/>
        <w:tc>
          <w:tcPr>
            <w:tcW w:w="659" w:type="dxa"/>
            <w:gridSpan w:val="2"/>
            <w:tcBorders/>
            <w:shd w:fill="auto" w:val="clear"/>
          </w:tcPr>
          <w:p>
            <w:pPr>
              <w:pStyle w:val="TableContents"/>
              <w:spacing w:before="0" w:after="0"/>
              <w:ind w:left="0" w:right="0" w:hanging="0"/>
              <w:rPr/>
            </w:pPr>
            <w:r>
              <w:rPr/>
              <w:t> </w:t>
            </w:r>
          </w:p>
        </w:tc>
        <w:tc>
          <w:tcPr>
            <w:tcW w:w="192" w:type="dxa"/>
            <w:gridSpan w:val="2"/>
            <w:tcBorders/>
            <w:shd w:fill="auto" w:val="clear"/>
          </w:tcPr>
          <w:p>
            <w:pPr>
              <w:pStyle w:val="TableContents"/>
              <w:spacing w:before="0" w:after="0"/>
              <w:ind w:left="0" w:right="0" w:hanging="0"/>
              <w:rPr/>
            </w:pPr>
            <w:r>
              <w:rPr/>
              <w:t> </w:t>
            </w:r>
          </w:p>
        </w:tc>
        <w:tc>
          <w:tcPr>
            <w:tcW w:w="9354" w:type="dxa"/>
            <w:tcBorders/>
            <w:shd w:fill="auto" w:val="clear"/>
            <w:vAlign w:val="bottom"/>
          </w:tcPr>
          <w:p>
            <w:pPr>
              <w:pStyle w:val="TableContents"/>
              <w:spacing w:before="0" w:after="0"/>
              <w:ind w:left="0" w:right="0" w:hanging="0"/>
              <w:rPr/>
            </w:pPr>
            <w:r>
              <w:rPr/>
              <w:t> </w:t>
            </w:r>
          </w:p>
        </w:tc>
      </w:tr>
      <w:tr>
        <w:trPr/>
        <w:tc>
          <w:tcPr>
            <w:tcW w:w="65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3.6</w:t>
            </w:r>
          </w:p>
        </w:tc>
        <w:tc>
          <w:tcPr>
            <w:tcW w:w="19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Amendment No. 5 dated May 28, 2008 to Third Amended and Restated Agreement of Limited Partnership of Plains All American Pipeline, L.P. (incorporated by reference to Exhibit 3.1 to the Current Report on Form 8-K filed May 30, 2008).</w:t>
            </w:r>
          </w:p>
        </w:tc>
      </w:tr>
      <w:tr>
        <w:trPr/>
        <w:tc>
          <w:tcPr>
            <w:tcW w:w="659" w:type="dxa"/>
            <w:gridSpan w:val="2"/>
            <w:tcBorders/>
            <w:shd w:fill="auto" w:val="clear"/>
          </w:tcPr>
          <w:p>
            <w:pPr>
              <w:pStyle w:val="TableContents"/>
              <w:spacing w:before="0" w:after="0"/>
              <w:ind w:left="0" w:right="0" w:hanging="0"/>
              <w:rPr/>
            </w:pPr>
            <w:r>
              <w:rPr/>
              <w:t> </w:t>
            </w:r>
          </w:p>
        </w:tc>
        <w:tc>
          <w:tcPr>
            <w:tcW w:w="192" w:type="dxa"/>
            <w:gridSpan w:val="2"/>
            <w:tcBorders/>
            <w:shd w:fill="auto" w:val="clear"/>
          </w:tcPr>
          <w:p>
            <w:pPr>
              <w:pStyle w:val="TableContents"/>
              <w:spacing w:before="0" w:after="0"/>
              <w:ind w:left="0" w:right="0" w:hanging="0"/>
              <w:rPr/>
            </w:pPr>
            <w:r>
              <w:rPr/>
              <w:t> </w:t>
            </w:r>
          </w:p>
        </w:tc>
        <w:tc>
          <w:tcPr>
            <w:tcW w:w="9354" w:type="dxa"/>
            <w:tcBorders/>
            <w:shd w:fill="auto" w:val="clear"/>
            <w:vAlign w:val="bottom"/>
          </w:tcPr>
          <w:p>
            <w:pPr>
              <w:pStyle w:val="TableContents"/>
              <w:spacing w:before="0" w:after="0"/>
              <w:ind w:left="0" w:right="0" w:hanging="0"/>
              <w:rPr/>
            </w:pPr>
            <w:r>
              <w:rPr/>
              <w:t> </w:t>
            </w:r>
          </w:p>
        </w:tc>
      </w:tr>
      <w:tr>
        <w:trPr/>
        <w:tc>
          <w:tcPr>
            <w:tcW w:w="65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3.7</w:t>
            </w:r>
          </w:p>
        </w:tc>
        <w:tc>
          <w:tcPr>
            <w:tcW w:w="19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Amendment No. 6 dated September 3, 2009 to Third Amended and Restated Agreement of Limited Partnership of Plains All American Pipeline, L.P. (incorporated by reference to Exhibit 3.1 to the Current Report on Form 8-K filed September 3, 2009).</w:t>
            </w:r>
          </w:p>
        </w:tc>
      </w:tr>
      <w:tr>
        <w:trPr/>
        <w:tc>
          <w:tcPr>
            <w:tcW w:w="659" w:type="dxa"/>
            <w:gridSpan w:val="2"/>
            <w:tcBorders/>
            <w:shd w:fill="auto" w:val="clear"/>
          </w:tcPr>
          <w:p>
            <w:pPr>
              <w:pStyle w:val="TableContents"/>
              <w:spacing w:before="0" w:after="0"/>
              <w:ind w:left="0" w:right="0" w:hanging="0"/>
              <w:rPr/>
            </w:pPr>
            <w:r>
              <w:rPr/>
              <w:t> </w:t>
            </w:r>
          </w:p>
        </w:tc>
        <w:tc>
          <w:tcPr>
            <w:tcW w:w="192" w:type="dxa"/>
            <w:gridSpan w:val="2"/>
            <w:tcBorders/>
            <w:shd w:fill="auto" w:val="clear"/>
          </w:tcPr>
          <w:p>
            <w:pPr>
              <w:pStyle w:val="TableContents"/>
              <w:spacing w:before="0" w:after="0"/>
              <w:ind w:left="0" w:right="0" w:hanging="0"/>
              <w:rPr/>
            </w:pPr>
            <w:r>
              <w:rPr/>
              <w:t> </w:t>
            </w:r>
          </w:p>
        </w:tc>
        <w:tc>
          <w:tcPr>
            <w:tcW w:w="9354" w:type="dxa"/>
            <w:tcBorders/>
            <w:shd w:fill="auto" w:val="clear"/>
            <w:vAlign w:val="bottom"/>
          </w:tcPr>
          <w:p>
            <w:pPr>
              <w:pStyle w:val="TableContents"/>
              <w:spacing w:before="0" w:after="0"/>
              <w:ind w:left="0" w:right="0" w:hanging="0"/>
              <w:rPr/>
            </w:pPr>
            <w:r>
              <w:rPr/>
              <w:t> </w:t>
            </w:r>
          </w:p>
        </w:tc>
      </w:tr>
      <w:tr>
        <w:trPr/>
        <w:tc>
          <w:tcPr>
            <w:tcW w:w="65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3.8</w:t>
            </w:r>
          </w:p>
        </w:tc>
        <w:tc>
          <w:tcPr>
            <w:tcW w:w="19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Marketing, L.P. dated as of April 1, 2004 (incorporated by reference to Exhibit 3.2 to the Quarterly Report on Form 10-Q for the quarter ended March 31, 2004).</w:t>
            </w:r>
          </w:p>
        </w:tc>
      </w:tr>
      <w:tr>
        <w:trPr/>
        <w:tc>
          <w:tcPr>
            <w:tcW w:w="659" w:type="dxa"/>
            <w:gridSpan w:val="2"/>
            <w:tcBorders/>
            <w:shd w:fill="auto" w:val="clear"/>
          </w:tcPr>
          <w:p>
            <w:pPr>
              <w:pStyle w:val="TableContents"/>
              <w:spacing w:before="0" w:after="0"/>
              <w:ind w:left="0" w:right="0" w:hanging="0"/>
              <w:rPr/>
            </w:pPr>
            <w:r>
              <w:rPr/>
              <w:t> </w:t>
            </w:r>
          </w:p>
        </w:tc>
        <w:tc>
          <w:tcPr>
            <w:tcW w:w="192" w:type="dxa"/>
            <w:gridSpan w:val="2"/>
            <w:tcBorders/>
            <w:shd w:fill="auto" w:val="clear"/>
          </w:tcPr>
          <w:p>
            <w:pPr>
              <w:pStyle w:val="TableContents"/>
              <w:spacing w:before="0" w:after="0"/>
              <w:ind w:left="0" w:right="0" w:hanging="0"/>
              <w:rPr/>
            </w:pPr>
            <w:r>
              <w:rPr/>
              <w:t> </w:t>
            </w:r>
          </w:p>
        </w:tc>
        <w:tc>
          <w:tcPr>
            <w:tcW w:w="9354" w:type="dxa"/>
            <w:tcBorders/>
            <w:shd w:fill="auto" w:val="clear"/>
            <w:vAlign w:val="bottom"/>
          </w:tcPr>
          <w:p>
            <w:pPr>
              <w:pStyle w:val="TableContents"/>
              <w:spacing w:before="0" w:after="0"/>
              <w:ind w:left="0" w:right="0" w:hanging="0"/>
              <w:rPr/>
            </w:pPr>
            <w:r>
              <w:rPr/>
              <w:t> </w:t>
            </w:r>
          </w:p>
        </w:tc>
      </w:tr>
      <w:tr>
        <w:trPr/>
        <w:tc>
          <w:tcPr>
            <w:tcW w:w="65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3.9</w:t>
            </w:r>
          </w:p>
        </w:tc>
        <w:tc>
          <w:tcPr>
            <w:tcW w:w="19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Pipeline, L.P. dated as of April 1, 2004 (incorporated by reference to Exhibit 3.3 to the Quarterly Report on Form 10-Q for the quarter ended March 31, 2004).</w:t>
            </w:r>
          </w:p>
        </w:tc>
      </w:tr>
      <w:tr>
        <w:trPr/>
        <w:tc>
          <w:tcPr>
            <w:tcW w:w="659" w:type="dxa"/>
            <w:gridSpan w:val="2"/>
            <w:tcBorders/>
            <w:shd w:fill="auto" w:val="clear"/>
          </w:tcPr>
          <w:p>
            <w:pPr>
              <w:pStyle w:val="TableContents"/>
              <w:spacing w:before="0" w:after="0"/>
              <w:ind w:left="0" w:right="0" w:hanging="0"/>
              <w:rPr/>
            </w:pPr>
            <w:r>
              <w:rPr/>
              <w:t> </w:t>
            </w:r>
          </w:p>
        </w:tc>
        <w:tc>
          <w:tcPr>
            <w:tcW w:w="192" w:type="dxa"/>
            <w:gridSpan w:val="2"/>
            <w:tcBorders/>
            <w:shd w:fill="auto" w:val="clear"/>
          </w:tcPr>
          <w:p>
            <w:pPr>
              <w:pStyle w:val="TableContents"/>
              <w:spacing w:before="0" w:after="0"/>
              <w:ind w:left="0" w:right="0" w:hanging="0"/>
              <w:rPr/>
            </w:pPr>
            <w:r>
              <w:rPr/>
              <w:t> </w:t>
            </w:r>
          </w:p>
        </w:tc>
        <w:tc>
          <w:tcPr>
            <w:tcW w:w="9354" w:type="dxa"/>
            <w:tcBorders/>
            <w:shd w:fill="auto" w:val="clear"/>
            <w:vAlign w:val="bottom"/>
          </w:tcPr>
          <w:p>
            <w:pPr>
              <w:pStyle w:val="TableContents"/>
              <w:spacing w:before="0" w:after="0"/>
              <w:ind w:left="0" w:right="0" w:hanging="0"/>
              <w:rPr/>
            </w:pPr>
            <w:r>
              <w:rPr/>
              <w:t> </w:t>
            </w:r>
          </w:p>
        </w:tc>
      </w:tr>
      <w:tr>
        <w:trPr/>
        <w:tc>
          <w:tcPr>
            <w:tcW w:w="6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3.10</w:t>
            </w:r>
          </w:p>
        </w:tc>
        <w:tc>
          <w:tcPr>
            <w:tcW w:w="15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14"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Fourth Amended and Restated Limited Liability Company Agreement of Plains All American GP LLC dated August 7, 2008, as amended November 2, 2009 (incorporated by reference to Exhibit 3.10 to the Quarterly Report on Form 10-Q for the quarter ended September 30, 2009).</w:t>
            </w:r>
          </w:p>
        </w:tc>
      </w:tr>
      <w:tr>
        <w:trPr/>
        <w:tc>
          <w:tcPr>
            <w:tcW w:w="659" w:type="dxa"/>
            <w:gridSpan w:val="2"/>
            <w:tcBorders/>
            <w:shd w:fill="auto" w:val="clear"/>
          </w:tcPr>
          <w:p>
            <w:pPr>
              <w:pStyle w:val="TableContents"/>
              <w:spacing w:before="0" w:after="0"/>
              <w:ind w:left="0" w:right="0" w:hanging="0"/>
              <w:rPr/>
            </w:pPr>
            <w:r>
              <w:rPr/>
              <w:t> </w:t>
            </w:r>
          </w:p>
        </w:tc>
        <w:tc>
          <w:tcPr>
            <w:tcW w:w="192" w:type="dxa"/>
            <w:gridSpan w:val="2"/>
            <w:tcBorders/>
            <w:shd w:fill="auto" w:val="clear"/>
          </w:tcPr>
          <w:p>
            <w:pPr>
              <w:pStyle w:val="TableContents"/>
              <w:spacing w:before="0" w:after="0"/>
              <w:ind w:left="0" w:right="0" w:hanging="0"/>
              <w:rPr/>
            </w:pPr>
            <w:r>
              <w:rPr/>
              <w:t> </w:t>
            </w:r>
          </w:p>
        </w:tc>
        <w:tc>
          <w:tcPr>
            <w:tcW w:w="9354" w:type="dxa"/>
            <w:tcBorders/>
            <w:shd w:fill="auto" w:val="clear"/>
            <w:vAlign w:val="bottom"/>
          </w:tcPr>
          <w:p>
            <w:pPr>
              <w:pStyle w:val="TableContents"/>
              <w:spacing w:before="0" w:after="0"/>
              <w:ind w:left="0" w:right="0" w:hanging="0"/>
              <w:rPr/>
            </w:pPr>
            <w:r>
              <w:rPr/>
              <w:t> </w:t>
            </w:r>
          </w:p>
        </w:tc>
      </w:tr>
      <w:tr>
        <w:trPr/>
        <w:tc>
          <w:tcPr>
            <w:tcW w:w="65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3.11</w:t>
            </w:r>
          </w:p>
        </w:tc>
        <w:tc>
          <w:tcPr>
            <w:tcW w:w="19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Fifth Amended and Restated Limited Partnership Agreement of Plains AAP, L.P. dated August 7, 2008 (incorporated by reference to Exhibit 3.1 to the Current Report on Form 8-K filed August 7, 2008).</w:t>
            </w:r>
          </w:p>
        </w:tc>
      </w:tr>
      <w:tr>
        <w:trPr/>
        <w:tc>
          <w:tcPr>
            <w:tcW w:w="659" w:type="dxa"/>
            <w:gridSpan w:val="2"/>
            <w:tcBorders/>
            <w:shd w:fill="auto" w:val="clear"/>
          </w:tcPr>
          <w:p>
            <w:pPr>
              <w:pStyle w:val="TableContents"/>
              <w:spacing w:before="0" w:after="0"/>
              <w:ind w:left="0" w:right="0" w:hanging="0"/>
              <w:rPr/>
            </w:pPr>
            <w:r>
              <w:rPr/>
              <w:t> </w:t>
            </w:r>
          </w:p>
        </w:tc>
        <w:tc>
          <w:tcPr>
            <w:tcW w:w="192" w:type="dxa"/>
            <w:gridSpan w:val="2"/>
            <w:tcBorders/>
            <w:shd w:fill="auto" w:val="clear"/>
          </w:tcPr>
          <w:p>
            <w:pPr>
              <w:pStyle w:val="TableContents"/>
              <w:spacing w:before="0" w:after="0"/>
              <w:ind w:left="0" w:right="0" w:hanging="0"/>
              <w:rPr/>
            </w:pPr>
            <w:r>
              <w:rPr/>
              <w:t> </w:t>
            </w:r>
          </w:p>
        </w:tc>
        <w:tc>
          <w:tcPr>
            <w:tcW w:w="9354" w:type="dxa"/>
            <w:tcBorders/>
            <w:shd w:fill="auto" w:val="clear"/>
            <w:vAlign w:val="bottom"/>
          </w:tcPr>
          <w:p>
            <w:pPr>
              <w:pStyle w:val="TableContents"/>
              <w:spacing w:before="0" w:after="0"/>
              <w:ind w:left="0" w:right="0" w:hanging="0"/>
              <w:rPr/>
            </w:pPr>
            <w:r>
              <w:rPr/>
              <w:t> </w:t>
            </w:r>
          </w:p>
        </w:tc>
      </w:tr>
      <w:tr>
        <w:trPr/>
        <w:tc>
          <w:tcPr>
            <w:tcW w:w="65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3.12</w:t>
            </w:r>
          </w:p>
        </w:tc>
        <w:tc>
          <w:tcPr>
            <w:tcW w:w="19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Certificate of Incorporation of PAA Finance Corp (f/k/a Pacific Energy Finance Corporation, successor-by-merger to PAA Finance Corp.) (incorporated by reference to Exhibit 3.10 to the Annual Report on Form 10-K for the year ended December 31, 2006).</w:t>
            </w:r>
          </w:p>
        </w:tc>
      </w:tr>
      <w:tr>
        <w:trPr/>
        <w:tc>
          <w:tcPr>
            <w:tcW w:w="659" w:type="dxa"/>
            <w:gridSpan w:val="2"/>
            <w:tcBorders/>
            <w:shd w:fill="auto" w:val="clear"/>
          </w:tcPr>
          <w:p>
            <w:pPr>
              <w:pStyle w:val="TableContents"/>
              <w:spacing w:before="0" w:after="0"/>
              <w:ind w:left="0" w:right="0" w:hanging="0"/>
              <w:rPr/>
            </w:pPr>
            <w:r>
              <w:rPr/>
              <w:t> </w:t>
            </w:r>
          </w:p>
        </w:tc>
        <w:tc>
          <w:tcPr>
            <w:tcW w:w="192" w:type="dxa"/>
            <w:gridSpan w:val="2"/>
            <w:tcBorders/>
            <w:shd w:fill="auto" w:val="clear"/>
          </w:tcPr>
          <w:p>
            <w:pPr>
              <w:pStyle w:val="TableContents"/>
              <w:spacing w:before="0" w:after="0"/>
              <w:ind w:left="0" w:right="0" w:hanging="0"/>
              <w:rPr/>
            </w:pPr>
            <w:r>
              <w:rPr/>
              <w:t> </w:t>
            </w:r>
          </w:p>
        </w:tc>
        <w:tc>
          <w:tcPr>
            <w:tcW w:w="9354" w:type="dxa"/>
            <w:tcBorders/>
            <w:shd w:fill="auto" w:val="clear"/>
            <w:vAlign w:val="bottom"/>
          </w:tcPr>
          <w:p>
            <w:pPr>
              <w:pStyle w:val="TableContents"/>
              <w:spacing w:before="0" w:after="0"/>
              <w:ind w:left="0" w:right="0" w:hanging="0"/>
              <w:rPr/>
            </w:pPr>
            <w:r>
              <w:rPr/>
              <w:t> </w:t>
            </w:r>
          </w:p>
        </w:tc>
      </w:tr>
      <w:tr>
        <w:trPr/>
        <w:tc>
          <w:tcPr>
            <w:tcW w:w="65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3.13</w:t>
            </w:r>
          </w:p>
        </w:tc>
        <w:tc>
          <w:tcPr>
            <w:tcW w:w="19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Bylaws of PAA Finance Corp (f/k/a Pacific Energy Finance Corporation, successor-by-merger to PAA Finance Corp.) (incorporated by reference to Exhibit 3.11 to the Annual Report on Form 10-K for the year ended December 31, 2006).</w:t>
            </w:r>
          </w:p>
        </w:tc>
      </w:tr>
      <w:tr>
        <w:trPr/>
        <w:tc>
          <w:tcPr>
            <w:tcW w:w="659" w:type="dxa"/>
            <w:gridSpan w:val="2"/>
            <w:tcBorders/>
            <w:shd w:fill="auto" w:val="clear"/>
          </w:tcPr>
          <w:p>
            <w:pPr>
              <w:pStyle w:val="TableContents"/>
              <w:spacing w:before="0" w:after="0"/>
              <w:ind w:left="0" w:right="0" w:hanging="0"/>
              <w:rPr/>
            </w:pPr>
            <w:r>
              <w:rPr/>
              <w:t> </w:t>
            </w:r>
          </w:p>
        </w:tc>
        <w:tc>
          <w:tcPr>
            <w:tcW w:w="192" w:type="dxa"/>
            <w:gridSpan w:val="2"/>
            <w:tcBorders/>
            <w:shd w:fill="auto" w:val="clear"/>
          </w:tcPr>
          <w:p>
            <w:pPr>
              <w:pStyle w:val="TableContents"/>
              <w:spacing w:before="0" w:after="0"/>
              <w:ind w:left="0" w:right="0" w:hanging="0"/>
              <w:rPr/>
            </w:pPr>
            <w:r>
              <w:rPr/>
              <w:t> </w:t>
            </w:r>
          </w:p>
        </w:tc>
        <w:tc>
          <w:tcPr>
            <w:tcW w:w="9354" w:type="dxa"/>
            <w:tcBorders/>
            <w:shd w:fill="auto" w:val="clear"/>
            <w:vAlign w:val="bottom"/>
          </w:tcPr>
          <w:p>
            <w:pPr>
              <w:pStyle w:val="TableContents"/>
              <w:spacing w:before="0" w:after="0"/>
              <w:ind w:left="0" w:right="0" w:hanging="0"/>
              <w:rPr/>
            </w:pPr>
            <w:r>
              <w:rPr/>
              <w:t> </w:t>
            </w:r>
          </w:p>
        </w:tc>
      </w:tr>
      <w:tr>
        <w:trPr/>
        <w:tc>
          <w:tcPr>
            <w:tcW w:w="65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3.14</w:t>
            </w:r>
          </w:p>
        </w:tc>
        <w:tc>
          <w:tcPr>
            <w:tcW w:w="19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Limited Liability Company Agreement of PAA GP LLC dated December 28, 2007 (incorporated by reference to Exhibit 3.3 to the Current Report on Form 8-K filed January 4, 2008).</w:t>
            </w:r>
          </w:p>
        </w:tc>
      </w:tr>
      <w:tr>
        <w:trPr/>
        <w:tc>
          <w:tcPr>
            <w:tcW w:w="659" w:type="dxa"/>
            <w:gridSpan w:val="2"/>
            <w:tcBorders/>
            <w:shd w:fill="auto" w:val="clear"/>
          </w:tcPr>
          <w:p>
            <w:pPr>
              <w:pStyle w:val="TableContents"/>
              <w:spacing w:before="0" w:after="0"/>
              <w:ind w:left="0" w:right="0" w:hanging="0"/>
              <w:rPr/>
            </w:pPr>
            <w:r>
              <w:rPr/>
              <w:t> </w:t>
            </w:r>
          </w:p>
        </w:tc>
        <w:tc>
          <w:tcPr>
            <w:tcW w:w="192" w:type="dxa"/>
            <w:gridSpan w:val="2"/>
            <w:tcBorders/>
            <w:shd w:fill="auto" w:val="clear"/>
          </w:tcPr>
          <w:p>
            <w:pPr>
              <w:pStyle w:val="TableContents"/>
              <w:spacing w:before="0" w:after="0"/>
              <w:ind w:left="0" w:right="0" w:hanging="0"/>
              <w:rPr/>
            </w:pPr>
            <w:r>
              <w:rPr/>
              <w:t> </w:t>
            </w:r>
          </w:p>
        </w:tc>
        <w:tc>
          <w:tcPr>
            <w:tcW w:w="9354" w:type="dxa"/>
            <w:tcBorders/>
            <w:shd w:fill="auto" w:val="clear"/>
            <w:vAlign w:val="bottom"/>
          </w:tcPr>
          <w:p>
            <w:pPr>
              <w:pStyle w:val="TableContents"/>
              <w:spacing w:before="0" w:after="0"/>
              <w:ind w:left="0" w:right="0" w:hanging="0"/>
              <w:rPr/>
            </w:pPr>
            <w:r>
              <w:rPr/>
              <w:t> </w:t>
            </w:r>
          </w:p>
        </w:tc>
      </w:tr>
      <w:tr>
        <w:trPr/>
        <w:tc>
          <w:tcPr>
            <w:tcW w:w="65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19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Indenture dated September 25, 2002 among Plains All American Pipeline, L.P., PAA Finance Corp. and Wachovia Bank, National Association, as trustee (incorporated by reference to Exhibit 4.1 to the Quarterly Report on Form 10-Q for the quarter ended September 30, 2002).</w:t>
            </w:r>
          </w:p>
        </w:tc>
      </w:tr>
      <w:tr>
        <w:trPr/>
        <w:tc>
          <w:tcPr>
            <w:tcW w:w="659" w:type="dxa"/>
            <w:gridSpan w:val="2"/>
            <w:tcBorders/>
            <w:shd w:fill="auto" w:val="clear"/>
          </w:tcPr>
          <w:p>
            <w:pPr>
              <w:pStyle w:val="TableContents"/>
              <w:spacing w:before="0" w:after="0"/>
              <w:ind w:left="0" w:right="0" w:hanging="0"/>
              <w:rPr/>
            </w:pPr>
            <w:r>
              <w:rPr/>
              <w:t> </w:t>
            </w:r>
          </w:p>
        </w:tc>
        <w:tc>
          <w:tcPr>
            <w:tcW w:w="192" w:type="dxa"/>
            <w:gridSpan w:val="2"/>
            <w:tcBorders/>
            <w:shd w:fill="auto" w:val="clear"/>
          </w:tcPr>
          <w:p>
            <w:pPr>
              <w:pStyle w:val="TableContents"/>
              <w:spacing w:before="0" w:after="0"/>
              <w:ind w:left="0" w:right="0" w:hanging="0"/>
              <w:rPr/>
            </w:pPr>
            <w:r>
              <w:rPr/>
              <w:t> </w:t>
            </w:r>
          </w:p>
        </w:tc>
        <w:tc>
          <w:tcPr>
            <w:tcW w:w="9354" w:type="dxa"/>
            <w:tcBorders/>
            <w:shd w:fill="auto" w:val="clear"/>
            <w:vAlign w:val="bottom"/>
          </w:tcPr>
          <w:p>
            <w:pPr>
              <w:pStyle w:val="TableContents"/>
              <w:spacing w:before="0" w:after="0"/>
              <w:ind w:left="0" w:right="0" w:hanging="0"/>
              <w:rPr/>
            </w:pPr>
            <w:r>
              <w:rPr/>
              <w:t> </w:t>
            </w:r>
          </w:p>
        </w:tc>
      </w:tr>
      <w:tr>
        <w:trPr/>
        <w:tc>
          <w:tcPr>
            <w:tcW w:w="65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w:t>
            </w:r>
          </w:p>
        </w:tc>
        <w:tc>
          <w:tcPr>
            <w:tcW w:w="19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First Supplemental Indenture (Series A and Series B 7.75% Senior Notes due 2012) dated as of September 25, 2002 </w:t>
            </w:r>
          </w:p>
        </w:tc>
      </w:tr>
      <w:tr>
        <w:trPr/>
        <w:tc>
          <w:tcPr>
            <w:tcW w:w="636"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3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48</w:t>
      </w:r>
      <w:bookmarkStart w:id="84" w:name="PB_48_155017_9497"/>
      <w:bookmarkEnd w:id="8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623"/>
        <w:gridCol w:w="416"/>
        <w:gridCol w:w="9166"/>
      </w:tblGrid>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among Plains All American Pipeline, L.P., PAA Finance Corp., the Subsidiary Guarantors named therein and Wachovia Bank, National Association, as trustee (incorporated by reference to Exhibit 4.2 to the Quarterly Report on Form 10-Q for the quarter ended September 30, 2002).</w:t>
            </w:r>
          </w:p>
        </w:tc>
      </w:tr>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pPr>
            <w:r>
              <w:rPr/>
              <w:t> </w:t>
            </w:r>
          </w:p>
        </w:tc>
      </w:tr>
      <w:tr>
        <w:trPr/>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4.3</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Second Supplemental Indenture (Series A and Series B 5.625% Senior Notes due 2013) dated as of December 10, 2003 among Plains All American Pipeline, L.P., PAA Finance Corp., the Subsidiary Guarantors named therein and Wachovia Bank, National Association, as trustee (incorporated by reference to Exhibit 4.4 to the Annual Report on Form 10-K for the year ended December 31, 2003).</w:t>
            </w:r>
          </w:p>
        </w:tc>
      </w:tr>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pPr>
            <w:r>
              <w:rPr/>
              <w:t> </w:t>
            </w:r>
          </w:p>
        </w:tc>
      </w:tr>
      <w:tr>
        <w:trPr/>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4.4</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the Registration Statement on Form S-4, File No. 333-121168).</w:t>
            </w:r>
          </w:p>
        </w:tc>
      </w:tr>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pPr>
            <w:r>
              <w:rPr/>
              <w:t> </w:t>
            </w:r>
          </w:p>
        </w:tc>
      </w:tr>
      <w:tr>
        <w:trPr/>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4.5</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Fifth Supplemental Indenture (Series A and Series B 5.25% Senior Notes due 2015) dated May 27, 2005 among Plains All American Pipeline, L.P., PAA Finance Corp., the Subsidiary Guarantors named therein and Wachovia Bank, National Association, as trustee (incorporated by reference to Exhibit 4.1 to the Current Report on Form 8-K filed May 31, 2005).</w:t>
            </w:r>
          </w:p>
        </w:tc>
      </w:tr>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pPr>
            <w:r>
              <w:rPr/>
              <w:t> </w:t>
            </w:r>
          </w:p>
        </w:tc>
      </w:tr>
      <w:tr>
        <w:trPr/>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4.6</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the Current Report on Form 8-K filed May 12, 2006).</w:t>
            </w:r>
          </w:p>
        </w:tc>
      </w:tr>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pPr>
            <w:r>
              <w:rPr/>
              <w:t> </w:t>
            </w:r>
          </w:p>
        </w:tc>
      </w:tr>
      <w:tr>
        <w:trPr/>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4.7</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Seventh Supplemental Indenture dated May 12, 2006 among Plains All American Pipeline, L.P., PAA Finance Corp., the Subsidiary Guarantors named therein and Wachovia Bank, National Association, as trustee (incorporated by reference to Exhibit 4.3 to the Current Report on Form 8-K filed May 12, 2006).</w:t>
            </w:r>
          </w:p>
        </w:tc>
      </w:tr>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pPr>
            <w:r>
              <w:rPr/>
              <w:t> </w:t>
            </w:r>
          </w:p>
        </w:tc>
      </w:tr>
      <w:tr>
        <w:trPr/>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4.8</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Eighth Supplemental Indenture dated August 25, 2006 among Plains All American Pipeline, L.P., PAA Finance Corp., the Subsidiary Guarantors named therein and Wachovia Bank, National Association, as trustee (incorporated by reference to Exhibit 4.1 to the Current Report on Form 8-K filed August 25, 2006).</w:t>
            </w:r>
          </w:p>
        </w:tc>
      </w:tr>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pPr>
            <w:r>
              <w:rPr/>
              <w:t> </w:t>
            </w:r>
          </w:p>
        </w:tc>
      </w:tr>
      <w:tr>
        <w:trPr/>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4.9</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the Current Report on Form 8-K filed October 30, 2006).</w:t>
            </w:r>
          </w:p>
        </w:tc>
      </w:tr>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pPr>
            <w:r>
              <w:rPr/>
              <w:t> </w:t>
            </w:r>
          </w:p>
        </w:tc>
      </w:tr>
      <w:tr>
        <w:trPr/>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4.10</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the Current Report on Form 8-K filed October 30, 2006).</w:t>
            </w:r>
          </w:p>
        </w:tc>
      </w:tr>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pPr>
            <w:r>
              <w:rPr/>
              <w:t> </w:t>
            </w:r>
          </w:p>
        </w:tc>
      </w:tr>
      <w:tr>
        <w:trPr/>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4.11</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Eleventh Supplemental Indenture dated November 15, 2006 among Plains All American Pipeline, L.P., PAA Finance Corp., the Subsidiary Guarantors named therein and U.S. Bank National Association, as trustee (incorporated by reference to Exhibit 4.1 to the Current Report on Form 8-K filed November 21, 2006).</w:t>
            </w:r>
          </w:p>
        </w:tc>
      </w:tr>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pPr>
            <w:r>
              <w:rPr/>
              <w:t> </w:t>
            </w:r>
          </w:p>
        </w:tc>
      </w:tr>
      <w:tr>
        <w:trPr/>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4.12</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Twelfth Supplemental Indenture dated January 1, 2008 among Plains All American Pipeline, L.P., PAA Finance Corp., the Subsidiary Guarantors named therein and U.S. Bank National Association, as trustee (incorporated by reference to Exhibit 4.21 to the Annual Report on Form 10-K for the year ended December 31, 2007).</w:t>
            </w:r>
          </w:p>
        </w:tc>
      </w:tr>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pPr>
            <w:r>
              <w:rPr/>
              <w:t> </w:t>
            </w:r>
          </w:p>
        </w:tc>
      </w:tr>
      <w:tr>
        <w:trPr/>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4.13</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Thirteenth Supplemental Indenture (Series A and Series B 6.5% Senior Notes due 2018) dated April 23, 2008 among Plains All American Pipeline, L.P., PAA Finance Corp., the Subsidiary Guarantors named therein and U.S. Bank National Association, as trustee (incorporated by reference to Exhibit 4.1 to the Current Report on Form 8-K filed April 23, 2008).</w:t>
            </w:r>
          </w:p>
        </w:tc>
      </w:tr>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pPr>
            <w:r>
              <w:rPr/>
              <w:t> </w:t>
            </w:r>
          </w:p>
        </w:tc>
      </w:tr>
      <w:tr>
        <w:trPr/>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4.14</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Fourteenth Supplemental Indenture dated July 1, 2008 among Plains All American Pipeline, L.P., PAA Finance Corp., the Subsidiary Guarantors named therein and U.S. Bank National Association, as trustee (incorporated by reference to Exhibit 4.15 to the Quarterly Report on Form 10-Q for the quarter ended June 30, 2008).</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49</w:t>
      </w:r>
      <w:bookmarkStart w:id="85" w:name="PB_49_155037_3641"/>
      <w:bookmarkEnd w:id="8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623"/>
        <w:gridCol w:w="416"/>
        <w:gridCol w:w="9166"/>
      </w:tblGrid>
      <w:tr>
        <w:trPr/>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4.15</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Fifteenth Supplemental Indenture (8.75% Senior Notes due 2019) dated April 20, 2009 among Plains All American Pipeline, L.P., PAA Finance Corp., the Subsidiary Guarantors named therein and U.S. Bank National Association, as trustee (incorporated by reference to Exhibit 4.1 to the Current Report on Form 8-K filed April 20, 2009).</w:t>
            </w:r>
          </w:p>
        </w:tc>
      </w:tr>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pPr>
            <w:r>
              <w:rPr/>
              <w:t> </w:t>
            </w:r>
          </w:p>
        </w:tc>
      </w:tr>
      <w:tr>
        <w:trPr/>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4.16</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Sixteenth Supplemental Indenture (4.25% Senior Notes due 2012) dated July 23, 2009 among Plains All American Pipeline, L.P., PAA Finance Corp., the Subsidiary Guarantors named therein and U.S. Bank National Association, as trustee (incorporated by reference to Exhibit 4.1 to the Current Report on Form 8-K filed July 23, 2009).</w:t>
            </w:r>
          </w:p>
        </w:tc>
      </w:tr>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pPr>
            <w:r>
              <w:rPr/>
              <w:t> </w:t>
            </w:r>
          </w:p>
        </w:tc>
      </w:tr>
      <w:tr>
        <w:trPr/>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4.17</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Seventeenth Supplemental Indenture (5.75% Senior Notes due 2020) dated September 4, 2009 among Plains All American Pipeline, L.P., PAA Finance Corp., the Subsidiary Guarantors named therein, and U.S. Bank National Association as trustee (incorporated by reference to Exhibit 4.1 to the Current Report on Form 8-K filed September 4, 2009).</w:t>
            </w:r>
          </w:p>
        </w:tc>
      </w:tr>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pPr>
            <w:r>
              <w:rPr/>
              <w:t> </w:t>
            </w:r>
          </w:p>
        </w:tc>
      </w:tr>
      <w:tr>
        <w:trPr/>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4.18</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Indenture dated September 23, 2005 among Pacific Energy Partners, L.P., PAA Finance Corp. (f/k/a Pacific Energy Finance Corporation), the Guarantors named therein, and Wells Fargo Bank, National Association, as trustee of the 61/4% senior notes due 2015 (incorporated by reference to Exhibit 4.1 to Pacific Energy Partners, L.P.s Current Report on Form 8-K filed September 28, 2005).</w:t>
            </w:r>
          </w:p>
        </w:tc>
      </w:tr>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pPr>
            <w:r>
              <w:rPr/>
              <w:t> </w:t>
            </w:r>
          </w:p>
        </w:tc>
      </w:tr>
      <w:tr>
        <w:trPr/>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4.19</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First Supplemental Indenture dated November 15, 2006 among Plains All American Pipeline, L.P., PAA Finance Corp. (f/k/a Pacific Energy Finance Corporation), the Guarantors named therein, and Wells Fargo Bank, National Association, as trustee (incorporated by reference to Exhibit 4.3 to the Current Report on Form 8-K filed November 21, 2006).</w:t>
            </w:r>
          </w:p>
        </w:tc>
      </w:tr>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pPr>
            <w:r>
              <w:rPr/>
              <w:t> </w:t>
            </w:r>
          </w:p>
        </w:tc>
      </w:tr>
      <w:tr>
        <w:trPr/>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4.20</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Second Supplemental Indenture dated January 1, 2008 among Plains All American Pipeline, L.P., PAA Finance Corp. (f/k/a Pacific Energy Finance Corporation), the Guarantors named therein, and Wells Fargo Bank, National Association, as trustee (incorporated by reference to Exhibit 4.22 to the Annual Report on Form 10-K for the year ended December 31, 2007).</w:t>
            </w:r>
          </w:p>
        </w:tc>
      </w:tr>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pPr>
            <w:r>
              <w:rPr/>
              <w:t> </w:t>
            </w:r>
          </w:p>
        </w:tc>
      </w:tr>
      <w:tr>
        <w:trPr/>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4.21</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Registration Rights Agreement dated September 3, 2009 by and between Plains All American Pipeline, L.P. and Vulcan Gas Storage LLC (incorporated by reference to Exhibit 4.1 to the Registration Statement on Form S-3, File No. 333-162477).</w:t>
            </w:r>
          </w:p>
        </w:tc>
      </w:tr>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pPr>
            <w:r>
              <w:rPr/>
              <w:t> </w:t>
            </w:r>
          </w:p>
        </w:tc>
      </w:tr>
      <w:tr>
        <w:trPr/>
        <w:tc>
          <w:tcPr>
            <w:tcW w:w="623" w:type="dxa"/>
            <w:tcBorders/>
            <w:shd w:fill="auto" w:val="clear"/>
          </w:tcPr>
          <w:p>
            <w:pPr>
              <w:pStyle w:val="TableContents"/>
              <w:spacing w:before="0" w:after="0"/>
              <w:ind w:left="0" w:right="0" w:hanging="0"/>
              <w:rPr/>
            </w:pPr>
            <w:r>
              <w:rPr>
                <w:rFonts w:ascii="Times New Roman" w:hAnsi="Times New Roman"/>
                <w:sz w:val="17"/>
              </w:rPr>
              <w:t>12.1</w:t>
            </w:r>
            <w:r>
              <w:rPr>
                <w:sz w:val="17"/>
              </w:rPr>
              <w:t></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Computation of Ratio of Earnings to Fixed Charges</w:t>
            </w:r>
          </w:p>
        </w:tc>
      </w:tr>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pPr>
            <w:r>
              <w:rPr/>
              <w:t> </w:t>
            </w:r>
          </w:p>
        </w:tc>
      </w:tr>
      <w:tr>
        <w:trPr/>
        <w:tc>
          <w:tcPr>
            <w:tcW w:w="623" w:type="dxa"/>
            <w:tcBorders/>
            <w:shd w:fill="auto" w:val="clear"/>
          </w:tcPr>
          <w:p>
            <w:pPr>
              <w:pStyle w:val="TableContents"/>
              <w:spacing w:before="0" w:after="0"/>
              <w:ind w:left="0" w:right="0" w:hanging="0"/>
              <w:rPr/>
            </w:pPr>
            <w:r>
              <w:rPr>
                <w:rFonts w:ascii="Times New Roman" w:hAnsi="Times New Roman"/>
                <w:sz w:val="17"/>
              </w:rPr>
              <w:t>31.1</w:t>
            </w:r>
            <w:r>
              <w:rPr>
                <w:sz w:val="17"/>
              </w:rPr>
              <w:t></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Exchange Act Rules 13a-14(a) and 15d-14(a).</w:t>
            </w:r>
          </w:p>
        </w:tc>
      </w:tr>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pPr>
            <w:r>
              <w:rPr/>
              <w:t> </w:t>
            </w:r>
          </w:p>
        </w:tc>
      </w:tr>
      <w:tr>
        <w:trPr/>
        <w:tc>
          <w:tcPr>
            <w:tcW w:w="623" w:type="dxa"/>
            <w:tcBorders/>
            <w:shd w:fill="auto" w:val="clear"/>
          </w:tcPr>
          <w:p>
            <w:pPr>
              <w:pStyle w:val="TableContents"/>
              <w:spacing w:before="0" w:after="0"/>
              <w:ind w:left="0" w:right="0" w:hanging="0"/>
              <w:rPr/>
            </w:pPr>
            <w:r>
              <w:rPr>
                <w:rFonts w:ascii="Times New Roman" w:hAnsi="Times New Roman"/>
                <w:sz w:val="17"/>
              </w:rPr>
              <w:t>31.2</w:t>
            </w:r>
            <w:r>
              <w:rPr>
                <w:sz w:val="17"/>
              </w:rPr>
              <w:t></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Exchange Act Rules 13a-14(a) and 15d-14(a).</w:t>
            </w:r>
          </w:p>
        </w:tc>
      </w:tr>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pPr>
            <w:r>
              <w:rPr/>
              <w:t> </w:t>
            </w:r>
          </w:p>
        </w:tc>
      </w:tr>
      <w:tr>
        <w:trPr/>
        <w:tc>
          <w:tcPr>
            <w:tcW w:w="623" w:type="dxa"/>
            <w:tcBorders/>
            <w:shd w:fill="auto" w:val="clear"/>
          </w:tcPr>
          <w:p>
            <w:pPr>
              <w:pStyle w:val="TableContents"/>
              <w:spacing w:before="0" w:after="0"/>
              <w:ind w:left="0" w:right="0" w:hanging="0"/>
              <w:rPr/>
            </w:pPr>
            <w:r>
              <w:rPr>
                <w:rFonts w:ascii="Times New Roman" w:hAnsi="Times New Roman"/>
                <w:sz w:val="17"/>
              </w:rPr>
              <w:t>32.1</w:t>
            </w:r>
            <w:r>
              <w:rPr>
                <w:sz w:val="17"/>
              </w:rPr>
              <w:t></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18 U.S.C. 1350</w:t>
            </w:r>
          </w:p>
        </w:tc>
      </w:tr>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pPr>
            <w:r>
              <w:rPr/>
              <w:t> </w:t>
            </w:r>
          </w:p>
        </w:tc>
      </w:tr>
      <w:tr>
        <w:trPr/>
        <w:tc>
          <w:tcPr>
            <w:tcW w:w="623" w:type="dxa"/>
            <w:tcBorders/>
            <w:shd w:fill="auto" w:val="clear"/>
          </w:tcPr>
          <w:p>
            <w:pPr>
              <w:pStyle w:val="TableContents"/>
              <w:spacing w:before="0" w:after="0"/>
              <w:ind w:left="0" w:right="0" w:hanging="0"/>
              <w:rPr/>
            </w:pPr>
            <w:r>
              <w:rPr>
                <w:rFonts w:ascii="Times New Roman" w:hAnsi="Times New Roman"/>
                <w:sz w:val="17"/>
              </w:rPr>
              <w:t>32.2</w:t>
            </w:r>
            <w:r>
              <w:rPr>
                <w:sz w:val="17"/>
              </w:rPr>
              <w:t></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18 U.S.C. 1350</w:t>
            </w:r>
          </w:p>
        </w:tc>
      </w:tr>
      <w:tr>
        <w:trPr/>
        <w:tc>
          <w:tcPr>
            <w:tcW w:w="623"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9166" w:type="dxa"/>
            <w:tcBorders/>
            <w:shd w:fill="auto" w:val="clear"/>
            <w:vAlign w:val="bottom"/>
          </w:tcPr>
          <w:p>
            <w:pPr>
              <w:pStyle w:val="TableContents"/>
              <w:spacing w:before="0" w:after="0"/>
              <w:ind w:left="0" w:right="0" w:hanging="0"/>
              <w:rPr/>
            </w:pPr>
            <w:r>
              <w:rPr/>
              <w:t> </w:t>
            </w:r>
          </w:p>
        </w:tc>
      </w:tr>
      <w:tr>
        <w:trPr/>
        <w:tc>
          <w:tcPr>
            <w:tcW w:w="623" w:type="dxa"/>
            <w:tcBorders/>
            <w:shd w:fill="auto" w:val="clear"/>
          </w:tcPr>
          <w:p>
            <w:pPr>
              <w:pStyle w:val="TableContents"/>
              <w:spacing w:before="0" w:after="0"/>
              <w:ind w:left="0" w:right="0" w:hanging="0"/>
              <w:rPr/>
            </w:pPr>
            <w:r>
              <w:rPr>
                <w:rFonts w:ascii="Times New Roman" w:hAnsi="Times New Roman"/>
                <w:sz w:val="17"/>
              </w:rPr>
              <w:t>101</w:t>
            </w:r>
            <w:r>
              <w:rPr>
                <w:sz w:val="17"/>
              </w:rPr>
              <w:t></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The following financial information from the quarterly report on Form 10-Q of Plains All American Pipeline, L.P. for the quarter ended March 31, 2010, formatted in XBRL (eXtensible Business Reporting Language): (i) Condensed Consolidated Statements of Operations, (ii) Condensed Consolidated Balance Sheets, (iii) Condensed Consolidated Statements of Cash Flows, (iv) Condensed Consolidated Statement of Partners Capital, (v) Condensed Consolidated Statements of Comprehensive Income, (vi) Condensed Consolidated Statement of Changes in Accumulated Other Comprehensive Income and (vii) Notes to the Condensed Consolidated Financial Statements, tagged as blocks of text.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w:t>
      </w:r>
      <w:r>
        <w:rPr>
          <w:rFonts w:ascii="Times New Roman" w:hAnsi="Times New Roman"/>
        </w:rPr>
        <w:t xml:space="preserve">                                          </w:t>
      </w:r>
      <w:r>
        <w:rPr>
          <w:rFonts w:ascii="Times New Roman" w:hAnsi="Times New Roman"/>
          <w:sz w:val="17"/>
        </w:rPr>
        <w:t>Filed herewith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w:t>
      </w:r>
      <w:r>
        <w:rPr>
          <w:rFonts w:ascii="Times New Roman" w:hAnsi="Times New Roman"/>
        </w:rPr>
        <w:t xml:space="preserve">                                  </w:t>
      </w:r>
      <w:r>
        <w:rPr>
          <w:rFonts w:ascii="Times New Roman" w:hAnsi="Times New Roman"/>
          <w:sz w:val="17"/>
        </w:rPr>
        <w:t>Management compensatory plan or arrangement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50</w:t>
      </w:r>
      <w:bookmarkStart w:id="86" w:name="PB_50_155054_5250"/>
      <w:bookmarkEnd w:id="86"/>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87" w:name="a10-5749_1ex12d1.htm"/>
      <w:bookmarkStart w:id="88" w:name="ksa105749_1ex12d1"/>
      <w:bookmarkEnd w:id="87"/>
      <w:bookmarkEnd w:id="88"/>
      <w:r>
        <w:rPr>
          <w:rFonts w:ascii="Times New Roman" w:hAnsi="Times New Roman"/>
          <w:b/>
          <w:sz w:val="17"/>
        </w:rPr>
        <w:t>EXHIBIT 12.1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STATEMENT OF COMPUTATION OF RATIO OF EARNINGS TO FIXED CHARGES</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55"/>
        <w:gridCol w:w="194"/>
        <w:gridCol w:w="234"/>
        <w:gridCol w:w="936"/>
        <w:gridCol w:w="228"/>
        <w:gridCol w:w="151"/>
        <w:gridCol w:w="505"/>
        <w:gridCol w:w="228"/>
        <w:gridCol w:w="151"/>
        <w:gridCol w:w="505"/>
        <w:gridCol w:w="228"/>
        <w:gridCol w:w="151"/>
        <w:gridCol w:w="505"/>
        <w:gridCol w:w="228"/>
        <w:gridCol w:w="150"/>
        <w:gridCol w:w="505"/>
        <w:gridCol w:w="228"/>
        <w:gridCol w:w="151"/>
        <w:gridCol w:w="505"/>
        <w:gridCol w:w="167"/>
      </w:tblGrid>
      <w:tr>
        <w:trPr/>
        <w:tc>
          <w:tcPr>
            <w:tcW w:w="4255"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117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28" w:type="dxa"/>
            <w:tcBorders/>
            <w:shd w:fill="auto" w:val="clear"/>
            <w:vAlign w:val="bottom"/>
          </w:tcPr>
          <w:p>
            <w:pPr>
              <w:pStyle w:val="TableContents"/>
              <w:spacing w:before="0" w:after="0"/>
              <w:ind w:left="0" w:right="0" w:hanging="0"/>
              <w:jc w:val="center"/>
              <w:rPr/>
            </w:pPr>
            <w:r>
              <w:rPr/>
              <w:t> </w:t>
            </w:r>
          </w:p>
        </w:tc>
        <w:tc>
          <w:tcPr>
            <w:tcW w:w="656" w:type="dxa"/>
            <w:gridSpan w:val="2"/>
            <w:tcBorders/>
            <w:shd w:fill="auto" w:val="clear"/>
            <w:vAlign w:val="bottom"/>
          </w:tcPr>
          <w:p>
            <w:pPr>
              <w:pStyle w:val="TableContents"/>
              <w:spacing w:before="0" w:after="0"/>
              <w:ind w:left="0" w:right="0" w:hanging="0"/>
              <w:jc w:val="center"/>
              <w:rPr/>
            </w:pPr>
            <w:r>
              <w:rPr/>
              <w:t> </w:t>
            </w:r>
          </w:p>
        </w:tc>
        <w:tc>
          <w:tcPr>
            <w:tcW w:w="228" w:type="dxa"/>
            <w:tcBorders/>
            <w:shd w:fill="auto" w:val="clear"/>
            <w:vAlign w:val="bottom"/>
          </w:tcPr>
          <w:p>
            <w:pPr>
              <w:pStyle w:val="TableContents"/>
              <w:spacing w:before="0" w:after="0"/>
              <w:ind w:left="0" w:right="0" w:hanging="0"/>
              <w:jc w:val="center"/>
              <w:rPr/>
            </w:pPr>
            <w:r>
              <w:rPr/>
              <w:t> </w:t>
            </w:r>
          </w:p>
        </w:tc>
        <w:tc>
          <w:tcPr>
            <w:tcW w:w="656" w:type="dxa"/>
            <w:gridSpan w:val="2"/>
            <w:tcBorders/>
            <w:shd w:fill="auto" w:val="clear"/>
            <w:vAlign w:val="bottom"/>
          </w:tcPr>
          <w:p>
            <w:pPr>
              <w:pStyle w:val="TableContents"/>
              <w:spacing w:before="0" w:after="0"/>
              <w:ind w:left="0" w:right="0" w:hanging="0"/>
              <w:jc w:val="center"/>
              <w:rPr/>
            </w:pPr>
            <w:r>
              <w:rPr/>
              <w:t> </w:t>
            </w:r>
          </w:p>
        </w:tc>
        <w:tc>
          <w:tcPr>
            <w:tcW w:w="228" w:type="dxa"/>
            <w:tcBorders/>
            <w:shd w:fill="auto" w:val="clear"/>
            <w:vAlign w:val="bottom"/>
          </w:tcPr>
          <w:p>
            <w:pPr>
              <w:pStyle w:val="TableContents"/>
              <w:spacing w:before="0" w:after="0"/>
              <w:ind w:left="0" w:right="0" w:hanging="0"/>
              <w:jc w:val="center"/>
              <w:rPr/>
            </w:pPr>
            <w:r>
              <w:rPr/>
              <w:t> </w:t>
            </w:r>
          </w:p>
        </w:tc>
        <w:tc>
          <w:tcPr>
            <w:tcW w:w="656" w:type="dxa"/>
            <w:gridSpan w:val="2"/>
            <w:tcBorders/>
            <w:shd w:fill="auto" w:val="clear"/>
            <w:vAlign w:val="bottom"/>
          </w:tcPr>
          <w:p>
            <w:pPr>
              <w:pStyle w:val="TableContents"/>
              <w:spacing w:before="0" w:after="0"/>
              <w:ind w:left="0" w:right="0" w:hanging="0"/>
              <w:jc w:val="center"/>
              <w:rPr/>
            </w:pPr>
            <w:r>
              <w:rPr/>
              <w:t> </w:t>
            </w:r>
          </w:p>
        </w:tc>
        <w:tc>
          <w:tcPr>
            <w:tcW w:w="228" w:type="dxa"/>
            <w:tcBorders/>
            <w:shd w:fill="auto" w:val="clear"/>
            <w:vAlign w:val="bottom"/>
          </w:tcPr>
          <w:p>
            <w:pPr>
              <w:pStyle w:val="TableContents"/>
              <w:spacing w:before="0" w:after="0"/>
              <w:ind w:left="0" w:right="0" w:hanging="0"/>
              <w:jc w:val="center"/>
              <w:rPr/>
            </w:pPr>
            <w:r>
              <w:rPr/>
              <w:t> </w:t>
            </w:r>
          </w:p>
        </w:tc>
        <w:tc>
          <w:tcPr>
            <w:tcW w:w="655" w:type="dxa"/>
            <w:gridSpan w:val="2"/>
            <w:tcBorders/>
            <w:shd w:fill="auto" w:val="clear"/>
            <w:vAlign w:val="bottom"/>
          </w:tcPr>
          <w:p>
            <w:pPr>
              <w:pStyle w:val="TableContents"/>
              <w:spacing w:before="0" w:after="0"/>
              <w:ind w:left="0" w:right="0" w:hanging="0"/>
              <w:jc w:val="center"/>
              <w:rPr/>
            </w:pPr>
            <w:r>
              <w:rPr/>
              <w:t> </w:t>
            </w:r>
          </w:p>
        </w:tc>
        <w:tc>
          <w:tcPr>
            <w:tcW w:w="228" w:type="dxa"/>
            <w:tcBorders/>
            <w:shd w:fill="auto" w:val="clear"/>
            <w:vAlign w:val="bottom"/>
          </w:tcPr>
          <w:p>
            <w:pPr>
              <w:pStyle w:val="TableContents"/>
              <w:spacing w:before="0" w:after="0"/>
              <w:ind w:left="0" w:right="0" w:hanging="0"/>
              <w:jc w:val="center"/>
              <w:rPr/>
            </w:pPr>
            <w:r>
              <w:rPr/>
              <w:t> </w:t>
            </w:r>
          </w:p>
        </w:tc>
        <w:tc>
          <w:tcPr>
            <w:tcW w:w="656" w:type="dxa"/>
            <w:gridSpan w:val="2"/>
            <w:tcBorders/>
            <w:shd w:fill="auto" w:val="clear"/>
            <w:vAlign w:val="bottom"/>
          </w:tcPr>
          <w:p>
            <w:pPr>
              <w:pStyle w:val="TableContents"/>
              <w:spacing w:before="0" w:after="0"/>
              <w:ind w:left="0" w:right="0" w:hanging="0"/>
              <w:jc w:val="center"/>
              <w:rPr/>
            </w:pPr>
            <w:r>
              <w:rPr/>
              <w:t> </w:t>
            </w:r>
          </w:p>
        </w:tc>
        <w:tc>
          <w:tcPr>
            <w:tcW w:w="167" w:type="dxa"/>
            <w:tcBorders/>
            <w:shd w:fill="auto" w:val="clear"/>
            <w:vAlign w:val="bottom"/>
          </w:tcPr>
          <w:p>
            <w:pPr>
              <w:pStyle w:val="TableContents"/>
              <w:spacing w:before="0" w:after="0"/>
              <w:ind w:left="0" w:right="0" w:hanging="0"/>
              <w:jc w:val="center"/>
              <w:rPr/>
            </w:pPr>
            <w:r>
              <w:rPr/>
              <w:t> </w:t>
            </w:r>
          </w:p>
        </w:tc>
      </w:tr>
      <w:tr>
        <w:trPr/>
        <w:tc>
          <w:tcPr>
            <w:tcW w:w="4255"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117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228" w:type="dxa"/>
            <w:tcBorders/>
            <w:shd w:fill="auto" w:val="clear"/>
            <w:vAlign w:val="bottom"/>
          </w:tcPr>
          <w:p>
            <w:pPr>
              <w:pStyle w:val="TableContents"/>
              <w:spacing w:before="0" w:after="0"/>
              <w:ind w:left="0" w:right="0" w:hanging="0"/>
              <w:jc w:val="center"/>
              <w:rPr/>
            </w:pPr>
            <w:r>
              <w:rPr/>
              <w:t> </w:t>
            </w:r>
          </w:p>
        </w:tc>
        <w:tc>
          <w:tcPr>
            <w:tcW w:w="656" w:type="dxa"/>
            <w:gridSpan w:val="2"/>
            <w:tcBorders/>
            <w:shd w:fill="auto" w:val="clear"/>
            <w:vAlign w:val="bottom"/>
          </w:tcPr>
          <w:p>
            <w:pPr>
              <w:pStyle w:val="TableContents"/>
              <w:spacing w:before="0" w:after="0"/>
              <w:ind w:left="0" w:right="0" w:hanging="0"/>
              <w:jc w:val="center"/>
              <w:rPr/>
            </w:pPr>
            <w:r>
              <w:rPr/>
              <w:t> </w:t>
            </w:r>
          </w:p>
        </w:tc>
        <w:tc>
          <w:tcPr>
            <w:tcW w:w="228" w:type="dxa"/>
            <w:tcBorders/>
            <w:shd w:fill="auto" w:val="clear"/>
            <w:vAlign w:val="bottom"/>
          </w:tcPr>
          <w:p>
            <w:pPr>
              <w:pStyle w:val="TableContents"/>
              <w:spacing w:before="0" w:after="0"/>
              <w:ind w:left="0" w:right="0" w:hanging="0"/>
              <w:jc w:val="center"/>
              <w:rPr/>
            </w:pPr>
            <w:r>
              <w:rPr/>
              <w:t> </w:t>
            </w:r>
          </w:p>
        </w:tc>
        <w:tc>
          <w:tcPr>
            <w:tcW w:w="656" w:type="dxa"/>
            <w:gridSpan w:val="2"/>
            <w:tcBorders/>
            <w:shd w:fill="auto" w:val="clear"/>
            <w:vAlign w:val="bottom"/>
          </w:tcPr>
          <w:p>
            <w:pPr>
              <w:pStyle w:val="TableContents"/>
              <w:spacing w:before="0" w:after="0"/>
              <w:ind w:left="0" w:right="0" w:hanging="0"/>
              <w:jc w:val="center"/>
              <w:rPr/>
            </w:pPr>
            <w:r>
              <w:rPr/>
              <w:t> </w:t>
            </w:r>
          </w:p>
        </w:tc>
        <w:tc>
          <w:tcPr>
            <w:tcW w:w="228" w:type="dxa"/>
            <w:tcBorders/>
            <w:shd w:fill="auto" w:val="clear"/>
            <w:vAlign w:val="bottom"/>
          </w:tcPr>
          <w:p>
            <w:pPr>
              <w:pStyle w:val="TableContents"/>
              <w:spacing w:before="0" w:after="0"/>
              <w:ind w:left="0" w:right="0" w:hanging="0"/>
              <w:jc w:val="center"/>
              <w:rPr/>
            </w:pPr>
            <w:r>
              <w:rPr/>
              <w:t> </w:t>
            </w:r>
          </w:p>
        </w:tc>
        <w:tc>
          <w:tcPr>
            <w:tcW w:w="656" w:type="dxa"/>
            <w:gridSpan w:val="2"/>
            <w:tcBorders/>
            <w:shd w:fill="auto" w:val="clear"/>
            <w:vAlign w:val="bottom"/>
          </w:tcPr>
          <w:p>
            <w:pPr>
              <w:pStyle w:val="TableContents"/>
              <w:spacing w:before="0" w:after="0"/>
              <w:ind w:left="0" w:right="0" w:hanging="0"/>
              <w:jc w:val="center"/>
              <w:rPr/>
            </w:pPr>
            <w:r>
              <w:rPr/>
              <w:t> </w:t>
            </w:r>
          </w:p>
        </w:tc>
        <w:tc>
          <w:tcPr>
            <w:tcW w:w="228" w:type="dxa"/>
            <w:tcBorders/>
            <w:shd w:fill="auto" w:val="clear"/>
            <w:vAlign w:val="bottom"/>
          </w:tcPr>
          <w:p>
            <w:pPr>
              <w:pStyle w:val="TableContents"/>
              <w:spacing w:before="0" w:after="0"/>
              <w:ind w:left="0" w:right="0" w:hanging="0"/>
              <w:jc w:val="center"/>
              <w:rPr/>
            </w:pPr>
            <w:r>
              <w:rPr/>
              <w:t> </w:t>
            </w:r>
          </w:p>
        </w:tc>
        <w:tc>
          <w:tcPr>
            <w:tcW w:w="655" w:type="dxa"/>
            <w:gridSpan w:val="2"/>
            <w:tcBorders/>
            <w:shd w:fill="auto" w:val="clear"/>
            <w:vAlign w:val="bottom"/>
          </w:tcPr>
          <w:p>
            <w:pPr>
              <w:pStyle w:val="TableContents"/>
              <w:spacing w:before="0" w:after="0"/>
              <w:ind w:left="0" w:right="0" w:hanging="0"/>
              <w:jc w:val="center"/>
              <w:rPr/>
            </w:pPr>
            <w:r>
              <w:rPr/>
              <w:t> </w:t>
            </w:r>
          </w:p>
        </w:tc>
        <w:tc>
          <w:tcPr>
            <w:tcW w:w="228" w:type="dxa"/>
            <w:tcBorders/>
            <w:shd w:fill="auto" w:val="clear"/>
            <w:vAlign w:val="bottom"/>
          </w:tcPr>
          <w:p>
            <w:pPr>
              <w:pStyle w:val="TableContents"/>
              <w:spacing w:before="0" w:after="0"/>
              <w:ind w:left="0" w:right="0" w:hanging="0"/>
              <w:jc w:val="center"/>
              <w:rPr/>
            </w:pPr>
            <w:r>
              <w:rPr/>
              <w:t> </w:t>
            </w:r>
          </w:p>
        </w:tc>
        <w:tc>
          <w:tcPr>
            <w:tcW w:w="656" w:type="dxa"/>
            <w:gridSpan w:val="2"/>
            <w:tcBorders/>
            <w:shd w:fill="auto" w:val="clear"/>
            <w:vAlign w:val="bottom"/>
          </w:tcPr>
          <w:p>
            <w:pPr>
              <w:pStyle w:val="TableContents"/>
              <w:spacing w:before="0" w:after="0"/>
              <w:ind w:left="0" w:right="0" w:hanging="0"/>
              <w:jc w:val="center"/>
              <w:rPr/>
            </w:pPr>
            <w:r>
              <w:rPr/>
              <w:t> </w:t>
            </w:r>
          </w:p>
        </w:tc>
        <w:tc>
          <w:tcPr>
            <w:tcW w:w="167" w:type="dxa"/>
            <w:tcBorders/>
            <w:shd w:fill="auto" w:val="clear"/>
            <w:vAlign w:val="bottom"/>
          </w:tcPr>
          <w:p>
            <w:pPr>
              <w:pStyle w:val="TableContents"/>
              <w:spacing w:before="0" w:after="0"/>
              <w:ind w:left="0" w:right="0" w:hanging="0"/>
              <w:jc w:val="center"/>
              <w:rPr/>
            </w:pPr>
            <w:r>
              <w:rPr/>
              <w:t> </w:t>
            </w:r>
          </w:p>
        </w:tc>
      </w:tr>
      <w:tr>
        <w:trPr/>
        <w:tc>
          <w:tcPr>
            <w:tcW w:w="4255"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117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228" w:type="dxa"/>
            <w:tcBorders/>
            <w:shd w:fill="auto" w:val="clear"/>
            <w:vAlign w:val="bottom"/>
          </w:tcPr>
          <w:p>
            <w:pPr>
              <w:pStyle w:val="TableContents"/>
              <w:spacing w:before="0" w:after="0"/>
              <w:ind w:left="0" w:right="0" w:hanging="0"/>
              <w:jc w:val="center"/>
              <w:rPr/>
            </w:pPr>
            <w:r>
              <w:rPr/>
              <w:t> </w:t>
            </w:r>
          </w:p>
        </w:tc>
        <w:tc>
          <w:tcPr>
            <w:tcW w:w="4191"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67" w:type="dxa"/>
            <w:tcBorders/>
            <w:shd w:fill="auto" w:val="clear"/>
            <w:vAlign w:val="bottom"/>
          </w:tcPr>
          <w:p>
            <w:pPr>
              <w:pStyle w:val="TableContents"/>
              <w:spacing w:before="0" w:after="0"/>
              <w:ind w:left="0" w:right="0" w:hanging="0"/>
              <w:jc w:val="center"/>
              <w:rPr/>
            </w:pPr>
            <w:r>
              <w:rPr/>
              <w:t> </w:t>
            </w:r>
          </w:p>
        </w:tc>
      </w:tr>
      <w:tr>
        <w:trPr/>
        <w:tc>
          <w:tcPr>
            <w:tcW w:w="4255"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28" w:type="dxa"/>
            <w:tcBorders/>
            <w:shd w:fill="auto" w:val="clear"/>
            <w:vAlign w:val="bottom"/>
          </w:tcPr>
          <w:p>
            <w:pPr>
              <w:pStyle w:val="TableContents"/>
              <w:spacing w:before="0" w:after="0"/>
              <w:ind w:left="0" w:right="0" w:hanging="0"/>
              <w:jc w:val="center"/>
              <w:rPr/>
            </w:pPr>
            <w:r>
              <w:rPr/>
              <w:t> </w:t>
            </w:r>
          </w:p>
        </w:tc>
        <w:tc>
          <w:tcPr>
            <w:tcW w:w="6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2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2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22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2006</w:t>
            </w:r>
          </w:p>
        </w:tc>
        <w:tc>
          <w:tcPr>
            <w:tcW w:w="22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2005</w:t>
            </w:r>
          </w:p>
        </w:tc>
        <w:tc>
          <w:tcPr>
            <w:tcW w:w="167" w:type="dxa"/>
            <w:tcBorders/>
            <w:shd w:fill="auto" w:val="clear"/>
            <w:vAlign w:val="bottom"/>
          </w:tcPr>
          <w:p>
            <w:pPr>
              <w:pStyle w:val="TableContents"/>
              <w:spacing w:before="0" w:after="0"/>
              <w:ind w:left="0" w:right="0" w:hanging="0"/>
              <w:jc w:val="center"/>
              <w:rPr/>
            </w:pPr>
            <w:r>
              <w:rPr/>
              <w:t> </w:t>
            </w:r>
          </w:p>
        </w:tc>
      </w:tr>
      <w:tr>
        <w:trPr/>
        <w:tc>
          <w:tcPr>
            <w:tcW w:w="425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EARNINGS (1)</w:t>
            </w:r>
          </w:p>
        </w:tc>
        <w:tc>
          <w:tcPr>
            <w:tcW w:w="194"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655"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pPr>
            <w:r>
              <w:rPr/>
              <w:t> </w:t>
            </w:r>
          </w:p>
        </w:tc>
        <w:tc>
          <w:tcPr>
            <w:tcW w:w="167" w:type="dxa"/>
            <w:tcBorders/>
            <w:shd w:fill="CCEEFF" w:val="clear"/>
            <w:vAlign w:val="bottom"/>
          </w:tcPr>
          <w:p>
            <w:pPr>
              <w:pStyle w:val="TableContents"/>
              <w:spacing w:before="0" w:after="0"/>
              <w:ind w:left="0" w:right="0" w:hanging="0"/>
              <w:rPr/>
            </w:pPr>
            <w:r>
              <w:rPr/>
              <w:t> </w:t>
            </w:r>
          </w:p>
        </w:tc>
      </w:tr>
      <w:tr>
        <w:trPr/>
        <w:tc>
          <w:tcPr>
            <w:tcW w:w="42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Pre-tax income from continuing operations before</w:t>
              <w:br/>
              <w:t>noncontrolling interest and income from equity investees</w:t>
            </w:r>
          </w:p>
        </w:tc>
        <w:tc>
          <w:tcPr>
            <w:tcW w:w="194" w:type="dxa"/>
            <w:tcBorders/>
            <w:shd w:fill="auto" w:val="clear"/>
            <w:vAlign w:val="bottom"/>
          </w:tcPr>
          <w:p>
            <w:pPr>
              <w:pStyle w:val="TableContents"/>
              <w:spacing w:before="0" w:after="0"/>
              <w:ind w:left="0" w:right="0" w:hanging="0"/>
              <w:rPr/>
            </w:pPr>
            <w:r>
              <w:rPr/>
              <w:t> </w:t>
            </w:r>
          </w:p>
        </w:tc>
        <w:tc>
          <w:tcPr>
            <w:tcW w:w="2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28"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572</w:t>
            </w:r>
          </w:p>
        </w:tc>
        <w:tc>
          <w:tcPr>
            <w:tcW w:w="228"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228"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228" w:type="dxa"/>
            <w:tcBorders/>
            <w:shd w:fill="auto" w:val="clear"/>
            <w:vAlign w:val="bottom"/>
          </w:tcPr>
          <w:p>
            <w:pPr>
              <w:pStyle w:val="TableContents"/>
              <w:spacing w:before="0" w:after="0"/>
              <w:ind w:left="0" w:right="0" w:hanging="0"/>
              <w:rPr/>
            </w:pPr>
            <w:r>
              <w:rPr/>
              <w:t> </w:t>
            </w:r>
          </w:p>
        </w:tc>
        <w:tc>
          <w:tcPr>
            <w:tcW w:w="1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w:t>
            </w:r>
          </w:p>
        </w:tc>
        <w:tc>
          <w:tcPr>
            <w:tcW w:w="228"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w:t>
            </w:r>
          </w:p>
        </w:tc>
        <w:tc>
          <w:tcPr>
            <w:tcW w:w="167" w:type="dxa"/>
            <w:tcBorders/>
            <w:shd w:fill="auto" w:val="clear"/>
            <w:vAlign w:val="bottom"/>
          </w:tcPr>
          <w:p>
            <w:pPr>
              <w:pStyle w:val="TableContents"/>
              <w:spacing w:before="0" w:after="0"/>
              <w:ind w:left="0" w:right="0" w:hanging="0"/>
              <w:rPr/>
            </w:pPr>
            <w:r>
              <w:rPr/>
              <w:t> </w:t>
            </w:r>
          </w:p>
        </w:tc>
      </w:tr>
      <w:tr>
        <w:trPr/>
        <w:tc>
          <w:tcPr>
            <w:tcW w:w="42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Fixed charges</w:t>
            </w:r>
          </w:p>
        </w:tc>
        <w:tc>
          <w:tcPr>
            <w:tcW w:w="194"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28"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28"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28"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28" w:type="dxa"/>
            <w:tcBorders/>
            <w:shd w:fill="CCEEFF" w:val="clear"/>
            <w:vAlign w:val="bottom"/>
          </w:tcPr>
          <w:p>
            <w:pPr>
              <w:pStyle w:val="TableContents"/>
              <w:spacing w:before="0" w:after="0"/>
              <w:ind w:left="0" w:right="0" w:hanging="0"/>
              <w:rPr/>
            </w:pPr>
            <w:r>
              <w:rPr/>
              <w:t> </w:t>
            </w:r>
          </w:p>
        </w:tc>
        <w:tc>
          <w:tcPr>
            <w:tcW w:w="6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28"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67" w:type="dxa"/>
            <w:tcBorders/>
            <w:shd w:fill="CCEEFF" w:val="clear"/>
            <w:vAlign w:val="bottom"/>
          </w:tcPr>
          <w:p>
            <w:pPr>
              <w:pStyle w:val="TableContents"/>
              <w:spacing w:before="0" w:after="0"/>
              <w:ind w:left="0" w:right="0" w:hanging="0"/>
              <w:rPr/>
            </w:pPr>
            <w:r>
              <w:rPr/>
              <w:t> </w:t>
            </w:r>
          </w:p>
        </w:tc>
      </w:tr>
      <w:tr>
        <w:trPr/>
        <w:tc>
          <w:tcPr>
            <w:tcW w:w="42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Distributed income of equity investees</w:t>
            </w:r>
          </w:p>
        </w:tc>
        <w:tc>
          <w:tcPr>
            <w:tcW w:w="194"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8"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8"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8"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8" w:type="dxa"/>
            <w:tcBorders/>
            <w:shd w:fill="auto" w:val="clear"/>
            <w:vAlign w:val="bottom"/>
          </w:tcPr>
          <w:p>
            <w:pPr>
              <w:pStyle w:val="TableContents"/>
              <w:spacing w:before="0" w:after="0"/>
              <w:ind w:left="0" w:right="0" w:hanging="0"/>
              <w:rPr/>
            </w:pPr>
            <w:r>
              <w:rPr/>
              <w:t> </w:t>
            </w:r>
          </w:p>
        </w:tc>
        <w:tc>
          <w:tcPr>
            <w:tcW w:w="6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8"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7" w:type="dxa"/>
            <w:tcBorders/>
            <w:shd w:fill="auto" w:val="clear"/>
            <w:vAlign w:val="bottom"/>
          </w:tcPr>
          <w:p>
            <w:pPr>
              <w:pStyle w:val="TableContents"/>
              <w:spacing w:before="0" w:after="0"/>
              <w:ind w:left="0" w:right="0" w:hanging="0"/>
              <w:rPr/>
            </w:pPr>
            <w:r>
              <w:rPr/>
              <w:t> </w:t>
            </w:r>
          </w:p>
        </w:tc>
      </w:tr>
      <w:tr>
        <w:trPr/>
        <w:tc>
          <w:tcPr>
            <w:tcW w:w="42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Amortization of capitalized interest</w:t>
            </w:r>
          </w:p>
        </w:tc>
        <w:tc>
          <w:tcPr>
            <w:tcW w:w="194"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8"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8"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8"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8" w:type="dxa"/>
            <w:tcBorders/>
            <w:shd w:fill="CCEEFF" w:val="clear"/>
            <w:vAlign w:val="bottom"/>
          </w:tcPr>
          <w:p>
            <w:pPr>
              <w:pStyle w:val="TableContents"/>
              <w:spacing w:before="0" w:after="0"/>
              <w:ind w:left="0" w:right="0" w:hanging="0"/>
              <w:rPr/>
            </w:pPr>
            <w:r>
              <w:rPr/>
              <w:t> </w:t>
            </w:r>
          </w:p>
        </w:tc>
        <w:tc>
          <w:tcPr>
            <w:tcW w:w="6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8"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7" w:type="dxa"/>
            <w:tcBorders/>
            <w:shd w:fill="CCEEFF" w:val="clear"/>
            <w:vAlign w:val="bottom"/>
          </w:tcPr>
          <w:p>
            <w:pPr>
              <w:pStyle w:val="TableContents"/>
              <w:spacing w:before="0" w:after="0"/>
              <w:ind w:left="0" w:right="0" w:hanging="0"/>
              <w:rPr/>
            </w:pPr>
            <w:r>
              <w:rPr/>
              <w:t> </w:t>
            </w:r>
          </w:p>
        </w:tc>
      </w:tr>
      <w:tr>
        <w:trPr/>
        <w:tc>
          <w:tcPr>
            <w:tcW w:w="42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Capitalized interest</w:t>
            </w:r>
          </w:p>
        </w:tc>
        <w:tc>
          <w:tcPr>
            <w:tcW w:w="194" w:type="dxa"/>
            <w:tcBorders/>
            <w:shd w:fill="auto"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Earnings</w:t>
            </w:r>
          </w:p>
        </w:tc>
        <w:tc>
          <w:tcPr>
            <w:tcW w:w="194" w:type="dxa"/>
            <w:tcBorders/>
            <w:shd w:fill="CCEEFF" w:val="clear"/>
            <w:vAlign w:val="bottom"/>
          </w:tcPr>
          <w:p>
            <w:pPr>
              <w:pStyle w:val="TableContents"/>
              <w:spacing w:before="0" w:after="0"/>
              <w:ind w:left="0" w:right="0" w:hanging="0"/>
              <w:rPr/>
            </w:pPr>
            <w:r>
              <w:rPr/>
              <w:t> </w:t>
            </w:r>
          </w:p>
        </w:tc>
        <w:tc>
          <w:tcPr>
            <w:tcW w:w="2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228"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851</w:t>
            </w:r>
          </w:p>
        </w:tc>
        <w:tc>
          <w:tcPr>
            <w:tcW w:w="228"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228"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571</w:t>
            </w:r>
          </w:p>
        </w:tc>
        <w:tc>
          <w:tcPr>
            <w:tcW w:w="228" w:type="dxa"/>
            <w:tcBorders/>
            <w:shd w:fill="CCEEFF" w:val="clear"/>
            <w:vAlign w:val="bottom"/>
          </w:tcPr>
          <w:p>
            <w:pPr>
              <w:pStyle w:val="TableContents"/>
              <w:spacing w:before="0" w:after="0"/>
              <w:ind w:left="0" w:right="0" w:hanging="0"/>
              <w:rPr/>
            </w:pPr>
            <w:r>
              <w:rPr/>
              <w:t> </w:t>
            </w:r>
          </w:p>
        </w:tc>
        <w:tc>
          <w:tcPr>
            <w:tcW w:w="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422</w:t>
            </w:r>
          </w:p>
        </w:tc>
        <w:tc>
          <w:tcPr>
            <w:tcW w:w="228"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w:t>
            </w:r>
          </w:p>
        </w:tc>
        <w:tc>
          <w:tcPr>
            <w:tcW w:w="167" w:type="dxa"/>
            <w:tcBorders/>
            <w:shd w:fill="CCEEFF" w:val="clear"/>
            <w:vAlign w:val="bottom"/>
          </w:tcPr>
          <w:p>
            <w:pPr>
              <w:pStyle w:val="TableContents"/>
              <w:spacing w:before="0" w:after="0"/>
              <w:ind w:left="0" w:right="0" w:hanging="0"/>
              <w:rPr/>
            </w:pPr>
            <w:r>
              <w:rPr/>
              <w:t> </w:t>
            </w:r>
          </w:p>
        </w:tc>
      </w:tr>
      <w:tr>
        <w:trPr/>
        <w:tc>
          <w:tcPr>
            <w:tcW w:w="4255"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655"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pPr>
            <w:r>
              <w:rPr/>
              <w:t> </w:t>
            </w:r>
          </w:p>
        </w:tc>
        <w:tc>
          <w:tcPr>
            <w:tcW w:w="167" w:type="dxa"/>
            <w:tcBorders/>
            <w:shd w:fill="auto" w:val="clear"/>
            <w:vAlign w:val="bottom"/>
          </w:tcPr>
          <w:p>
            <w:pPr>
              <w:pStyle w:val="TableContents"/>
              <w:spacing w:before="0" w:after="0"/>
              <w:ind w:left="0" w:right="0" w:hanging="0"/>
              <w:rPr/>
            </w:pPr>
            <w:r>
              <w:rPr/>
              <w:t> </w:t>
            </w:r>
          </w:p>
        </w:tc>
      </w:tr>
      <w:tr>
        <w:trPr/>
        <w:tc>
          <w:tcPr>
            <w:tcW w:w="425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FIXED CHARGES (1)</w:t>
            </w:r>
          </w:p>
        </w:tc>
        <w:tc>
          <w:tcPr>
            <w:tcW w:w="194"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655"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pPr>
            <w:r>
              <w:rPr/>
              <w:t> </w:t>
            </w:r>
          </w:p>
        </w:tc>
        <w:tc>
          <w:tcPr>
            <w:tcW w:w="167" w:type="dxa"/>
            <w:tcBorders/>
            <w:shd w:fill="CCEEFF" w:val="clear"/>
            <w:vAlign w:val="bottom"/>
          </w:tcPr>
          <w:p>
            <w:pPr>
              <w:pStyle w:val="TableContents"/>
              <w:spacing w:before="0" w:after="0"/>
              <w:ind w:left="0" w:right="0" w:hanging="0"/>
              <w:rPr/>
            </w:pPr>
            <w:r>
              <w:rPr/>
              <w:t> </w:t>
            </w:r>
          </w:p>
        </w:tc>
      </w:tr>
      <w:tr>
        <w:trPr/>
        <w:tc>
          <w:tcPr>
            <w:tcW w:w="42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expensed and capitalized (2)</w:t>
            </w:r>
          </w:p>
        </w:tc>
        <w:tc>
          <w:tcPr>
            <w:tcW w:w="194" w:type="dxa"/>
            <w:tcBorders/>
            <w:shd w:fill="auto" w:val="clear"/>
            <w:vAlign w:val="bottom"/>
          </w:tcPr>
          <w:p>
            <w:pPr>
              <w:pStyle w:val="TableContents"/>
              <w:spacing w:before="0" w:after="0"/>
              <w:ind w:left="0" w:right="0" w:hanging="0"/>
              <w:rPr/>
            </w:pPr>
            <w:r>
              <w:rPr/>
              <w:t> </w:t>
            </w:r>
          </w:p>
        </w:tc>
        <w:tc>
          <w:tcPr>
            <w:tcW w:w="2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28"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28"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28"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228" w:type="dxa"/>
            <w:tcBorders/>
            <w:shd w:fill="auto" w:val="clear"/>
            <w:vAlign w:val="bottom"/>
          </w:tcPr>
          <w:p>
            <w:pPr>
              <w:pStyle w:val="TableContents"/>
              <w:spacing w:before="0" w:after="0"/>
              <w:ind w:left="0" w:right="0" w:hanging="0"/>
              <w:rPr/>
            </w:pPr>
            <w:r>
              <w:rPr/>
              <w:t> </w:t>
            </w:r>
          </w:p>
        </w:tc>
        <w:tc>
          <w:tcPr>
            <w:tcW w:w="1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28"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167" w:type="dxa"/>
            <w:tcBorders/>
            <w:shd w:fill="auto" w:val="clear"/>
            <w:vAlign w:val="bottom"/>
          </w:tcPr>
          <w:p>
            <w:pPr>
              <w:pStyle w:val="TableContents"/>
              <w:spacing w:before="0" w:after="0"/>
              <w:ind w:left="0" w:right="0" w:hanging="0"/>
              <w:rPr/>
            </w:pPr>
            <w:r>
              <w:rPr/>
              <w:t> </w:t>
            </w:r>
          </w:p>
        </w:tc>
      </w:tr>
      <w:tr>
        <w:trPr/>
        <w:tc>
          <w:tcPr>
            <w:tcW w:w="42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Amortization of debt expense</w:t>
            </w:r>
          </w:p>
        </w:tc>
        <w:tc>
          <w:tcPr>
            <w:tcW w:w="194"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8"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8"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8"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8" w:type="dxa"/>
            <w:tcBorders/>
            <w:shd w:fill="CCEEFF" w:val="clear"/>
            <w:vAlign w:val="bottom"/>
          </w:tcPr>
          <w:p>
            <w:pPr>
              <w:pStyle w:val="TableContents"/>
              <w:spacing w:before="0" w:after="0"/>
              <w:ind w:left="0" w:right="0" w:hanging="0"/>
              <w:rPr/>
            </w:pPr>
            <w:r>
              <w:rPr/>
              <w:t> </w:t>
            </w:r>
          </w:p>
        </w:tc>
        <w:tc>
          <w:tcPr>
            <w:tcW w:w="6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8" w:type="dxa"/>
            <w:tcBorders/>
            <w:shd w:fill="CCEEFF" w:val="clear"/>
            <w:vAlign w:val="bottom"/>
          </w:tcPr>
          <w:p>
            <w:pPr>
              <w:pStyle w:val="TableContents"/>
              <w:spacing w:before="0" w:after="0"/>
              <w:ind w:left="0" w:right="0" w:hanging="0"/>
              <w:rPr/>
            </w:pPr>
            <w:r>
              <w:rPr/>
              <w:t> </w:t>
            </w:r>
          </w:p>
        </w:tc>
        <w:tc>
          <w:tcPr>
            <w:tcW w:w="6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67" w:type="dxa"/>
            <w:tcBorders/>
            <w:shd w:fill="CCEEFF" w:val="clear"/>
            <w:vAlign w:val="bottom"/>
          </w:tcPr>
          <w:p>
            <w:pPr>
              <w:pStyle w:val="TableContents"/>
              <w:spacing w:before="0" w:after="0"/>
              <w:ind w:left="0" w:right="0" w:hanging="0"/>
              <w:rPr/>
            </w:pPr>
            <w:r>
              <w:rPr/>
              <w:t> </w:t>
            </w:r>
          </w:p>
        </w:tc>
      </w:tr>
      <w:tr>
        <w:trPr/>
        <w:tc>
          <w:tcPr>
            <w:tcW w:w="42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Portion of rent expense related to interest (33.33%)</w:t>
            </w:r>
          </w:p>
        </w:tc>
        <w:tc>
          <w:tcPr>
            <w:tcW w:w="194" w:type="dxa"/>
            <w:tcBorders/>
            <w:shd w:fill="auto"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8" w:type="dxa"/>
            <w:tcBorders/>
            <w:shd w:fill="auto" w:val="clear"/>
            <w:vAlign w:val="bottom"/>
          </w:tcPr>
          <w:p>
            <w:pPr>
              <w:pStyle w:val="TableContents"/>
              <w:spacing w:before="0" w:after="0"/>
              <w:ind w:left="0" w:right="0" w:hanging="0"/>
              <w:rPr/>
            </w:pPr>
            <w:r>
              <w:rPr/>
              <w:t> </w:t>
            </w:r>
          </w:p>
        </w:tc>
        <w:tc>
          <w:tcPr>
            <w:tcW w:w="6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28" w:type="dxa"/>
            <w:tcBorders/>
            <w:shd w:fill="auto" w:val="clear"/>
            <w:vAlign w:val="bottom"/>
          </w:tcPr>
          <w:p>
            <w:pPr>
              <w:pStyle w:val="TableContents"/>
              <w:spacing w:before="0" w:after="0"/>
              <w:ind w:left="0" w:right="0" w:hanging="0"/>
              <w:rPr/>
            </w:pPr>
            <w:r>
              <w:rPr/>
              <w:t> </w:t>
            </w:r>
          </w:p>
        </w:tc>
        <w:tc>
          <w:tcPr>
            <w:tcW w:w="6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28" w:type="dxa"/>
            <w:tcBorders/>
            <w:shd w:fill="auto" w:val="clear"/>
            <w:vAlign w:val="bottom"/>
          </w:tcPr>
          <w:p>
            <w:pPr>
              <w:pStyle w:val="TableContents"/>
              <w:spacing w:before="0" w:after="0"/>
              <w:ind w:left="0" w:right="0" w:hanging="0"/>
              <w:rPr/>
            </w:pPr>
            <w:r>
              <w:rPr/>
              <w:t> </w:t>
            </w:r>
          </w:p>
        </w:tc>
        <w:tc>
          <w:tcPr>
            <w:tcW w:w="6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8" w:type="dxa"/>
            <w:tcBorders/>
            <w:shd w:fill="auto" w:val="clear"/>
            <w:vAlign w:val="bottom"/>
          </w:tcPr>
          <w:p>
            <w:pPr>
              <w:pStyle w:val="TableContents"/>
              <w:spacing w:before="0" w:after="0"/>
              <w:ind w:left="0" w:right="0" w:hanging="0"/>
              <w:rPr/>
            </w:pPr>
            <w:r>
              <w:rPr/>
              <w:t> </w:t>
            </w:r>
          </w:p>
        </w:tc>
        <w:tc>
          <w:tcPr>
            <w:tcW w:w="6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8" w:type="dxa"/>
            <w:tcBorders/>
            <w:shd w:fill="auto" w:val="clear"/>
            <w:vAlign w:val="bottom"/>
          </w:tcPr>
          <w:p>
            <w:pPr>
              <w:pStyle w:val="TableContents"/>
              <w:spacing w:before="0" w:after="0"/>
              <w:ind w:left="0" w:right="0" w:hanging="0"/>
              <w:rPr/>
            </w:pPr>
            <w:r>
              <w:rPr/>
              <w:t> </w:t>
            </w:r>
          </w:p>
        </w:tc>
        <w:tc>
          <w:tcPr>
            <w:tcW w:w="6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67" w:type="dxa"/>
            <w:tcBorders/>
            <w:shd w:fill="auto" w:val="clear"/>
            <w:vAlign w:val="bottom"/>
          </w:tcPr>
          <w:p>
            <w:pPr>
              <w:pStyle w:val="TableContents"/>
              <w:spacing w:before="0" w:after="0"/>
              <w:ind w:left="0" w:right="0" w:hanging="0"/>
              <w:rPr/>
            </w:pPr>
            <w:r>
              <w:rPr/>
              <w:t> </w:t>
            </w:r>
          </w:p>
        </w:tc>
      </w:tr>
      <w:tr>
        <w:trPr/>
        <w:tc>
          <w:tcPr>
            <w:tcW w:w="42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Fixed Charges</w:t>
            </w:r>
          </w:p>
        </w:tc>
        <w:tc>
          <w:tcPr>
            <w:tcW w:w="194" w:type="dxa"/>
            <w:tcBorders/>
            <w:shd w:fill="CCEEFF" w:val="clear"/>
            <w:vAlign w:val="bottom"/>
          </w:tcPr>
          <w:p>
            <w:pPr>
              <w:pStyle w:val="TableContents"/>
              <w:spacing w:before="0" w:after="0"/>
              <w:ind w:left="0" w:right="0" w:hanging="0"/>
              <w:rPr/>
            </w:pPr>
            <w:r>
              <w:rPr/>
              <w:t> </w:t>
            </w:r>
          </w:p>
        </w:tc>
        <w:tc>
          <w:tcPr>
            <w:tcW w:w="2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28"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28"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28"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28" w:type="dxa"/>
            <w:tcBorders/>
            <w:shd w:fill="CCEEFF" w:val="clear"/>
            <w:vAlign w:val="bottom"/>
          </w:tcPr>
          <w:p>
            <w:pPr>
              <w:pStyle w:val="TableContents"/>
              <w:spacing w:before="0" w:after="0"/>
              <w:ind w:left="0" w:right="0" w:hanging="0"/>
              <w:rPr/>
            </w:pPr>
            <w:r>
              <w:rPr/>
              <w:t> </w:t>
            </w:r>
          </w:p>
        </w:tc>
        <w:tc>
          <w:tcPr>
            <w:tcW w:w="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28"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67" w:type="dxa"/>
            <w:tcBorders/>
            <w:shd w:fill="CCEEFF" w:val="clear"/>
            <w:vAlign w:val="bottom"/>
          </w:tcPr>
          <w:p>
            <w:pPr>
              <w:pStyle w:val="TableContents"/>
              <w:spacing w:before="0" w:after="0"/>
              <w:ind w:left="0" w:right="0" w:hanging="0"/>
              <w:rPr/>
            </w:pPr>
            <w:r>
              <w:rPr/>
              <w:t> </w:t>
            </w:r>
          </w:p>
        </w:tc>
      </w:tr>
      <w:tr>
        <w:trPr/>
        <w:tc>
          <w:tcPr>
            <w:tcW w:w="4255"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655"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pPr>
            <w:r>
              <w:rPr/>
              <w:t> </w:t>
            </w:r>
          </w:p>
        </w:tc>
        <w:tc>
          <w:tcPr>
            <w:tcW w:w="167" w:type="dxa"/>
            <w:tcBorders/>
            <w:shd w:fill="auto" w:val="clear"/>
            <w:vAlign w:val="bottom"/>
          </w:tcPr>
          <w:p>
            <w:pPr>
              <w:pStyle w:val="TableContents"/>
              <w:spacing w:before="0" w:after="0"/>
              <w:ind w:left="0" w:right="0" w:hanging="0"/>
              <w:rPr/>
            </w:pPr>
            <w:r>
              <w:rPr/>
              <w:t> </w:t>
            </w:r>
          </w:p>
        </w:tc>
      </w:tr>
      <w:tr>
        <w:trPr/>
        <w:tc>
          <w:tcPr>
            <w:tcW w:w="425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RATIO OF EARNINGS TO FIXED CHARGES (3)</w:t>
            </w:r>
          </w:p>
        </w:tc>
        <w:tc>
          <w:tcPr>
            <w:tcW w:w="194"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6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6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6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6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6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w:t>
            </w:r>
          </w:p>
        </w:tc>
        <w:tc>
          <w:tcPr>
            <w:tcW w:w="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operating leases deemed to be the equivalent of interest.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Includes interest costs attributable to borrowings for inventory stored in a contango market of $3 million for the three months ended March 31, 2010 and $11 million, $21 million, $44 million, $49 million and $24 million for each of the years ended December 31, 2009, 2008, 2007, 2006, and 2005,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Ratios may not recalculate due to rounding.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p>
    <w:p>
      <w:pPr>
        <w:pStyle w:val="HorizontalLine"/>
        <w:pBdr>
          <w:bottom w:val="single" w:sz="18" w:space="0" w:color="010101"/>
        </w:pBdr>
        <w:spacing w:before="0" w:after="0"/>
        <w:rPr/>
      </w:pPr>
      <w:r>
        <w:rPr/>
      </w:r>
    </w:p>
    <w:p>
      <w:pPr>
        <w:pStyle w:val="TextBody"/>
        <w:spacing w:before="0" w:after="0"/>
        <w:ind w:left="0" w:right="0" w:hanging="0"/>
        <w:jc w:val="center"/>
        <w:rPr/>
      </w:pPr>
      <w:r>
        <w:rPr/>
        <w:t> </w:t>
      </w:r>
      <w:r>
        <w:br w:type="page"/>
      </w:r>
    </w:p>
    <w:p>
      <w:pPr>
        <w:pStyle w:val="TextBody"/>
        <w:spacing w:before="0" w:after="0"/>
        <w:ind w:left="0" w:right="0" w:hanging="0"/>
        <w:jc w:val="right"/>
        <w:rPr>
          <w:rFonts w:ascii="Times New Roman" w:hAnsi="Times New Roman"/>
          <w:b/>
          <w:sz w:val="17"/>
        </w:rPr>
      </w:pPr>
      <w:bookmarkStart w:id="89" w:name="a10-5749_1ex31d1.htm"/>
      <w:bookmarkStart w:id="90" w:name="ksa105749_1ex31d1"/>
      <w:bookmarkEnd w:id="89"/>
      <w:bookmarkEnd w:id="90"/>
      <w:r>
        <w:rPr>
          <w:rFonts w:ascii="Times New Roman" w:hAnsi="Times New Roman"/>
          <w:b/>
          <w:sz w:val="17"/>
        </w:rPr>
        <w:t>EXHIBIT 31.1</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 PRINCIPAL EXECUTIVE OFFICER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Greg L. Armstrong,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I have reviewed this quarterly report on Form 10-Q of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May 7, 2010</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8"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i/>
                <w:sz w:val="17"/>
              </w:rPr>
            </w:pPr>
            <w:r>
              <w:rPr>
                <w:rFonts w:ascii="Times New Roman" w:hAnsi="Times New Roman"/>
                <w:i/>
                <w:sz w:val="17"/>
              </w:rPr>
              <w:t>Chief Executive Officer</w:t>
            </w:r>
          </w:p>
        </w:tc>
        <w:tc>
          <w:tcPr>
            <w:tcW w:w="5103"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1" w:name="a10-5749_1ex31d2.htm"/>
      <w:bookmarkStart w:id="92" w:name="ksa105749_1ex31d2"/>
      <w:bookmarkEnd w:id="91"/>
      <w:bookmarkEnd w:id="92"/>
      <w:r>
        <w:rPr>
          <w:rFonts w:ascii="Times New Roman" w:hAnsi="Times New Roman"/>
          <w:b/>
          <w:sz w:val="17"/>
        </w:rPr>
        <w:t>EXHIBIT 31.2</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 PRINCIPAL FINANCIAL OFFICER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Al Swanson,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I have reviewed this quarterly report on Form 10-Q of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May 7, 2010</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8"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i/>
                <w:sz w:val="17"/>
              </w:rPr>
            </w:pPr>
            <w:r>
              <w:rPr>
                <w:rFonts w:ascii="Times New Roman" w:hAnsi="Times New Roman"/>
                <w:i/>
                <w:sz w:val="17"/>
              </w:rPr>
              <w:t>Chief Financial Officer</w:t>
            </w:r>
          </w:p>
        </w:tc>
        <w:tc>
          <w:tcPr>
            <w:tcW w:w="5103"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3" w:name="a10-5749_1ex32d1.htm"/>
      <w:bookmarkStart w:id="94" w:name="ksa105749_1ex32d1"/>
      <w:bookmarkEnd w:id="93"/>
      <w:bookmarkEnd w:id="94"/>
      <w:r>
        <w:rPr>
          <w:rFonts w:ascii="Times New Roman" w:hAnsi="Times New Roman"/>
          <w:b/>
          <w:sz w:val="17"/>
        </w:rPr>
        <w:t>EXHIBIT 32.1</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w:t>
      </w:r>
    </w:p>
    <w:p>
      <w:pPr>
        <w:pStyle w:val="TextBody"/>
        <w:spacing w:before="0" w:after="0"/>
        <w:ind w:left="0" w:right="0" w:hanging="0"/>
        <w:jc w:val="center"/>
        <w:rPr>
          <w:rFonts w:ascii="Times New Roman" w:hAnsi="Times New Roman"/>
          <w:b/>
          <w:sz w:val="17"/>
        </w:rPr>
      </w:pPr>
      <w:r>
        <w:rPr>
          <w:rFonts w:ascii="Times New Roman" w:hAnsi="Times New Roman"/>
          <w:b/>
          <w:sz w:val="17"/>
        </w:rPr>
        <w:t>PRINCIPAL EXECUTIVE OFFICER</w:t>
      </w:r>
    </w:p>
    <w:p>
      <w:pPr>
        <w:pStyle w:val="TextBody"/>
        <w:spacing w:before="0" w:after="0"/>
        <w:ind w:left="0" w:right="0" w:hanging="0"/>
        <w:jc w:val="center"/>
        <w:rPr>
          <w:rFonts w:ascii="Times New Roman" w:hAnsi="Times New Roman"/>
          <w:b/>
          <w:sz w:val="17"/>
        </w:rPr>
      </w:pPr>
      <w:r>
        <w:rPr>
          <w:rFonts w:ascii="Times New Roman" w:hAnsi="Times New Roman"/>
          <w:b/>
          <w:sz w:val="17"/>
        </w:rPr>
        <w:t>OF 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18 U.S.C. 1350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Greg L. Armstrong, Chief Executive Officer of Plains All American Pipeline, L.P. (the Company), hereby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accompanying report on Form 10-Q for the period ended March 31, 2010 and filed with the Securities and Exchange Commission on the date hereof (the Report) by the Company fully complies with the requirements of Section 13(a) or 15(d) of the Securities Exchange Act of 1934 (15 U.S.C. 78m(a) or 78o(d));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the information contained in the Report fairly presents, in all material respects, the financial condition and results of operations of the Company.</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Greg L. Armstrong</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May 7, 2010</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5" w:name="a10-5749_1ex32d2.htm"/>
      <w:bookmarkStart w:id="96" w:name="ksa105749_1ex32d2"/>
      <w:bookmarkEnd w:id="95"/>
      <w:bookmarkEnd w:id="96"/>
      <w:r>
        <w:rPr>
          <w:rFonts w:ascii="Times New Roman" w:hAnsi="Times New Roman"/>
          <w:b/>
          <w:sz w:val="17"/>
        </w:rPr>
        <w:t>EXHIBIT 32.2</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w:t>
      </w:r>
    </w:p>
    <w:p>
      <w:pPr>
        <w:pStyle w:val="TextBody"/>
        <w:spacing w:before="0" w:after="0"/>
        <w:ind w:left="0" w:right="0" w:hanging="0"/>
        <w:jc w:val="center"/>
        <w:rPr>
          <w:rFonts w:ascii="Times New Roman" w:hAnsi="Times New Roman"/>
          <w:b/>
          <w:sz w:val="17"/>
        </w:rPr>
      </w:pPr>
      <w:r>
        <w:rPr>
          <w:rFonts w:ascii="Times New Roman" w:hAnsi="Times New Roman"/>
          <w:b/>
          <w:sz w:val="17"/>
        </w:rPr>
        <w:t>PRINCIPAL FINANCIAL OFFICER</w:t>
      </w:r>
    </w:p>
    <w:p>
      <w:pPr>
        <w:pStyle w:val="TextBody"/>
        <w:spacing w:before="0" w:after="0"/>
        <w:ind w:left="0" w:right="0" w:hanging="0"/>
        <w:jc w:val="center"/>
        <w:rPr>
          <w:rFonts w:ascii="Times New Roman" w:hAnsi="Times New Roman"/>
          <w:b/>
          <w:sz w:val="17"/>
        </w:rPr>
      </w:pPr>
      <w:r>
        <w:rPr>
          <w:rFonts w:ascii="Times New Roman" w:hAnsi="Times New Roman"/>
          <w:b/>
          <w:sz w:val="17"/>
        </w:rPr>
        <w:t>OF 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18 U.S.C. 1350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Al Swanson, Chief Financial Officer of Plains All American Pipeline, L.P. (the Company), hereby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accompanying report on Form 10-Q for the period ended March 31, 2010 and filed with the Securities and Exchange Commission on the date hereof (the Report) by the Company fully complies with the requirements of Section 13(a) or 15(d) of the Securities Exchange Act of 1934 (15 U.S.C. 78m(a) or 78o(d));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the information contained in the Report fairly presents, in all material respects, the financial condition and results of operations of the Company.</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3"/>
        <w:gridCol w:w="5052"/>
      </w:tblGrid>
      <w:tr>
        <w:trPr/>
        <w:tc>
          <w:tcPr>
            <w:tcW w:w="5153" w:type="dxa"/>
            <w:tcBorders/>
            <w:shd w:fill="auto" w:val="clear"/>
          </w:tcPr>
          <w:p>
            <w:pPr>
              <w:pStyle w:val="TableContents"/>
              <w:spacing w:before="0" w:after="0"/>
              <w:ind w:left="0" w:right="0" w:hanging="0"/>
              <w:rPr/>
            </w:pPr>
            <w:r>
              <w:rPr/>
              <w:t> </w:t>
            </w:r>
          </w:p>
        </w:tc>
        <w:tc>
          <w:tcPr>
            <w:tcW w:w="5052"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r>
      <w:tr>
        <w:trPr/>
        <w:tc>
          <w:tcPr>
            <w:tcW w:w="5153" w:type="dxa"/>
            <w:tcBorders/>
            <w:shd w:fill="auto" w:val="clear"/>
          </w:tcPr>
          <w:p>
            <w:pPr>
              <w:pStyle w:val="TableContents"/>
              <w:spacing w:before="0" w:after="0"/>
              <w:ind w:left="0" w:right="0" w:hanging="0"/>
              <w:rPr/>
            </w:pPr>
            <w:r>
              <w:rPr/>
              <w:t> </w:t>
            </w:r>
          </w:p>
        </w:tc>
        <w:tc>
          <w:tcPr>
            <w:tcW w:w="50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Al Swanson</w:t>
            </w:r>
          </w:p>
        </w:tc>
      </w:tr>
      <w:tr>
        <w:trPr/>
        <w:tc>
          <w:tcPr>
            <w:tcW w:w="5153" w:type="dxa"/>
            <w:tcBorders/>
            <w:shd w:fill="auto" w:val="clear"/>
          </w:tcPr>
          <w:p>
            <w:pPr>
              <w:pStyle w:val="TableContents"/>
              <w:spacing w:before="0" w:after="0"/>
              <w:ind w:left="0" w:right="0" w:hanging="0"/>
              <w:rPr/>
            </w:pPr>
            <w:r>
              <w:rPr/>
              <w:t> </w:t>
            </w:r>
          </w:p>
        </w:tc>
        <w:tc>
          <w:tcPr>
            <w:tcW w:w="50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May 7, 2010</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55</Pages>
  <Words>26380</Words>
  <CharactersWithSpaces>166463</CharactersWithSpaces>
  <Paragraphs>8899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