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June 27,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Plains All American Pipeline, L.P.</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1-14569</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76-0582150</w:t>
      </w:r>
    </w:p>
    <w:p>
      <w:pPr>
        <w:spacing w:after="0" w:line="46" w:lineRule="exact"/>
        <w:rPr>
          <w:sz w:val="24"/>
          <w:szCs w:val="24"/>
          <w:color w:val="auto"/>
        </w:rPr>
      </w:pPr>
    </w:p>
    <w:p>
      <w:pPr>
        <w:sectPr>
          <w:pgSz w:w="11900" w:h="16838" w:orient="portrait"/>
          <w:cols w:equalWidth="0" w:num="3">
            <w:col w:w="4820" w:space="720"/>
            <w:col w:w="292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5"/>
          <w:szCs w:val="15"/>
          <w:b w:val="1"/>
          <w:bCs w:val="1"/>
          <w:color w:val="auto"/>
        </w:rPr>
        <w:t>Registrant’s telephone number, including area code: 713-646-4100</w:t>
      </w:r>
    </w:p>
    <w:p>
      <w:pPr>
        <w:spacing w:after="0" w:line="207"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4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Senior Secured Hedged Inventory Facility</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June 27, 2012, Plains Marketing, L.P. (“PMLP”), a wholly-owned subsidiary of Plains All American Pipeline, L.P. (the “Partnership”), entered into the First Amendment to the Third Amended and Restated Credit Agreement (the “Amendment”) among PMLP and Plains Midstream Canada ULC (“PMC”), as Borrowers; the Partnership, as Guarantor; Bank of America, N.A., as Administrative Agent, Swing Line Lender and L/C Issuer; and the other Lenders and L/C Issuers party thereto. Terms used but not defined herein have the meanings assigned to them in the Amendment, which is attached hereto as Exhibit 10.1, and in the Third Amended and Restated Credit Agreement dated August 19, 2011, a copy of which was attached as Exhibit 10.2 to the Partnership’s Form 8-K filed on August 25, 2011 (the “Original Credit Agreement” and, as amended by the Amendment, the “Amended Hedged Inventory Facility”).</w:t>
      </w:r>
    </w:p>
    <w:p>
      <w:pPr>
        <w:spacing w:after="0" w:line="120" w:lineRule="exact"/>
        <w:rPr>
          <w:sz w:val="20"/>
          <w:szCs w:val="20"/>
          <w:color w:val="auto"/>
        </w:rPr>
      </w:pPr>
    </w:p>
    <w:p>
      <w:pPr>
        <w:ind w:right="140" w:firstLine="456"/>
        <w:spacing w:after="0" w:line="283" w:lineRule="auto"/>
        <w:rPr>
          <w:sz w:val="20"/>
          <w:szCs w:val="20"/>
          <w:color w:val="auto"/>
        </w:rPr>
      </w:pPr>
      <w:r>
        <w:rPr>
          <w:rFonts w:ascii="Arial" w:cs="Arial" w:eastAsia="Arial" w:hAnsi="Arial"/>
          <w:sz w:val="16"/>
          <w:szCs w:val="16"/>
          <w:color w:val="auto"/>
        </w:rPr>
        <w:t>Pursuant to the Amendment, (i) PMC was added as a Borrower, (ii) the committed borrowing capacity was increased from $850 million to $1.4 billion, of which $400 million (an increase from $250 million under the Original Credit Agreement) is available for the issuance of Letters of Credit, and (iii) borrowings and Letters of Credit will be available in U.S. Dollars and Canadian Dollars and provision was made for the availability of Canadian bankers acceptances. The Amendment also extends the existing Maturity Date from August 19, 2013 to August 19, 2014 and provides for one or more one-year extensions subject to applicable lender approval and other terms and conditions set forth in the Amendment. The committed amount may be increased at the option of PMLP to</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$1.9 billion, subject to, among other terms and conditions, obtaining additional or increased lender commitments. Credit extensions to each Borrower will be used to finance, and will be secured by, its purchased or stored hedged inventory. Payment Obligations of the Borrowers under the Amended Hedged Inventory Facility will continue to be guaranteed by the Partnership.</w:t>
      </w:r>
    </w:p>
    <w:p>
      <w:pPr>
        <w:spacing w:after="0" w:line="144"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The provisions of the Original Credit Agreement providing for the calculation and payment of interest or fees and regarding covenants, including the financial covenants, events of default and lender remedies were substantially unchanged by the Amendment, as were the terms providing for the issuance of Letters of Credit.</w:t>
      </w:r>
    </w:p>
    <w:p>
      <w:pPr>
        <w:spacing w:after="0" w:line="140"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above description of the Amendment is qualified in its entirety by the terms of the Amendment, which is attached hereto as Exhibit 10.1 and incorporated herein by reference.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Senior Unsecured Revolving Credit Facility</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June 27, 2012, the Partnership entered into the First Amendment to Credit Agreement among the Partnership and PMC, as Borrowers, Bank of America, N.A., as Administrative Agent, Swing Line Lender and an L/C Issuer, Wells Fargo Bank, National Association, as an L/C Issuer, and the other Lenders party thereto (the “Credit Agreement Amendment”). Pursuant to the Credit Agreement Amendment, PMC is permitted to participate as a borrower under the Amended Hedged Inventory Facility described above. The Credit Agreement Amendment also modifies the definitions of Base Rate, Eurocurrency Rate and Letters of Credit in order to conform to the definitions included in the Amended Hedged Inventory Facility.</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above description of the Credit Agreement Amendment is qualified in its entirely by the terms of the Credit Agreement Amendment, which is attached hereto as Exhibit 10.2 and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disclosure set forth above in Item 1.01 is incorporated by reference herein.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accordance with General Instruction B.2 of Form 8-K, the information presented under this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July 2, 2012, the Partnership issued a press release announcing the amendments to the credit facilities described above. A copy of the press release is furnished as Exhibit 99.1 hereto.</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 Exhibits</w:t>
      </w:r>
    </w:p>
    <w:p>
      <w:pPr>
        <w:spacing w:after="0" w:line="326" w:lineRule="exact"/>
        <w:rPr>
          <w:sz w:val="20"/>
          <w:szCs w:val="20"/>
          <w:color w:val="auto"/>
        </w:rPr>
      </w:pPr>
    </w:p>
    <w:p>
      <w:pPr>
        <w:ind w:left="2000" w:right="60" w:hanging="1174"/>
        <w:spacing w:after="0" w:line="306" w:lineRule="auto"/>
        <w:tabs>
          <w:tab w:leader="none" w:pos="198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6"/>
          <w:szCs w:val="16"/>
          <w:color w:val="auto"/>
        </w:rPr>
        <w:t>First Amendment to Third Amended and Restated Credit Agreement dated as of June 27, 2012, among Plains Marketing, L.P. and Plains Midstream Canada ULC, as Borrowers; Plains All American Pipeline, L.P., as Guarantor; Bank of America, N.A., as Administrative Agent, Swing Line Lender and L/C Issuer; and the other Lenders and L/C Issuers party thereto.</w:t>
      </w:r>
    </w:p>
    <w:p>
      <w:pPr>
        <w:spacing w:after="0" w:line="53" w:lineRule="exact"/>
        <w:rPr>
          <w:sz w:val="20"/>
          <w:szCs w:val="20"/>
          <w:color w:val="auto"/>
        </w:rPr>
      </w:pPr>
    </w:p>
    <w:p>
      <w:pPr>
        <w:jc w:val="both"/>
        <w:ind w:left="2000" w:right="40" w:hanging="1174"/>
        <w:spacing w:after="0" w:line="259" w:lineRule="auto"/>
        <w:tabs>
          <w:tab w:leader="none" w:pos="1980" w:val="left"/>
        </w:tabs>
        <w:rPr>
          <w:sz w:val="20"/>
          <w:szCs w:val="20"/>
          <w:color w:val="auto"/>
        </w:rPr>
      </w:pPr>
      <w:r>
        <w:rPr>
          <w:rFonts w:ascii="Arial" w:cs="Arial" w:eastAsia="Arial" w:hAnsi="Arial"/>
          <w:sz w:val="18"/>
          <w:szCs w:val="18"/>
          <w:color w:val="auto"/>
        </w:rPr>
        <w:t>Exhibit 10.2</w:t>
      </w:r>
      <w:r>
        <w:rPr>
          <w:sz w:val="20"/>
          <w:szCs w:val="20"/>
          <w:color w:val="auto"/>
        </w:rPr>
        <w:tab/>
      </w:r>
      <w:r>
        <w:rPr>
          <w:rFonts w:ascii="Arial" w:cs="Arial" w:eastAsia="Arial" w:hAnsi="Arial"/>
          <w:sz w:val="18"/>
          <w:szCs w:val="18"/>
          <w:color w:val="auto"/>
        </w:rPr>
        <w:t>First Amendment to Credit Agreement dated as of June 27, 2012, among Plains All American Pipeline, L.P. and Plains Midstream Canada ULC, as Borrowers; Bank of America, N.A., as Administrative Agent, Swing Line Lender and an L/C Issuer; Wells Fargo Bank, National Association, as an L/C Issuer; and the other Lenders party thereto.</w:t>
      </w:r>
    </w:p>
    <w:p>
      <w:pPr>
        <w:spacing w:after="0" w:line="86" w:lineRule="exact"/>
        <w:rPr>
          <w:sz w:val="20"/>
          <w:szCs w:val="20"/>
          <w:color w:val="auto"/>
        </w:rPr>
      </w:pPr>
    </w:p>
    <w:p>
      <w:pPr>
        <w:ind w:left="820"/>
        <w:spacing w:after="0"/>
        <w:tabs>
          <w:tab w:leader="none" w:pos="19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July 2, 2012.</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240" w:top="274"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60" w:type="dxa"/>
            <w:vAlign w:val="bottom"/>
          </w:tcPr>
          <w:p>
            <w:pPr>
              <w:spacing w:after="0"/>
              <w:rPr>
                <w:sz w:val="19"/>
                <w:szCs w:val="19"/>
                <w:color w:val="auto"/>
              </w:rPr>
            </w:pPr>
          </w:p>
        </w:tc>
        <w:tc>
          <w:tcPr>
            <w:tcW w:w="7960" w:type="dxa"/>
            <w:vAlign w:val="bottom"/>
            <w:gridSpan w:val="2"/>
          </w:tcPr>
          <w:p>
            <w:pPr>
              <w:ind w:left="2240"/>
              <w:spacing w:after="0"/>
              <w:rPr>
                <w:sz w:val="20"/>
                <w:szCs w:val="20"/>
                <w:color w:val="auto"/>
              </w:rPr>
            </w:pPr>
            <w:r>
              <w:rPr>
                <w:rFonts w:ascii="Arial" w:cs="Arial" w:eastAsia="Arial" w:hAnsi="Arial"/>
                <w:sz w:val="18"/>
                <w:szCs w:val="18"/>
                <w:color w:val="auto"/>
              </w:rPr>
              <w:t>PLAINS ALL AMERICAN PIPELINE, L.P.</w:t>
            </w:r>
          </w:p>
        </w:tc>
      </w:tr>
      <w:tr>
        <w:trPr>
          <w:trHeight w:val="426"/>
        </w:trPr>
        <w:tc>
          <w:tcPr>
            <w:tcW w:w="3460" w:type="dxa"/>
            <w:vAlign w:val="bottom"/>
          </w:tcPr>
          <w:p>
            <w:pPr>
              <w:spacing w:after="0"/>
              <w:rPr>
                <w:sz w:val="20"/>
                <w:szCs w:val="20"/>
                <w:color w:val="auto"/>
              </w:rPr>
            </w:pPr>
            <w:r>
              <w:rPr>
                <w:rFonts w:ascii="Arial" w:cs="Arial" w:eastAsia="Arial" w:hAnsi="Arial"/>
                <w:sz w:val="18"/>
                <w:szCs w:val="18"/>
                <w:color w:val="auto"/>
              </w:rPr>
              <w:t>Date: July 3, 2012</w:t>
            </w:r>
          </w:p>
        </w:tc>
        <w:tc>
          <w:tcPr>
            <w:tcW w:w="7960" w:type="dxa"/>
            <w:vAlign w:val="bottom"/>
            <w:gridSpan w:val="2"/>
          </w:tcPr>
          <w:p>
            <w:pPr>
              <w:ind w:left="2240"/>
              <w:spacing w:after="0"/>
              <w:rPr>
                <w:sz w:val="20"/>
                <w:szCs w:val="20"/>
                <w:color w:val="auto"/>
              </w:rPr>
            </w:pPr>
            <w:r>
              <w:rPr>
                <w:rFonts w:ascii="Arial" w:cs="Arial" w:eastAsia="Arial" w:hAnsi="Arial"/>
                <w:sz w:val="18"/>
                <w:szCs w:val="18"/>
                <w:color w:val="auto"/>
              </w:rPr>
              <w:t>By: PAA GP LLC, its general partner</w:t>
            </w:r>
          </w:p>
        </w:tc>
      </w:tr>
      <w:tr>
        <w:trPr>
          <w:trHeight w:val="216"/>
        </w:trPr>
        <w:tc>
          <w:tcPr>
            <w:tcW w:w="3460" w:type="dxa"/>
            <w:vAlign w:val="bottom"/>
          </w:tcPr>
          <w:p>
            <w:pPr>
              <w:spacing w:after="0"/>
              <w:rPr>
                <w:sz w:val="18"/>
                <w:szCs w:val="18"/>
                <w:color w:val="auto"/>
              </w:rPr>
            </w:pPr>
          </w:p>
        </w:tc>
        <w:tc>
          <w:tcPr>
            <w:tcW w:w="7960" w:type="dxa"/>
            <w:vAlign w:val="bottom"/>
            <w:gridSpan w:val="2"/>
          </w:tcPr>
          <w:p>
            <w:pPr>
              <w:ind w:left="2240"/>
              <w:spacing w:after="0"/>
              <w:rPr>
                <w:sz w:val="20"/>
                <w:szCs w:val="20"/>
                <w:color w:val="auto"/>
              </w:rPr>
            </w:pPr>
            <w:r>
              <w:rPr>
                <w:rFonts w:ascii="Arial" w:cs="Arial" w:eastAsia="Arial" w:hAnsi="Arial"/>
                <w:sz w:val="18"/>
                <w:szCs w:val="18"/>
                <w:color w:val="auto"/>
              </w:rPr>
              <w:t>By: Plains AAP, L.P., its sole member</w:t>
            </w:r>
          </w:p>
        </w:tc>
      </w:tr>
      <w:tr>
        <w:trPr>
          <w:trHeight w:val="222"/>
        </w:trPr>
        <w:tc>
          <w:tcPr>
            <w:tcW w:w="3460" w:type="dxa"/>
            <w:vAlign w:val="bottom"/>
          </w:tcPr>
          <w:p>
            <w:pPr>
              <w:spacing w:after="0"/>
              <w:rPr>
                <w:sz w:val="19"/>
                <w:szCs w:val="19"/>
                <w:color w:val="auto"/>
              </w:rPr>
            </w:pPr>
          </w:p>
        </w:tc>
        <w:tc>
          <w:tcPr>
            <w:tcW w:w="7960" w:type="dxa"/>
            <w:vAlign w:val="bottom"/>
            <w:gridSpan w:val="2"/>
          </w:tcPr>
          <w:p>
            <w:pPr>
              <w:ind w:left="2240"/>
              <w:spacing w:after="0"/>
              <w:rPr>
                <w:sz w:val="20"/>
                <w:szCs w:val="20"/>
                <w:color w:val="auto"/>
              </w:rPr>
            </w:pPr>
            <w:r>
              <w:rPr>
                <w:rFonts w:ascii="Arial" w:cs="Arial" w:eastAsia="Arial" w:hAnsi="Arial"/>
                <w:sz w:val="18"/>
                <w:szCs w:val="18"/>
                <w:color w:val="auto"/>
              </w:rPr>
              <w:t>By: Plains All American GP LLC, its general partner</w:t>
            </w:r>
          </w:p>
        </w:tc>
      </w:tr>
      <w:tr>
        <w:trPr>
          <w:trHeight w:val="433"/>
        </w:trPr>
        <w:tc>
          <w:tcPr>
            <w:tcW w:w="3460" w:type="dxa"/>
            <w:vAlign w:val="bottom"/>
          </w:tcPr>
          <w:p>
            <w:pPr>
              <w:spacing w:after="0"/>
              <w:rPr>
                <w:sz w:val="24"/>
                <w:szCs w:val="24"/>
                <w:color w:val="auto"/>
              </w:rPr>
            </w:pPr>
          </w:p>
        </w:tc>
        <w:tc>
          <w:tcPr>
            <w:tcW w:w="7960" w:type="dxa"/>
            <w:vAlign w:val="bottom"/>
            <w:gridSpan w:val="2"/>
          </w:tcPr>
          <w:p>
            <w:pPr>
              <w:ind w:left="2240"/>
              <w:spacing w:after="0"/>
              <w:rPr>
                <w:sz w:val="20"/>
                <w:szCs w:val="20"/>
                <w:color w:val="auto"/>
              </w:rPr>
            </w:pPr>
            <w:r>
              <w:rPr>
                <w:rFonts w:ascii="Arial" w:cs="Arial" w:eastAsia="Arial" w:hAnsi="Arial"/>
                <w:sz w:val="18"/>
                <w:szCs w:val="18"/>
                <w:color w:val="auto"/>
              </w:rPr>
              <w:t>By: /s/ Richard McGee</w:t>
            </w:r>
          </w:p>
        </w:tc>
      </w:tr>
      <w:tr>
        <w:trPr>
          <w:trHeight w:val="202"/>
        </w:trPr>
        <w:tc>
          <w:tcPr>
            <w:tcW w:w="34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3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Name: Richard McGee</w:t>
            </w:r>
          </w:p>
        </w:tc>
      </w:tr>
      <w:tr>
        <w:trPr>
          <w:trHeight w:val="222"/>
        </w:trPr>
        <w:tc>
          <w:tcPr>
            <w:tcW w:w="34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Title: Vice President</w:t>
            </w:r>
          </w:p>
        </w:tc>
      </w:tr>
      <w:tr>
        <w:trPr>
          <w:trHeight w:val="365"/>
        </w:trPr>
        <w:tc>
          <w:tcPr>
            <w:tcW w:w="3460" w:type="dxa"/>
            <w:vAlign w:val="bottom"/>
          </w:tcPr>
          <w:p>
            <w:pPr>
              <w:spacing w:after="0"/>
              <w:rPr>
                <w:sz w:val="24"/>
                <w:szCs w:val="24"/>
                <w:color w:val="auto"/>
              </w:rPr>
            </w:pPr>
          </w:p>
        </w:tc>
        <w:tc>
          <w:tcPr>
            <w:tcW w:w="2620" w:type="dxa"/>
            <w:vAlign w:val="bottom"/>
          </w:tcPr>
          <w:p>
            <w:pPr>
              <w:ind w:left="2160"/>
              <w:spacing w:after="0"/>
              <w:rPr>
                <w:sz w:val="20"/>
                <w:szCs w:val="20"/>
                <w:color w:val="auto"/>
              </w:rPr>
            </w:pPr>
            <w:r>
              <w:rPr>
                <w:rFonts w:ascii="Arial" w:cs="Arial" w:eastAsia="Arial" w:hAnsi="Arial"/>
                <w:sz w:val="18"/>
                <w:szCs w:val="18"/>
                <w:color w:val="auto"/>
              </w:rPr>
              <w:t>-4-</w:t>
            </w:r>
          </w:p>
        </w:tc>
        <w:tc>
          <w:tcPr>
            <w:tcW w:w="53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jc w:val="center"/>
              <w:ind w:right="914"/>
              <w:spacing w:after="0"/>
              <w:rPr>
                <w:sz w:val="20"/>
                <w:szCs w:val="20"/>
                <w:color w:val="auto"/>
              </w:rPr>
            </w:pPr>
            <w:r>
              <w:rPr>
                <w:rFonts w:ascii="Arial" w:cs="Arial" w:eastAsia="Arial" w:hAnsi="Arial"/>
                <w:sz w:val="18"/>
                <w:szCs w:val="18"/>
                <w:b w:val="1"/>
                <w:bCs w:val="1"/>
                <w:color w:val="auto"/>
              </w:rPr>
              <w:t>INDEX TO EXHIBITS</w:t>
            </w:r>
          </w:p>
        </w:tc>
      </w:tr>
      <w:tr>
        <w:trPr>
          <w:trHeight w:val="340"/>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24"/>
                <w:szCs w:val="24"/>
                <w:color w:val="auto"/>
              </w:rPr>
            </w:pPr>
          </w:p>
        </w:tc>
        <w:tc>
          <w:tcPr>
            <w:tcW w:w="10400" w:type="dxa"/>
            <w:vAlign w:val="bottom"/>
          </w:tcPr>
          <w:p>
            <w:pPr>
              <w:spacing w:after="0"/>
              <w:rPr>
                <w:sz w:val="24"/>
                <w:szCs w:val="24"/>
                <w:color w:val="auto"/>
              </w:rPr>
            </w:pPr>
          </w:p>
        </w:tc>
      </w:tr>
      <w:tr>
        <w:trPr>
          <w:trHeight w:val="168"/>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10400" w:type="dxa"/>
            <w:vAlign w:val="bottom"/>
            <w:tcBorders>
              <w:bottom w:val="single" w:sz="8" w:color="auto"/>
            </w:tcBorders>
          </w:tcPr>
          <w:p>
            <w:pPr>
              <w:ind w:left="4860"/>
              <w:spacing w:after="0"/>
              <w:rPr>
                <w:sz w:val="20"/>
                <w:szCs w:val="20"/>
                <w:color w:val="auto"/>
              </w:rPr>
            </w:pPr>
            <w:r>
              <w:rPr>
                <w:rFonts w:ascii="Arial" w:cs="Arial" w:eastAsia="Arial" w:hAnsi="Arial"/>
                <w:sz w:val="14"/>
                <w:szCs w:val="14"/>
                <w:b w:val="1"/>
                <w:bCs w:val="1"/>
                <w:color w:val="auto"/>
              </w:rPr>
              <w:t>Description</w:t>
            </w:r>
          </w:p>
        </w:tc>
      </w:tr>
      <w:tr>
        <w:trPr>
          <w:trHeight w:val="302"/>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5"/>
              </w:rPr>
              <w:t>First Amendment to Third Amended and Restated Credit Agreement dated as of June 27, 2012, among Plains Marketing, L.P. and Plains</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Midstream Canada ULC, as Borrowers; Plains All American Pipeline, L.P., as Guarantor; Bank of America, N.A., as Administrative Agent, Swing</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Line Lender and L/C Issuer; and the other Lenders and L/C Issuers party thereto.</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8"/>
              </w:rPr>
              <w:t>First Amendment to Credit Agreement dated as of June 27, 2012, among Plains All American Pipeline, L.P. and Plains Midstream Canada ULC, as</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9"/>
              </w:rPr>
              <w:t>Borrowers; Bank of America, N.A., as Administrative Agent, Swing Line Lender and an L/C Issuer; Wells Fargo Bank, National Association, as an</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L/C Issuer; and the other Lenders party thereto.</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Press Release dated July 2, 2012.</w:t>
            </w:r>
          </w:p>
        </w:tc>
      </w:tr>
      <w:tr>
        <w:trPr>
          <w:trHeight w:val="365"/>
        </w:trPr>
        <w:tc>
          <w:tcPr>
            <w:tcW w:w="460" w:type="dxa"/>
            <w:vAlign w:val="bottom"/>
          </w:tcPr>
          <w:p>
            <w:pPr>
              <w:spacing w:after="0"/>
              <w:rPr>
                <w:sz w:val="24"/>
                <w:szCs w:val="24"/>
                <w:color w:val="auto"/>
              </w:rPr>
            </w:pPr>
          </w:p>
        </w:tc>
        <w:tc>
          <w:tcPr>
            <w:tcW w:w="10960" w:type="dxa"/>
            <w:vAlign w:val="bottom"/>
            <w:gridSpan w:val="2"/>
          </w:tcPr>
          <w:p>
            <w:pPr>
              <w:jc w:val="right"/>
              <w:ind w:right="5514"/>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27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156845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200025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Deal CUSIP Number: 72651JAE9</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Revolver CUSIP Number: 72651JAF6</w:t>
      </w:r>
    </w:p>
    <w:p>
      <w:pPr>
        <w:spacing w:after="0" w:line="15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FIRST AMENDMENT TO</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THIRD AMENDED AND RESTATED CREDIT AGREEMENT</w:t>
      </w:r>
    </w:p>
    <w:p>
      <w:pPr>
        <w:spacing w:after="0" w:line="16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AS OF JUNE 27, 2012</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among</w:t>
      </w:r>
    </w:p>
    <w:p>
      <w:pPr>
        <w:spacing w:after="0" w:line="16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PLAINS MARKETING, L.P.</w:t>
      </w:r>
    </w:p>
    <w:p>
      <w:pPr>
        <w:spacing w:after="0" w:line="17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PLAINS MIDSTREAM CANADA ULC,</w:t>
      </w:r>
    </w:p>
    <w:p>
      <w:pPr>
        <w:spacing w:after="0" w:line="17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as Borrowers,</w:t>
      </w:r>
    </w:p>
    <w:p>
      <w:pPr>
        <w:spacing w:after="0" w:line="16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PLAINS ALL AMERICAN PIPELINE, L.P.,</w:t>
      </w:r>
    </w:p>
    <w:p>
      <w:pPr>
        <w:spacing w:after="0" w:line="2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as Guarantor</w:t>
      </w:r>
    </w:p>
    <w:p>
      <w:pPr>
        <w:spacing w:after="0" w:line="15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BANK OF AMERICA, N.A.,</w:t>
      </w:r>
    </w:p>
    <w:p>
      <w:pPr>
        <w:spacing w:after="0" w:line="21"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as Administrative Agent, Swing Line Lender and L/C Issuer,</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The Other Lenders Party Hereto</w:t>
      </w:r>
    </w:p>
    <w:p>
      <w:pPr>
        <w:spacing w:after="0" w:line="16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SOCIÉTÉ GÉNÉRALE and CITIBANK, N.A.,</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Co-Syndication Agents,</w:t>
      </w:r>
    </w:p>
    <w:p>
      <w:pPr>
        <w:spacing w:after="0" w:line="159" w:lineRule="exact"/>
        <w:rPr>
          <w:sz w:val="20"/>
          <w:szCs w:val="20"/>
          <w:color w:val="auto"/>
        </w:rPr>
      </w:pPr>
    </w:p>
    <w:p>
      <w:pPr>
        <w:jc w:val="center"/>
        <w:ind w:left="1840" w:right="3020"/>
        <w:spacing w:after="0" w:line="255" w:lineRule="auto"/>
        <w:rPr>
          <w:sz w:val="20"/>
          <w:szCs w:val="20"/>
          <w:color w:val="auto"/>
        </w:rPr>
      </w:pPr>
      <w:r>
        <w:rPr>
          <w:rFonts w:ascii="Arial" w:cs="Arial" w:eastAsia="Arial" w:hAnsi="Arial"/>
          <w:sz w:val="18"/>
          <w:szCs w:val="18"/>
          <w:b w:val="1"/>
          <w:bCs w:val="1"/>
          <w:color w:val="auto"/>
        </w:rPr>
        <w:t xml:space="preserve">MERRILL LYNCH, PIERCE, FENNER &amp; SMITH INCORPORATED SOCIÉTÉ GÉNÉRALE and CITIGROUP GLOBAL MARKETS INC. </w:t>
      </w:r>
      <w:r>
        <w:rPr>
          <w:rFonts w:ascii="Arial" w:cs="Arial" w:eastAsia="Arial" w:hAnsi="Arial"/>
          <w:sz w:val="18"/>
          <w:szCs w:val="18"/>
          <w:color w:val="auto"/>
        </w:rPr>
        <w:t>as</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Joint Lead Arrangers and Joint Book Managers</w:t>
      </w:r>
    </w:p>
    <w:p>
      <w:pPr>
        <w:spacing w:after="0" w:line="16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Senior Secured</w:t>
      </w:r>
    </w:p>
    <w:p>
      <w:pPr>
        <w:spacing w:after="0" w:line="1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Hedged Inventory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101600</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153035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copy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 TO THIRD AMENDED AND RESTATED CREDIT AGREEMENT</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THIS FIRST AMENDMENT TO THIRD AMENDED AND RESTATED CREDIT AGREEMENT (this “Amendment”) dated as of the 27th day of June, 2012, is by and among PLAINS MARKETING, L.P., a Texas limited partnership (the “Company”), PLAINS MIDSTREAM CANADA ULC, a British Columbia unlimited liability company (“PMCULC”; and together with the Company, the “Borrowers” and each, a “Borrower”) BANK OF AMERICA, N.A., as Administrative Agent and an L/C Issuer, WELLS FARGO BANK, NATIONAL ASSOCIATION, as an L/C Issuer, and the Lenders party hereto.</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171"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WHEREAS, the Company, Administrative Agent, certain of the L/C Issuers and certain of the Lenders entered into that certain Third Amended and Restated Credit Agreement dated as of August 19, 2011 (the “Original Agreement”) for the purposes and consideration therein expressed; and</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WHEREAS, Société Générale and Citibank, N.A., as Co-Syndication Agents, and Merrill Lynch, Pierce, Fenner &amp; Smith, Incorporated, Société Générale and Citigroup Global Markets Inc., as Joint Lead Arrangers and Joint Book Managers, have, at the Company’s request, syndicated and arranged for an increase and other amendments to the Original Agreement, and pursuant thereto, the Borrowers, Administrative Agent, L/C Issuers and the Lenders party hereto desire to amend the Original Agreement for the purposes described herein;</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NOW, THEREFORE, in consideration of the premises and the mutual covenants and agreements contained herein and in the Original Agreement, and for other good and valuable consideration, the receipt and sufficiency of which are hereby acknowledged, the parties hereto do hereby agree as follows: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 — </w:t>
      </w:r>
      <w:r>
        <w:rPr>
          <w:rFonts w:ascii="Arial" w:cs="Arial" w:eastAsia="Arial" w:hAnsi="Arial"/>
          <w:sz w:val="18"/>
          <w:szCs w:val="18"/>
          <w:u w:val="single" w:color="auto"/>
          <w:color w:val="auto"/>
        </w:rPr>
        <w:t>Definitions and References</w:t>
      </w:r>
    </w:p>
    <w:p>
      <w:pPr>
        <w:spacing w:after="0" w:line="171" w:lineRule="exact"/>
        <w:rPr>
          <w:sz w:val="20"/>
          <w:szCs w:val="20"/>
          <w:color w:val="auto"/>
        </w:rPr>
      </w:pPr>
    </w:p>
    <w:p>
      <w:pPr>
        <w:ind w:right="220" w:firstLine="464"/>
        <w:spacing w:after="0" w:line="332" w:lineRule="auto"/>
        <w:tabs>
          <w:tab w:leader="none" w:pos="588"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Terms Defined in the Original Agreement</w:t>
      </w:r>
      <w:r>
        <w:rPr>
          <w:rFonts w:ascii="Arial" w:cs="Arial" w:eastAsia="Arial" w:hAnsi="Arial"/>
          <w:sz w:val="16"/>
          <w:szCs w:val="16"/>
          <w:color w:val="auto"/>
        </w:rPr>
        <w:t xml:space="preserve">. Unless the context otherwise requires or unless otherwise expressly defined herein, the terms defined in the Credit Agreement (as set forth in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attached hereto) shall have the same meanings whenever used in this Amendment.</w:t>
      </w:r>
    </w:p>
    <w:p>
      <w:pPr>
        <w:spacing w:after="0" w:line="85" w:lineRule="exact"/>
        <w:rPr>
          <w:rFonts w:ascii="Arial" w:cs="Arial" w:eastAsia="Arial" w:hAnsi="Arial"/>
          <w:sz w:val="16"/>
          <w:szCs w:val="16"/>
          <w:color w:val="auto"/>
        </w:rPr>
      </w:pPr>
    </w:p>
    <w:p>
      <w:pPr>
        <w:ind w:right="100" w:firstLine="464"/>
        <w:spacing w:after="0" w:line="268" w:lineRule="auto"/>
        <w:tabs>
          <w:tab w:leader="none" w:pos="588"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Defined Terms</w:t>
      </w:r>
      <w:r>
        <w:rPr>
          <w:rFonts w:ascii="Arial" w:cs="Arial" w:eastAsia="Arial" w:hAnsi="Arial"/>
          <w:sz w:val="18"/>
          <w:szCs w:val="18"/>
          <w:color w:val="auto"/>
        </w:rPr>
        <w:t>. Unless the context otherwise requires, the following terms when used in this Amendment shall have the meanings assigned to them in this § 1.2.</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w:t>
      </w:r>
      <w:r>
        <w:rPr>
          <w:rFonts w:ascii="Arial" w:cs="Arial" w:eastAsia="Arial" w:hAnsi="Arial"/>
          <w:sz w:val="18"/>
          <w:szCs w:val="18"/>
          <w:color w:val="auto"/>
        </w:rPr>
        <w:t>” means this First Amendment to Third Amended and Restated Credit Agreement.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has the meaning specified in §3.1 of this Amendment.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means the Original Agreement as amended hereby.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II. — </w:t>
      </w:r>
      <w:r>
        <w:rPr>
          <w:rFonts w:ascii="Arial" w:cs="Arial" w:eastAsia="Arial" w:hAnsi="Arial"/>
          <w:sz w:val="18"/>
          <w:szCs w:val="18"/>
          <w:u w:val="single" w:color="auto"/>
          <w:color w:val="auto"/>
        </w:rPr>
        <w:t>Amendments</w:t>
      </w:r>
    </w:p>
    <w:p>
      <w:pPr>
        <w:spacing w:after="0" w:line="171" w:lineRule="exact"/>
        <w:rPr>
          <w:sz w:val="20"/>
          <w:szCs w:val="20"/>
          <w:color w:val="auto"/>
        </w:rPr>
      </w:pPr>
    </w:p>
    <w:p>
      <w:pPr>
        <w:ind w:right="480" w:firstLine="464"/>
        <w:spacing w:after="0" w:line="268" w:lineRule="auto"/>
        <w:tabs>
          <w:tab w:leader="none" w:pos="588"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Amendment of Credit Agreement</w:t>
      </w:r>
      <w:r>
        <w:rPr>
          <w:rFonts w:ascii="Arial" w:cs="Arial" w:eastAsia="Arial" w:hAnsi="Arial"/>
          <w:sz w:val="18"/>
          <w:szCs w:val="18"/>
          <w:color w:val="auto"/>
        </w:rPr>
        <w:t xml:space="preserve">. The Original Agreement and the Schedules and Exhibits attached thereto are hereby amended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attached hereto.</w:t>
      </w:r>
    </w:p>
    <w:p>
      <w:pPr>
        <w:sectPr>
          <w:pgSz w:w="11900" w:h="16838" w:orient="portrait"/>
          <w:cols w:equalWidth="0" w:num="1">
            <w:col w:w="11420"/>
          </w:cols>
          <w:pgMar w:left="240" w:top="280" w:right="239" w:bottom="1440" w:gutter="0" w:footer="0" w:header="0"/>
        </w:sectPr>
      </w:pPr>
    </w:p>
    <w:bookmarkStart w:id="7" w:name="page8"/>
    <w:bookmarkEnd w:id="7"/>
    <w:p>
      <w:pPr>
        <w:ind w:left="-40" w:right="100" w:firstLine="464"/>
        <w:spacing w:after="0" w:line="255" w:lineRule="auto"/>
        <w:tabs>
          <w:tab w:leader="none" w:pos="548"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2.2. </w:t>
      </w:r>
      <w:r>
        <w:rPr>
          <w:rFonts w:ascii="Arial" w:cs="Arial" w:eastAsia="Arial" w:hAnsi="Arial"/>
          <w:sz w:val="18"/>
          <w:szCs w:val="18"/>
          <w:u w:val="single" w:color="auto"/>
          <w:color w:val="auto"/>
        </w:rPr>
        <w:t>Commitments</w:t>
      </w:r>
      <w:r>
        <w:rPr>
          <w:rFonts w:ascii="Arial" w:cs="Arial" w:eastAsia="Arial" w:hAnsi="Arial"/>
          <w:sz w:val="18"/>
          <w:szCs w:val="18"/>
          <w:color w:val="auto"/>
        </w:rPr>
        <w:t xml:space="preserve">. Upon effectiveness of this Amendment, each Lender shall have the Commitment set forth opposite such Lender’s name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2.01</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attached hereto under the caption “Commitment” or opposite such caption in the Assignment and Assumption pursuant to which such Lender becomes a party to the Credit Agreement, as applicable, as such amount may be adjusted from time to time in accordance with the Credit Agreement. Each Lender that did not have a Commitment prior to its execution of this Amendment is hereby added to the Credit Agreement as a Lender with a Commitment as provided above.</w:t>
      </w:r>
    </w:p>
    <w:p>
      <w:pPr>
        <w:spacing w:after="0" w:line="142" w:lineRule="exact"/>
        <w:rPr>
          <w:rFonts w:ascii="Arial" w:cs="Arial" w:eastAsia="Arial" w:hAnsi="Arial"/>
          <w:sz w:val="18"/>
          <w:szCs w:val="18"/>
          <w:color w:val="auto"/>
        </w:rPr>
      </w:pPr>
    </w:p>
    <w:p>
      <w:pPr>
        <w:ind w:left="-40" w:right="20" w:firstLine="464"/>
        <w:spacing w:after="0" w:line="289" w:lineRule="auto"/>
        <w:tabs>
          <w:tab w:leader="none" w:pos="548"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Ratable Committed Loans</w:t>
      </w:r>
      <w:r>
        <w:rPr>
          <w:rFonts w:ascii="Arial" w:cs="Arial" w:eastAsia="Arial" w:hAnsi="Arial"/>
          <w:sz w:val="16"/>
          <w:szCs w:val="16"/>
          <w:color w:val="auto"/>
        </w:rPr>
        <w:t xml:space="preserve">. In connection herewith, on the Amendment Effective Date, the Company, Administrative Agent and Lenders shall make adjustments to the outstanding principal amount of Committed Loans (but not any interest accrued thereon prior to the Amendment Effective Date), including the borrowing of additional Committed Loans and/or repayment of outstanding Committed Loans, plus all applicable accrued interest, fees and expenses, as shall be necessary to provide for Committed Loans hereunder by each Lender in the amount of its Applicable Percentage of all Committed Loans as of the Amendment Effective Date, but in no event shall such adjustment of any Eurocurrency Rate Loans (i) constitute a payment or prepayment of all or a portion of any such Eurocurrency Rate Loans or (ii) entitle any Lender to any reimbursement under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of the Credit Agreement, and each Lender shall be deemed to have made an assignment of its outstanding Committed Loans under the Credit Agreement, and assumed outstanding Committed Loans of other Lenders under the Credit Agreement, as may be necessary to effect the foregoing.</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III. — </w:t>
      </w:r>
      <w:r>
        <w:rPr>
          <w:rFonts w:ascii="Arial" w:cs="Arial" w:eastAsia="Arial" w:hAnsi="Arial"/>
          <w:sz w:val="18"/>
          <w:szCs w:val="18"/>
          <w:u w:val="single" w:color="auto"/>
          <w:color w:val="auto"/>
        </w:rPr>
        <w:t>Conditions of Effectiveness</w:t>
      </w:r>
    </w:p>
    <w:p>
      <w:pPr>
        <w:spacing w:after="0" w:line="171" w:lineRule="exact"/>
        <w:rPr>
          <w:sz w:val="20"/>
          <w:szCs w:val="20"/>
          <w:color w:val="auto"/>
        </w:rPr>
      </w:pPr>
    </w:p>
    <w:p>
      <w:pPr>
        <w:ind w:left="-40" w:right="120" w:firstLine="464"/>
        <w:spacing w:after="0" w:line="268" w:lineRule="auto"/>
        <w:tabs>
          <w:tab w:leader="none" w:pos="548"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This Amendment shall become effective as of the date first written above (the “Amendment Effective Date”), upon the satisfaction of the following conditions precedent</w:t>
      </w:r>
    </w:p>
    <w:p>
      <w:pPr>
        <w:spacing w:after="0" w:line="132" w:lineRule="exact"/>
        <w:rPr>
          <w:sz w:val="20"/>
          <w:szCs w:val="20"/>
          <w:color w:val="auto"/>
        </w:rPr>
      </w:pPr>
    </w:p>
    <w:p>
      <w:pPr>
        <w:ind w:left="-40" w:right="120" w:firstLine="464"/>
        <w:spacing w:after="0" w:line="25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Administrative Agent’s receipt of the following, each of which shall be originals, telecopies or other electronic copies (followed promptly by originals) unless otherwise specified, each properly executed by a Responsible Officer of the Company, if applicable, each dated the Amendment Effective Date (or, in the case of certificates of governmental officials, a recent date before the Amendment Effective Date) and each in form and substance reasonably satisfactory to the Administrative Agent:</w:t>
      </w:r>
    </w:p>
    <w:p>
      <w:pPr>
        <w:spacing w:after="0" w:line="62" w:lineRule="exact"/>
        <w:rPr>
          <w:rFonts w:ascii="Arial" w:cs="Arial" w:eastAsia="Arial" w:hAnsi="Arial"/>
          <w:sz w:val="18"/>
          <w:szCs w:val="18"/>
          <w:color w:val="auto"/>
        </w:rPr>
      </w:pPr>
    </w:p>
    <w:p>
      <w:pPr>
        <w:ind w:left="1080" w:hanging="217"/>
        <w:spacing w:after="0"/>
        <w:tabs>
          <w:tab w:leader="none" w:pos="1080" w:val="left"/>
        </w:tabs>
        <w:numPr>
          <w:ilvl w:val="1"/>
          <w:numId w:val="6"/>
        </w:numPr>
        <w:rPr>
          <w:rFonts w:ascii="Arial" w:cs="Arial" w:eastAsia="Arial" w:hAnsi="Arial"/>
          <w:sz w:val="16"/>
          <w:szCs w:val="16"/>
          <w:color w:val="auto"/>
        </w:rPr>
      </w:pPr>
      <w:r>
        <w:rPr>
          <w:rFonts w:ascii="Arial" w:cs="Arial" w:eastAsia="Arial" w:hAnsi="Arial"/>
          <w:sz w:val="16"/>
          <w:szCs w:val="16"/>
          <w:color w:val="auto"/>
        </w:rPr>
        <w:t>executed counterparts of this Amendment, sufficient in number for distribution to the Administrative Agent, each Lender and each Borrower;</w:t>
      </w:r>
    </w:p>
    <w:p>
      <w:pPr>
        <w:spacing w:after="0" w:line="113" w:lineRule="exact"/>
        <w:rPr>
          <w:rFonts w:ascii="Arial" w:cs="Arial" w:eastAsia="Arial" w:hAnsi="Arial"/>
          <w:sz w:val="16"/>
          <w:szCs w:val="16"/>
          <w:color w:val="auto"/>
        </w:rPr>
      </w:pPr>
    </w:p>
    <w:p>
      <w:pPr>
        <w:ind w:left="1120" w:hanging="257"/>
        <w:spacing w:after="0"/>
        <w:tabs>
          <w:tab w:leader="none" w:pos="1120" w:val="left"/>
        </w:tabs>
        <w:numPr>
          <w:ilvl w:val="1"/>
          <w:numId w:val="6"/>
        </w:numPr>
        <w:rPr>
          <w:rFonts w:ascii="Arial" w:cs="Arial" w:eastAsia="Arial" w:hAnsi="Arial"/>
          <w:sz w:val="15"/>
          <w:szCs w:val="15"/>
          <w:color w:val="auto"/>
        </w:rPr>
      </w:pPr>
      <w:r>
        <w:rPr>
          <w:rFonts w:ascii="Arial" w:cs="Arial" w:eastAsia="Arial" w:hAnsi="Arial"/>
          <w:sz w:val="15"/>
          <w:szCs w:val="15"/>
          <w:color w:val="auto"/>
        </w:rPr>
        <w:t>if so requested within three Business Days prior to the Amendment Effective Date, a Note executed by each Borrower in favor of each requesting</w:t>
      </w:r>
    </w:p>
    <w:p>
      <w:pPr>
        <w:spacing w:after="0" w:line="49" w:lineRule="exact"/>
        <w:rPr>
          <w:rFonts w:ascii="Arial" w:cs="Arial" w:eastAsia="Arial" w:hAnsi="Arial"/>
          <w:sz w:val="15"/>
          <w:szCs w:val="15"/>
          <w:color w:val="auto"/>
        </w:rPr>
      </w:pPr>
    </w:p>
    <w:p>
      <w:pPr>
        <w:ind w:left="420"/>
        <w:spacing w:after="0"/>
        <w:rPr>
          <w:rFonts w:ascii="Arial" w:cs="Arial" w:eastAsia="Arial" w:hAnsi="Arial"/>
          <w:sz w:val="15"/>
          <w:szCs w:val="15"/>
          <w:color w:val="auto"/>
        </w:rPr>
      </w:pPr>
      <w:r>
        <w:rPr>
          <w:rFonts w:ascii="Arial" w:cs="Arial" w:eastAsia="Arial" w:hAnsi="Arial"/>
          <w:sz w:val="18"/>
          <w:szCs w:val="18"/>
          <w:color w:val="auto"/>
        </w:rPr>
        <w:t>Lender;</w:t>
      </w:r>
    </w:p>
    <w:p>
      <w:pPr>
        <w:spacing w:after="0" w:line="83" w:lineRule="exact"/>
        <w:rPr>
          <w:rFonts w:ascii="Arial" w:cs="Arial" w:eastAsia="Arial" w:hAnsi="Arial"/>
          <w:sz w:val="15"/>
          <w:szCs w:val="15"/>
          <w:color w:val="auto"/>
        </w:rPr>
      </w:pPr>
    </w:p>
    <w:p>
      <w:pPr>
        <w:ind w:left="420" w:right="120" w:firstLine="443"/>
        <w:spacing w:after="0" w:line="294" w:lineRule="auto"/>
        <w:tabs>
          <w:tab w:leader="none" w:pos="1165" w:val="left"/>
        </w:tabs>
        <w:numPr>
          <w:ilvl w:val="1"/>
          <w:numId w:val="6"/>
        </w:numPr>
        <w:rPr>
          <w:rFonts w:ascii="Arial" w:cs="Arial" w:eastAsia="Arial" w:hAnsi="Arial"/>
          <w:sz w:val="16"/>
          <w:szCs w:val="16"/>
          <w:color w:val="auto"/>
        </w:rPr>
      </w:pPr>
      <w:r>
        <w:rPr>
          <w:rFonts w:ascii="Arial" w:cs="Arial" w:eastAsia="Arial" w:hAnsi="Arial"/>
          <w:sz w:val="16"/>
          <w:szCs w:val="16"/>
          <w:color w:val="auto"/>
        </w:rPr>
        <w:t>a restated Security Agreement, duly executed by each Borrower, covering the Collateral of such Borrower, together with financing statements and Canadian personal property registration statements, that the Administrative Agent, in its reasonable opinion, may deem necessary to perfect the Liens created thereunder, covering the Collateral described therein, recent financing statement searches in the State of Texas that name the Company as debtor, recent personal property registration statement searches in British Columbia and Alberta that name PMCULC as debtor, and such other Collateral Documents as the Administrative Agent, in its reasonable opinion, may deem necessary to perfect the Liens created thereby;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80" w:right="279" w:bottom="1440" w:gutter="0" w:footer="0" w:header="0"/>
        </w:sectPr>
      </w:pPr>
    </w:p>
    <w:bookmarkStart w:id="8" w:name="page9"/>
    <w:bookmarkEnd w:id="8"/>
    <w:p>
      <w:pPr>
        <w:ind w:left="440" w:firstLine="443"/>
        <w:spacing w:after="0" w:line="306" w:lineRule="auto"/>
        <w:tabs>
          <w:tab w:leader="none" w:pos="1176" w:val="left"/>
        </w:tabs>
        <w:numPr>
          <w:ilvl w:val="1"/>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Amendment and the other Loan Documents delivered pursuant to this §3.1 to which such Loan Party is a party;</w:t>
      </w:r>
    </w:p>
    <w:p>
      <w:pPr>
        <w:spacing w:after="0" w:line="25" w:lineRule="exact"/>
        <w:rPr>
          <w:rFonts w:ascii="Arial" w:cs="Arial" w:eastAsia="Arial" w:hAnsi="Arial"/>
          <w:sz w:val="16"/>
          <w:szCs w:val="16"/>
          <w:color w:val="auto"/>
        </w:rPr>
      </w:pPr>
    </w:p>
    <w:p>
      <w:pPr>
        <w:ind w:left="440" w:right="220" w:firstLine="443"/>
        <w:spacing w:after="0" w:line="259" w:lineRule="auto"/>
        <w:tabs>
          <w:tab w:leader="none" w:pos="1127" w:val="left"/>
        </w:tabs>
        <w:numPr>
          <w:ilvl w:val="1"/>
          <w:numId w:val="7"/>
        </w:numPr>
        <w:rPr>
          <w:rFonts w:ascii="Arial" w:cs="Arial" w:eastAsia="Arial" w:hAnsi="Arial"/>
          <w:sz w:val="18"/>
          <w:szCs w:val="18"/>
          <w:color w:val="auto"/>
        </w:rPr>
      </w:pPr>
      <w:r>
        <w:rPr>
          <w:rFonts w:ascii="Arial" w:cs="Arial" w:eastAsia="Arial" w:hAnsi="Arial"/>
          <w:sz w:val="18"/>
          <w:szCs w:val="18"/>
          <w:color w:val="auto"/>
        </w:rPr>
        <w:t>such documents and certifications as the Administrative Agent may reasonably require to evidence that each Loan Party and General Partner is duly organized or formed, and that each Borrower is validly existing and in good standing in its jurisdiction of organization, issued by the appropriate authorities of such jurisdiction;</w:t>
      </w:r>
    </w:p>
    <w:p>
      <w:pPr>
        <w:spacing w:after="0" w:line="59" w:lineRule="exact"/>
        <w:rPr>
          <w:rFonts w:ascii="Arial" w:cs="Arial" w:eastAsia="Arial" w:hAnsi="Arial"/>
          <w:sz w:val="18"/>
          <w:szCs w:val="18"/>
          <w:color w:val="auto"/>
        </w:rPr>
      </w:pPr>
    </w:p>
    <w:p>
      <w:pPr>
        <w:ind w:left="440" w:right="100" w:firstLine="443"/>
        <w:spacing w:after="0" w:line="259" w:lineRule="auto"/>
        <w:tabs>
          <w:tab w:leader="none" w:pos="1176" w:val="left"/>
        </w:tabs>
        <w:numPr>
          <w:ilvl w:val="1"/>
          <w:numId w:val="7"/>
        </w:numPr>
        <w:rPr>
          <w:rFonts w:ascii="Arial" w:cs="Arial" w:eastAsia="Arial" w:hAnsi="Arial"/>
          <w:sz w:val="18"/>
          <w:szCs w:val="18"/>
          <w:color w:val="auto"/>
        </w:rPr>
      </w:pPr>
      <w:r>
        <w:rPr>
          <w:rFonts w:ascii="Arial" w:cs="Arial" w:eastAsia="Arial" w:hAnsi="Arial"/>
          <w:sz w:val="18"/>
          <w:szCs w:val="18"/>
          <w:color w:val="auto"/>
        </w:rPr>
        <w:t>favorable opinions of (A) Richard McGee, Esq., General Counsel of the Company and PAA, (B) Fulbright &amp; Jaworski L.L.P., special Texas and New York counsel to each Borrower and PAA and (C) Bennett Jones LLP, special Canadian counsel to PMCULC, addressed to the Administrative Agent and each Lender;</w:t>
      </w:r>
    </w:p>
    <w:p>
      <w:pPr>
        <w:spacing w:after="0" w:line="59" w:lineRule="exact"/>
        <w:rPr>
          <w:rFonts w:ascii="Arial" w:cs="Arial" w:eastAsia="Arial" w:hAnsi="Arial"/>
          <w:sz w:val="18"/>
          <w:szCs w:val="18"/>
          <w:color w:val="auto"/>
        </w:rPr>
      </w:pPr>
    </w:p>
    <w:p>
      <w:pPr>
        <w:ind w:left="440" w:firstLine="443"/>
        <w:spacing w:after="0" w:line="305" w:lineRule="auto"/>
        <w:tabs>
          <w:tab w:leader="none" w:pos="1224" w:val="left"/>
        </w:tabs>
        <w:numPr>
          <w:ilvl w:val="1"/>
          <w:numId w:val="7"/>
        </w:numPr>
        <w:rPr>
          <w:rFonts w:ascii="Arial" w:cs="Arial" w:eastAsia="Arial" w:hAnsi="Arial"/>
          <w:sz w:val="15"/>
          <w:szCs w:val="15"/>
          <w:color w:val="auto"/>
        </w:rPr>
      </w:pPr>
      <w:r>
        <w:rPr>
          <w:rFonts w:ascii="Arial" w:cs="Arial" w:eastAsia="Arial" w:hAnsi="Arial"/>
          <w:sz w:val="15"/>
          <w:szCs w:val="15"/>
          <w:color w:val="auto"/>
        </w:rPr>
        <w:t>(A) the audited consolidated balance sheet of PAA and its Subsidiaries for the fiscal year ended December 31, 2011, and the related consolidated statements of income or operations and cash flows for such fiscal year and partners’ capital of PAA and its Subsidiaries, including the notes thereto, and</w:t>
      </w:r>
    </w:p>
    <w:p>
      <w:pPr>
        <w:ind w:left="440" w:right="180" w:firstLine="4"/>
        <w:spacing w:after="0" w:line="255" w:lineRule="auto"/>
        <w:tabs>
          <w:tab w:leader="none" w:pos="718"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financial projections and forecasts of PAA and its Subsidiaries prepared by or at the direction of PAA and delivered by the Company to the Administrative Agent for the second half of the fiscal year ending December 31, 2012 and for the fiscal years ending December 31, 2013 and December 31, 2014;</w:t>
      </w:r>
    </w:p>
    <w:p>
      <w:pPr>
        <w:spacing w:after="0" w:line="63" w:lineRule="exact"/>
        <w:rPr>
          <w:rFonts w:ascii="Arial" w:cs="Arial" w:eastAsia="Arial" w:hAnsi="Arial"/>
          <w:sz w:val="18"/>
          <w:szCs w:val="18"/>
          <w:color w:val="auto"/>
        </w:rPr>
      </w:pPr>
    </w:p>
    <w:p>
      <w:pPr>
        <w:ind w:left="440" w:right="140" w:firstLine="443"/>
        <w:spacing w:after="0" w:line="290" w:lineRule="auto"/>
        <w:tabs>
          <w:tab w:leader="none" w:pos="1273" w:val="left"/>
        </w:tabs>
        <w:numPr>
          <w:ilvl w:val="1"/>
          <w:numId w:val="8"/>
        </w:numPr>
        <w:rPr>
          <w:rFonts w:ascii="Arial" w:cs="Arial" w:eastAsia="Arial" w:hAnsi="Arial"/>
          <w:sz w:val="16"/>
          <w:szCs w:val="16"/>
          <w:color w:val="auto"/>
        </w:rPr>
      </w:pPr>
      <w:r>
        <w:rPr>
          <w:rFonts w:ascii="Arial" w:cs="Arial" w:eastAsia="Arial" w:hAnsi="Arial"/>
          <w:sz w:val="16"/>
          <w:szCs w:val="16"/>
          <w:color w:val="auto"/>
        </w:rPr>
        <w:t xml:space="preserve">a certificate signed by a Responsible Officer of the Company certifying (A) that the conditions specified in </w:t>
      </w:r>
      <w:r>
        <w:rPr>
          <w:rFonts w:ascii="Arial" w:cs="Arial" w:eastAsia="Arial" w:hAnsi="Arial"/>
          <w:sz w:val="16"/>
          <w:szCs w:val="16"/>
          <w:u w:val="single" w:color="auto"/>
          <w:color w:val="auto"/>
        </w:rPr>
        <w:t>Section 4.02(a)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of the Credit Agreement have been satisfied (and in the case of said </w:t>
      </w:r>
      <w:r>
        <w:rPr>
          <w:rFonts w:ascii="Arial" w:cs="Arial" w:eastAsia="Arial" w:hAnsi="Arial"/>
          <w:sz w:val="16"/>
          <w:szCs w:val="16"/>
          <w:u w:val="single" w:color="auto"/>
          <w:color w:val="auto"/>
        </w:rPr>
        <w:t>Section 4.02(d)</w:t>
      </w:r>
      <w:r>
        <w:rPr>
          <w:rFonts w:ascii="Arial" w:cs="Arial" w:eastAsia="Arial" w:hAnsi="Arial"/>
          <w:sz w:val="16"/>
          <w:szCs w:val="16"/>
          <w:color w:val="auto"/>
        </w:rPr>
        <w:t>, if no Request for Credit Extension is made on the Amendment Effective Date, then determined in respect to then Outstanding Amount of Obligations, if any, of each Borrower), (B) the projections and forecasts described in §3.1(a)(vii)(B) of this Amendment were prepared in good faith upon assumptions deemed reasonable by PAA at the time made, (C) that there has been no event or circumstance since December 31, 2011 that has had or could be reasonably expected to have, either individually or in the aggregate, a Material Adverse Effect, (D) the current PAA Debt Rating, and (E) the Company’s true and correct U.S. taxpayer identification number and PMCULC’s true and correct Canadian corporate access number; and</w:t>
      </w:r>
    </w:p>
    <w:p>
      <w:pPr>
        <w:spacing w:after="0" w:line="37" w:lineRule="exact"/>
        <w:rPr>
          <w:rFonts w:ascii="Arial" w:cs="Arial" w:eastAsia="Arial" w:hAnsi="Arial"/>
          <w:sz w:val="16"/>
          <w:szCs w:val="16"/>
          <w:color w:val="auto"/>
        </w:rPr>
      </w:pPr>
    </w:p>
    <w:p>
      <w:pPr>
        <w:ind w:left="1180" w:hanging="297"/>
        <w:spacing w:after="0"/>
        <w:tabs>
          <w:tab w:leader="none" w:pos="11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such other assurances, certificates, documents, consents or opinions as the Administrative Agent may reasonably require.</w:t>
      </w:r>
    </w:p>
    <w:p>
      <w:pPr>
        <w:spacing w:after="0" w:line="171" w:lineRule="exact"/>
        <w:rPr>
          <w:sz w:val="20"/>
          <w:szCs w:val="20"/>
          <w:color w:val="auto"/>
        </w:rPr>
      </w:pPr>
    </w:p>
    <w:p>
      <w:pPr>
        <w:ind w:left="-20" w:right="220" w:firstLine="464"/>
        <w:spacing w:after="0" w:line="332" w:lineRule="auto"/>
        <w:tabs>
          <w:tab w:leader="none" w:pos="685"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consents, licenses and approvals required in connection with the execution, delivery and performance by each Loan Party and the validity against each Loan Party of this Amendment and each other Loan Document to which it is a party shall have been obtained and shall be in full force and effect.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80" w:right="239" w:bottom="1440" w:gutter="0" w:footer="0" w:header="0"/>
        </w:sectPr>
      </w:pPr>
    </w:p>
    <w:bookmarkStart w:id="9" w:name="page10"/>
    <w:bookmarkEnd w:id="9"/>
    <w:p>
      <w:pPr>
        <w:ind w:right="140" w:firstLine="464"/>
        <w:spacing w:after="0" w:line="294" w:lineRule="auto"/>
        <w:tabs>
          <w:tab w:leader="none" w:pos="695"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shall not have occurred during the period from December 31, 2011 through and including the Amendment Effective Date any event or condition that has had or could reasonably be expected, either individually or in the aggregate, to have a Material Adverse Effect, and there shall be no actions, suits, investigations, proceedings, claims or disputes pending or, to the knowledge of the Company, threatened in writing, at law, in equity, in arbitration or before any Governmental Authority, by or against any Borrower or any of its Subsidiaries or against any of their properties or revenues that either individually or in the aggregate, could reasonably be expected to have a Material Adverse Effect.</w:t>
      </w:r>
    </w:p>
    <w:p>
      <w:pPr>
        <w:spacing w:after="0" w:line="115" w:lineRule="exact"/>
        <w:rPr>
          <w:rFonts w:ascii="Arial" w:cs="Arial" w:eastAsia="Arial" w:hAnsi="Arial"/>
          <w:sz w:val="16"/>
          <w:szCs w:val="16"/>
          <w:color w:val="auto"/>
        </w:rPr>
      </w:pPr>
    </w:p>
    <w:p>
      <w:pPr>
        <w:ind w:right="140" w:firstLine="464"/>
        <w:spacing w:after="0" w:line="332" w:lineRule="auto"/>
        <w:tabs>
          <w:tab w:leader="none" w:pos="705"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fees, including any arrangement fees, agency fees and upfront fees, and any expenses of the Arrangers and Administrative Agent, in each case, as agreed in writing by the Company, required to be paid on or before the Amendment Effective Date shall have been paid.</w:t>
      </w:r>
    </w:p>
    <w:p>
      <w:pPr>
        <w:spacing w:after="0" w:line="85" w:lineRule="exact"/>
        <w:rPr>
          <w:rFonts w:ascii="Arial" w:cs="Arial" w:eastAsia="Arial" w:hAnsi="Arial"/>
          <w:sz w:val="16"/>
          <w:szCs w:val="16"/>
          <w:color w:val="auto"/>
        </w:rPr>
      </w:pPr>
    </w:p>
    <w:p>
      <w:pPr>
        <w:ind w:right="100" w:firstLine="464"/>
        <w:spacing w:after="0" w:line="268"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shall have paid all reasonable fees, charges and disbursements of counsel to the Administrative Agent to the extent timely invoiced prior to the Amendment Effective Date.</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purposes of determining compliance with the conditions specified in this §3.1,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Amendment Effective Date specifying its objection thereto and the Administrative Agent hereby agrees to promptly provide the Company with a copy of any such notice received by the Administrative Agent.</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IV. — </w:t>
      </w:r>
      <w:r>
        <w:rPr>
          <w:rFonts w:ascii="Arial" w:cs="Arial" w:eastAsia="Arial" w:hAnsi="Arial"/>
          <w:sz w:val="18"/>
          <w:szCs w:val="18"/>
          <w:u w:val="single" w:color="auto"/>
          <w:color w:val="auto"/>
        </w:rPr>
        <w:t>Representations and Warranties</w:t>
      </w:r>
    </w:p>
    <w:p>
      <w:pPr>
        <w:spacing w:after="0" w:line="171" w:lineRule="exact"/>
        <w:rPr>
          <w:sz w:val="20"/>
          <w:szCs w:val="20"/>
          <w:color w:val="auto"/>
        </w:rPr>
      </w:pPr>
    </w:p>
    <w:p>
      <w:pPr>
        <w:ind w:firstLine="464"/>
        <w:spacing w:after="0" w:line="268" w:lineRule="auto"/>
        <w:tabs>
          <w:tab w:leader="none" w:pos="5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In order to induce Administrative Agent, L/C Issuers and Lenders to enter into this Amendment, the Company represents and warrants to Administrative Agent, L/C Issuers and each Lender that:</w:t>
      </w:r>
    </w:p>
    <w:p>
      <w:pPr>
        <w:spacing w:after="0" w:line="132" w:lineRule="exact"/>
        <w:rPr>
          <w:sz w:val="20"/>
          <w:szCs w:val="20"/>
          <w:color w:val="auto"/>
        </w:rPr>
      </w:pPr>
    </w:p>
    <w:p>
      <w:pPr>
        <w:ind w:right="20" w:firstLine="464"/>
        <w:spacing w:after="0" w:line="294" w:lineRule="auto"/>
        <w:tabs>
          <w:tab w:leader="none" w:pos="695"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(i) the Company (and PMCULC, solely as to itself)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of the Credit Agreement and (ii) each Loan Party in any other Loan Document are true and correct in all material respects on and as of the date hereof, except to the extent that such representations and warranties specifically refer to an earlier date, in which case they shall be true and correct in all material respects as of such earlier date, and except that the representations and warranties contained in subsections (a) and (b) of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of the Credit Agreement shall be deemed to refer to the most recent statements furnished pursuant to clauses (a) and (b),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of the Credit Agreement.</w:t>
      </w:r>
    </w:p>
    <w:p>
      <w:pPr>
        <w:spacing w:after="0" w:line="196" w:lineRule="exact"/>
        <w:rPr>
          <w:rFonts w:ascii="Arial" w:cs="Arial" w:eastAsia="Arial" w:hAnsi="Arial"/>
          <w:sz w:val="16"/>
          <w:szCs w:val="16"/>
          <w:color w:val="auto"/>
        </w:rPr>
      </w:pPr>
    </w:p>
    <w:p>
      <w:pPr>
        <w:ind w:left="720" w:hanging="256"/>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Default has occurred and is continuing.</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V. — </w:t>
      </w:r>
      <w:r>
        <w:rPr>
          <w:rFonts w:ascii="Arial" w:cs="Arial" w:eastAsia="Arial" w:hAnsi="Arial"/>
          <w:sz w:val="18"/>
          <w:szCs w:val="18"/>
          <w:u w:val="single" w:color="auto"/>
          <w:color w:val="auto"/>
        </w:rPr>
        <w:t>Miscellaneous</w:t>
      </w:r>
    </w:p>
    <w:p>
      <w:pPr>
        <w:spacing w:after="0" w:line="171" w:lineRule="exact"/>
        <w:rPr>
          <w:sz w:val="20"/>
          <w:szCs w:val="20"/>
          <w:color w:val="auto"/>
        </w:rPr>
      </w:pPr>
    </w:p>
    <w:p>
      <w:pPr>
        <w:ind w:right="80" w:firstLine="464"/>
        <w:spacing w:after="0" w:line="256" w:lineRule="auto"/>
        <w:tabs>
          <w:tab w:leader="none" w:pos="5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Ratification of Agreements</w:t>
      </w:r>
      <w:r>
        <w:rPr>
          <w:rFonts w:ascii="Arial" w:cs="Arial" w:eastAsia="Arial" w:hAnsi="Arial"/>
          <w:sz w:val="18"/>
          <w:szCs w:val="18"/>
          <w:color w:val="auto"/>
        </w:rPr>
        <w:t>. The Original Agreement, as hereby amended, is hereby ratified and confirmed in all respects. The Loan Documents, as they may be amended or affected by this Amendment, are hereby ratified and confirmed in all respects by each Borrower and PAA. Any reference to the Original Agreement in any Loan Document shall be deemed to refer to the Credit Agreement. The execution, delivery and effectiveness of this Amendment shall not, except as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0" w:name="page11"/>
    <w:bookmarkEnd w:id="10"/>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expressly provided herein, operate as a waiver of any right, power or remedy of Administrative Agent, any L/C Issuer or any Lender under the Credit Agreement or any other Loan Document nor constitute a waiver of any provision of the Credit Agreement or any other Loan Document.</w:t>
      </w:r>
    </w:p>
    <w:p>
      <w:pPr>
        <w:spacing w:after="0" w:line="132" w:lineRule="exact"/>
        <w:rPr>
          <w:sz w:val="20"/>
          <w:szCs w:val="20"/>
          <w:color w:val="auto"/>
        </w:rPr>
      </w:pPr>
    </w:p>
    <w:p>
      <w:pPr>
        <w:ind w:right="160" w:firstLine="464"/>
        <w:spacing w:after="0" w:line="291" w:lineRule="auto"/>
        <w:tabs>
          <w:tab w:leader="none" w:pos="588"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Ratification of PAA Guaranty and Collateral Documents</w:t>
      </w:r>
      <w:r>
        <w:rPr>
          <w:rFonts w:ascii="Arial" w:cs="Arial" w:eastAsia="Arial" w:hAnsi="Arial"/>
          <w:sz w:val="16"/>
          <w:szCs w:val="16"/>
          <w:color w:val="auto"/>
        </w:rPr>
        <w:t>. PAA, by its signature hereto, represents and warrants that PAA has no defense to the enforcement of the PAA Guaranty, and that according to its terms the PAA Guaranty will continue in full force and effect to guaranty each Borrower’s Obligations and the other amounts described in the PAA Guaranty following execution of this Amendment. Each Borrower, Administrative Agent, L/C Issuers and Lenders each acknowledges and agrees that any and all Obligations of such Borrower are secured indebtedness under, and are secured by, each and every Collateral Document with respect to the Collateral pledged thereunder by such Borrower. The Company hereby re-pledges, re-grants and re-assigns a security interest in and lien on every asset of such Borrower described as Collateral in any Collateral Document.</w:t>
      </w:r>
    </w:p>
    <w:p>
      <w:pPr>
        <w:spacing w:after="0" w:line="120" w:lineRule="exact"/>
        <w:rPr>
          <w:rFonts w:ascii="Arial" w:cs="Arial" w:eastAsia="Arial" w:hAnsi="Arial"/>
          <w:sz w:val="16"/>
          <w:szCs w:val="16"/>
          <w:color w:val="auto"/>
        </w:rPr>
      </w:pPr>
    </w:p>
    <w:p>
      <w:pPr>
        <w:ind w:left="600" w:hanging="136"/>
        <w:spacing w:after="0"/>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Loan Documents</w:t>
      </w:r>
      <w:r>
        <w:rPr>
          <w:rFonts w:ascii="Arial" w:cs="Arial" w:eastAsia="Arial" w:hAnsi="Arial"/>
          <w:sz w:val="16"/>
          <w:szCs w:val="16"/>
          <w:color w:val="auto"/>
        </w:rPr>
        <w:t>. This Amendment is a Loan Document, and all provisions in the Credit Agreement pertaining to Loan Documents apply hereto.</w:t>
      </w:r>
    </w:p>
    <w:p>
      <w:pPr>
        <w:spacing w:after="0" w:line="188" w:lineRule="exact"/>
        <w:rPr>
          <w:rFonts w:ascii="Arial" w:cs="Arial" w:eastAsia="Arial" w:hAnsi="Arial"/>
          <w:sz w:val="16"/>
          <w:szCs w:val="16"/>
          <w:color w:val="auto"/>
        </w:rPr>
      </w:pPr>
    </w:p>
    <w:p>
      <w:pPr>
        <w:ind w:right="40" w:firstLine="464"/>
        <w:spacing w:after="0" w:line="275" w:lineRule="auto"/>
        <w:tabs>
          <w:tab w:leader="none" w:pos="588" w:val="left"/>
        </w:tabs>
        <w:numPr>
          <w:ilvl w:val="0"/>
          <w:numId w:val="14"/>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5.4. GOVERNING LAW. THIS AMENDMENT THIS AMENDMENT SHALL BE GOVERNED BY, AND CONSTRUED IN ACCORDANCE WITH, THE LAWS OF THE STATE OF NEW YORK, WITHOUT REGARD TO PRINCIPLES OF CONFLICTS OF LAW</w:t>
      </w:r>
      <w:r>
        <w:rPr>
          <w:rFonts w:ascii="Arial" w:cs="Arial" w:eastAsia="Arial" w:hAnsi="Arial"/>
          <w:sz w:val="18"/>
          <w:szCs w:val="18"/>
          <w:u w:val="single" w:color="auto"/>
          <w:color w:val="auto"/>
        </w:rPr>
        <w:t>.</w:t>
      </w:r>
    </w:p>
    <w:p>
      <w:pPr>
        <w:spacing w:after="0" w:line="125" w:lineRule="exact"/>
        <w:rPr>
          <w:rFonts w:ascii="Arial" w:cs="Arial" w:eastAsia="Arial" w:hAnsi="Arial"/>
          <w:sz w:val="18"/>
          <w:szCs w:val="18"/>
          <w:b w:val="1"/>
          <w:bCs w:val="1"/>
          <w:u w:val="single" w:color="auto"/>
          <w:color w:val="auto"/>
        </w:rPr>
      </w:pPr>
    </w:p>
    <w:p>
      <w:pPr>
        <w:jc w:val="both"/>
        <w:ind w:right="400" w:firstLine="464"/>
        <w:spacing w:after="0" w:line="306" w:lineRule="auto"/>
        <w:tabs>
          <w:tab w:leader="none" w:pos="588"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pacing w:after="0" w:line="106" w:lineRule="exact"/>
        <w:rPr>
          <w:rFonts w:ascii="Arial" w:cs="Arial" w:eastAsia="Arial" w:hAnsi="Arial"/>
          <w:sz w:val="16"/>
          <w:szCs w:val="16"/>
          <w:color w:val="auto"/>
        </w:rPr>
      </w:pPr>
    </w:p>
    <w:p>
      <w:pPr>
        <w:jc w:val="both"/>
        <w:ind w:right="80" w:firstLine="464"/>
        <w:spacing w:after="0" w:line="259" w:lineRule="auto"/>
        <w:tabs>
          <w:tab w:leader="none" w:pos="5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[Remainder of Page Intentionally Deleted]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280" w:right="339" w:bottom="1440" w:gutter="0" w:footer="0" w:header="0"/>
        </w:sectPr>
      </w:pPr>
    </w:p>
    <w:bookmarkStart w:id="11" w:name="page12"/>
    <w:bookmarkEnd w:id="1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Amendment is executed as of the date first above written.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80" w:type="dxa"/>
            <w:vAlign w:val="bottom"/>
          </w:tcPr>
          <w:p>
            <w:pPr>
              <w:spacing w:after="0"/>
              <w:rPr>
                <w:sz w:val="20"/>
                <w:szCs w:val="20"/>
                <w:color w:val="auto"/>
              </w:rPr>
            </w:pPr>
            <w:r>
              <w:rPr>
                <w:rFonts w:ascii="Arial" w:cs="Arial" w:eastAsia="Arial" w:hAnsi="Arial"/>
                <w:sz w:val="18"/>
                <w:szCs w:val="18"/>
                <w:b w:val="1"/>
                <w:bCs w:val="1"/>
                <w:color w:val="auto"/>
              </w:rPr>
              <w:t>BORROWERS:</w:t>
            </w:r>
          </w:p>
        </w:tc>
        <w:tc>
          <w:tcPr>
            <w:tcW w:w="7840" w:type="dxa"/>
            <w:vAlign w:val="bottom"/>
            <w:gridSpan w:val="2"/>
          </w:tcPr>
          <w:p>
            <w:pPr>
              <w:ind w:left="2340"/>
              <w:spacing w:after="0"/>
              <w:rPr>
                <w:sz w:val="20"/>
                <w:szCs w:val="20"/>
                <w:color w:val="auto"/>
              </w:rPr>
            </w:pPr>
            <w:r>
              <w:rPr>
                <w:rFonts w:ascii="Arial" w:cs="Arial" w:eastAsia="Arial" w:hAnsi="Arial"/>
                <w:sz w:val="18"/>
                <w:szCs w:val="18"/>
                <w:b w:val="1"/>
                <w:bCs w:val="1"/>
                <w:color w:val="auto"/>
              </w:rPr>
              <w:t>PLAINS MARKETING, L.P.</w:t>
            </w:r>
            <w:r>
              <w:rPr>
                <w:rFonts w:ascii="Arial" w:cs="Arial" w:eastAsia="Arial" w:hAnsi="Arial"/>
                <w:sz w:val="18"/>
                <w:szCs w:val="18"/>
                <w:color w:val="auto"/>
              </w:rPr>
              <w:t>,</w:t>
            </w:r>
          </w:p>
        </w:tc>
      </w:tr>
      <w:tr>
        <w:trPr>
          <w:trHeight w:val="222"/>
        </w:trPr>
        <w:tc>
          <w:tcPr>
            <w:tcW w:w="3580" w:type="dxa"/>
            <w:vAlign w:val="bottom"/>
          </w:tcPr>
          <w:p>
            <w:pPr>
              <w:spacing w:after="0"/>
              <w:rPr>
                <w:sz w:val="19"/>
                <w:szCs w:val="19"/>
                <w:color w:val="auto"/>
              </w:rPr>
            </w:pPr>
          </w:p>
        </w:tc>
        <w:tc>
          <w:tcPr>
            <w:tcW w:w="7840" w:type="dxa"/>
            <w:vAlign w:val="bottom"/>
            <w:gridSpan w:val="2"/>
          </w:tcPr>
          <w:p>
            <w:pPr>
              <w:ind w:left="2340"/>
              <w:spacing w:after="0"/>
              <w:rPr>
                <w:sz w:val="20"/>
                <w:szCs w:val="20"/>
                <w:color w:val="auto"/>
              </w:rPr>
            </w:pPr>
            <w:r>
              <w:rPr>
                <w:rFonts w:ascii="Arial" w:cs="Arial" w:eastAsia="Arial" w:hAnsi="Arial"/>
                <w:sz w:val="18"/>
                <w:szCs w:val="18"/>
                <w:color w:val="auto"/>
              </w:rPr>
              <w:t>as the Company and a Borrower</w:t>
            </w:r>
          </w:p>
        </w:tc>
      </w:tr>
      <w:tr>
        <w:trPr>
          <w:trHeight w:val="331"/>
        </w:trPr>
        <w:tc>
          <w:tcPr>
            <w:tcW w:w="3580" w:type="dxa"/>
            <w:vAlign w:val="bottom"/>
          </w:tcPr>
          <w:p>
            <w:pPr>
              <w:spacing w:after="0"/>
              <w:rPr>
                <w:sz w:val="24"/>
                <w:szCs w:val="24"/>
                <w:color w:val="auto"/>
              </w:rPr>
            </w:pPr>
          </w:p>
        </w:tc>
        <w:tc>
          <w:tcPr>
            <w:tcW w:w="7840" w:type="dxa"/>
            <w:vAlign w:val="bottom"/>
            <w:gridSpan w:val="2"/>
          </w:tcPr>
          <w:p>
            <w:pPr>
              <w:ind w:left="2340"/>
              <w:spacing w:after="0"/>
              <w:rPr>
                <w:sz w:val="20"/>
                <w:szCs w:val="20"/>
                <w:color w:val="auto"/>
              </w:rPr>
            </w:pPr>
            <w:r>
              <w:rPr>
                <w:rFonts w:ascii="Arial" w:cs="Arial" w:eastAsia="Arial" w:hAnsi="Arial"/>
                <w:sz w:val="18"/>
                <w:szCs w:val="18"/>
                <w:color w:val="auto"/>
              </w:rPr>
              <w:t>By: PLAINS MARKETING GP INC.,</w:t>
            </w:r>
          </w:p>
        </w:tc>
      </w:tr>
      <w:tr>
        <w:trPr>
          <w:trHeight w:val="222"/>
        </w:trPr>
        <w:tc>
          <w:tcPr>
            <w:tcW w:w="35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its general partner</w:t>
            </w:r>
          </w:p>
        </w:tc>
      </w:tr>
      <w:tr>
        <w:trPr>
          <w:trHeight w:val="366"/>
        </w:trPr>
        <w:tc>
          <w:tcPr>
            <w:tcW w:w="3580" w:type="dxa"/>
            <w:vAlign w:val="bottom"/>
          </w:tcPr>
          <w:p>
            <w:pPr>
              <w:spacing w:after="0"/>
              <w:rPr>
                <w:sz w:val="24"/>
                <w:szCs w:val="24"/>
                <w:color w:val="auto"/>
              </w:rPr>
            </w:pPr>
          </w:p>
        </w:tc>
        <w:tc>
          <w:tcPr>
            <w:tcW w:w="7840" w:type="dxa"/>
            <w:vAlign w:val="bottom"/>
            <w:gridSpan w:val="2"/>
          </w:tcPr>
          <w:p>
            <w:pPr>
              <w:ind w:left="2340"/>
              <w:spacing w:after="0"/>
              <w:rPr>
                <w:sz w:val="20"/>
                <w:szCs w:val="20"/>
                <w:color w:val="auto"/>
              </w:rPr>
            </w:pPr>
            <w:r>
              <w:rPr>
                <w:rFonts w:ascii="Arial" w:cs="Arial" w:eastAsia="Arial" w:hAnsi="Arial"/>
                <w:sz w:val="18"/>
                <w:szCs w:val="18"/>
                <w:color w:val="auto"/>
              </w:rPr>
              <w:t>By: /s/ Charles Kingswell-Smith</w:t>
            </w:r>
          </w:p>
        </w:tc>
      </w:tr>
      <w:tr>
        <w:trPr>
          <w:trHeight w:val="202"/>
        </w:trPr>
        <w:tc>
          <w:tcPr>
            <w:tcW w:w="35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Charles Kingswell-Smith</w:t>
            </w:r>
          </w:p>
        </w:tc>
      </w:tr>
      <w:tr>
        <w:trPr>
          <w:trHeight w:val="222"/>
        </w:trPr>
        <w:tc>
          <w:tcPr>
            <w:tcW w:w="35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Vice President and Treasurer</w:t>
            </w:r>
          </w:p>
        </w:tc>
      </w:tr>
    </w:tbl>
    <w:p>
      <w:pPr>
        <w:spacing w:after="0" w:line="204"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PLAINS MIDSTREAM CANADA ULC,</w:t>
      </w:r>
    </w:p>
    <w:p>
      <w:pPr>
        <w:spacing w:after="0" w:line="2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as PMCULC and a Borrower</w:t>
      </w:r>
    </w:p>
    <w:p>
      <w:pPr>
        <w:spacing w:after="0" w:line="15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Charles Kingswell-Smith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Charles Kingswell-Smith</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and Treasurer</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0" w:type="dxa"/>
            <w:vAlign w:val="bottom"/>
          </w:tcPr>
          <w:p>
            <w:pPr>
              <w:spacing w:after="0"/>
              <w:rPr>
                <w:sz w:val="20"/>
                <w:szCs w:val="20"/>
                <w:color w:val="auto"/>
              </w:rPr>
            </w:pPr>
            <w:r>
              <w:rPr>
                <w:rFonts w:ascii="Arial" w:cs="Arial" w:eastAsia="Arial" w:hAnsi="Arial"/>
                <w:sz w:val="18"/>
                <w:szCs w:val="18"/>
                <w:b w:val="1"/>
                <w:bCs w:val="1"/>
                <w:color w:val="auto"/>
              </w:rPr>
              <w:t>PAA:</w:t>
            </w:r>
          </w:p>
        </w:tc>
        <w:tc>
          <w:tcPr>
            <w:tcW w:w="8440" w:type="dxa"/>
            <w:vAlign w:val="bottom"/>
            <w:gridSpan w:val="3"/>
          </w:tcPr>
          <w:p>
            <w:pPr>
              <w:ind w:left="2920"/>
              <w:spacing w:after="0"/>
              <w:rPr>
                <w:sz w:val="20"/>
                <w:szCs w:val="20"/>
                <w:color w:val="auto"/>
              </w:rPr>
            </w:pPr>
            <w:r>
              <w:rPr>
                <w:rFonts w:ascii="Arial" w:cs="Arial" w:eastAsia="Arial" w:hAnsi="Arial"/>
                <w:sz w:val="18"/>
                <w:szCs w:val="18"/>
                <w:b w:val="1"/>
                <w:bCs w:val="1"/>
                <w:color w:val="auto"/>
              </w:rPr>
              <w:t>PLAINS ALL AMERICAN PIPELINE, L.P.</w:t>
            </w:r>
          </w:p>
        </w:tc>
      </w:tr>
      <w:tr>
        <w:trPr>
          <w:trHeight w:val="365"/>
        </w:trPr>
        <w:tc>
          <w:tcPr>
            <w:tcW w:w="3000" w:type="dxa"/>
            <w:vAlign w:val="bottom"/>
          </w:tcPr>
          <w:p>
            <w:pPr>
              <w:spacing w:after="0"/>
              <w:rPr>
                <w:sz w:val="24"/>
                <w:szCs w:val="24"/>
                <w:color w:val="auto"/>
              </w:rPr>
            </w:pPr>
          </w:p>
        </w:tc>
        <w:tc>
          <w:tcPr>
            <w:tcW w:w="8440" w:type="dxa"/>
            <w:vAlign w:val="bottom"/>
            <w:gridSpan w:val="3"/>
          </w:tcPr>
          <w:p>
            <w:pPr>
              <w:ind w:left="2920"/>
              <w:spacing w:after="0"/>
              <w:rPr>
                <w:sz w:val="20"/>
                <w:szCs w:val="20"/>
                <w:color w:val="auto"/>
              </w:rPr>
            </w:pPr>
            <w:r>
              <w:rPr>
                <w:rFonts w:ascii="Arial" w:cs="Arial" w:eastAsia="Arial" w:hAnsi="Arial"/>
                <w:sz w:val="18"/>
                <w:szCs w:val="18"/>
                <w:color w:val="auto"/>
              </w:rPr>
              <w:t>By: PAA GP LLC, its general partner</w:t>
            </w:r>
          </w:p>
        </w:tc>
      </w:tr>
      <w:tr>
        <w:trPr>
          <w:trHeight w:val="324"/>
        </w:trPr>
        <w:tc>
          <w:tcPr>
            <w:tcW w:w="3000" w:type="dxa"/>
            <w:vAlign w:val="bottom"/>
          </w:tcPr>
          <w:p>
            <w:pPr>
              <w:spacing w:after="0"/>
              <w:rPr>
                <w:sz w:val="24"/>
                <w:szCs w:val="24"/>
                <w:color w:val="auto"/>
              </w:rPr>
            </w:pPr>
          </w:p>
        </w:tc>
        <w:tc>
          <w:tcPr>
            <w:tcW w:w="8440" w:type="dxa"/>
            <w:vAlign w:val="bottom"/>
            <w:gridSpan w:val="3"/>
          </w:tcPr>
          <w:p>
            <w:pPr>
              <w:ind w:left="2920"/>
              <w:spacing w:after="0"/>
              <w:rPr>
                <w:sz w:val="20"/>
                <w:szCs w:val="20"/>
                <w:color w:val="auto"/>
              </w:rPr>
            </w:pPr>
            <w:r>
              <w:rPr>
                <w:rFonts w:ascii="Arial" w:cs="Arial" w:eastAsia="Arial" w:hAnsi="Arial"/>
                <w:sz w:val="18"/>
                <w:szCs w:val="18"/>
                <w:color w:val="auto"/>
              </w:rPr>
              <w:t>By: PLAINS AAP, L.P., its sole member</w:t>
            </w:r>
          </w:p>
        </w:tc>
      </w:tr>
      <w:tr>
        <w:trPr>
          <w:trHeight w:val="318"/>
        </w:trPr>
        <w:tc>
          <w:tcPr>
            <w:tcW w:w="3000" w:type="dxa"/>
            <w:vAlign w:val="bottom"/>
          </w:tcPr>
          <w:p>
            <w:pPr>
              <w:spacing w:after="0"/>
              <w:rPr>
                <w:sz w:val="24"/>
                <w:szCs w:val="24"/>
                <w:color w:val="auto"/>
              </w:rPr>
            </w:pPr>
          </w:p>
        </w:tc>
        <w:tc>
          <w:tcPr>
            <w:tcW w:w="8440" w:type="dxa"/>
            <w:vAlign w:val="bottom"/>
            <w:gridSpan w:val="3"/>
          </w:tcPr>
          <w:p>
            <w:pPr>
              <w:ind w:left="2920"/>
              <w:spacing w:after="0"/>
              <w:rPr>
                <w:sz w:val="20"/>
                <w:szCs w:val="20"/>
                <w:color w:val="auto"/>
              </w:rPr>
            </w:pPr>
            <w:r>
              <w:rPr>
                <w:rFonts w:ascii="Arial" w:cs="Arial" w:eastAsia="Arial" w:hAnsi="Arial"/>
                <w:sz w:val="18"/>
                <w:szCs w:val="18"/>
                <w:color w:val="auto"/>
              </w:rPr>
              <w:t>By: PLAINS ALL AMERICAN GP LLC,</w:t>
            </w:r>
          </w:p>
        </w:tc>
      </w:tr>
      <w:tr>
        <w:trPr>
          <w:trHeight w:val="222"/>
        </w:trPr>
        <w:tc>
          <w:tcPr>
            <w:tcW w:w="30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5260" w:type="dxa"/>
            <w:vAlign w:val="bottom"/>
            <w:gridSpan w:val="2"/>
          </w:tcPr>
          <w:p>
            <w:pPr>
              <w:ind w:left="100"/>
              <w:spacing w:after="0"/>
              <w:rPr>
                <w:sz w:val="20"/>
                <w:szCs w:val="20"/>
                <w:color w:val="auto"/>
              </w:rPr>
            </w:pPr>
            <w:r>
              <w:rPr>
                <w:rFonts w:ascii="Arial" w:cs="Arial" w:eastAsia="Arial" w:hAnsi="Arial"/>
                <w:sz w:val="18"/>
                <w:szCs w:val="18"/>
                <w:color w:val="auto"/>
              </w:rPr>
              <w:t>its general partner</w:t>
            </w:r>
          </w:p>
        </w:tc>
      </w:tr>
      <w:tr>
        <w:trPr>
          <w:trHeight w:val="366"/>
        </w:trPr>
        <w:tc>
          <w:tcPr>
            <w:tcW w:w="3000" w:type="dxa"/>
            <w:vAlign w:val="bottom"/>
          </w:tcPr>
          <w:p>
            <w:pPr>
              <w:spacing w:after="0"/>
              <w:rPr>
                <w:sz w:val="24"/>
                <w:szCs w:val="24"/>
                <w:color w:val="auto"/>
              </w:rPr>
            </w:pPr>
          </w:p>
        </w:tc>
        <w:tc>
          <w:tcPr>
            <w:tcW w:w="8440" w:type="dxa"/>
            <w:vAlign w:val="bottom"/>
            <w:gridSpan w:val="3"/>
          </w:tcPr>
          <w:p>
            <w:pPr>
              <w:ind w:left="2920"/>
              <w:spacing w:after="0"/>
              <w:rPr>
                <w:sz w:val="20"/>
                <w:szCs w:val="20"/>
                <w:color w:val="auto"/>
              </w:rPr>
            </w:pPr>
            <w:r>
              <w:rPr>
                <w:rFonts w:ascii="Arial" w:cs="Arial" w:eastAsia="Arial" w:hAnsi="Arial"/>
                <w:sz w:val="18"/>
                <w:szCs w:val="18"/>
                <w:color w:val="auto"/>
              </w:rPr>
              <w:t>By: /s/ Charles Kingswell-Smith</w:t>
            </w:r>
          </w:p>
        </w:tc>
      </w:tr>
      <w:tr>
        <w:trPr>
          <w:trHeight w:val="202"/>
        </w:trPr>
        <w:tc>
          <w:tcPr>
            <w:tcW w:w="30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Charles Kingswell-Smith</w:t>
            </w:r>
          </w:p>
        </w:tc>
        <w:tc>
          <w:tcPr>
            <w:tcW w:w="20" w:type="dxa"/>
            <w:vAlign w:val="bottom"/>
          </w:tcPr>
          <w:p>
            <w:pPr>
              <w:spacing w:after="0"/>
              <w:rPr>
                <w:sz w:val="17"/>
                <w:szCs w:val="17"/>
                <w:color w:val="auto"/>
              </w:rPr>
            </w:pPr>
          </w:p>
        </w:tc>
      </w:tr>
      <w:tr>
        <w:trPr>
          <w:trHeight w:val="222"/>
        </w:trPr>
        <w:tc>
          <w:tcPr>
            <w:tcW w:w="30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5260" w:type="dxa"/>
            <w:vAlign w:val="bottom"/>
            <w:gridSpan w:val="2"/>
          </w:tcPr>
          <w:p>
            <w:pPr>
              <w:ind w:left="100"/>
              <w:spacing w:after="0"/>
              <w:rPr>
                <w:sz w:val="20"/>
                <w:szCs w:val="20"/>
                <w:color w:val="auto"/>
              </w:rPr>
            </w:pPr>
            <w:r>
              <w:rPr>
                <w:rFonts w:ascii="Arial" w:cs="Arial" w:eastAsia="Arial" w:hAnsi="Arial"/>
                <w:sz w:val="18"/>
                <w:szCs w:val="18"/>
                <w:color w:val="auto"/>
              </w:rPr>
              <w:t>Vice President and Treasurer</w:t>
            </w:r>
          </w:p>
        </w:tc>
      </w:tr>
      <w:tr>
        <w:trPr>
          <w:trHeight w:val="365"/>
        </w:trPr>
        <w:tc>
          <w:tcPr>
            <w:tcW w:w="30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260" w:type="dxa"/>
            <w:vAlign w:val="bottom"/>
            <w:gridSpan w:val="2"/>
          </w:tcPr>
          <w:p>
            <w:pPr>
              <w:ind w:left="3500"/>
              <w:spacing w:after="0"/>
              <w:rPr>
                <w:sz w:val="20"/>
                <w:szCs w:val="20"/>
                <w:color w:val="auto"/>
              </w:rPr>
            </w:pPr>
            <w:r>
              <w:rPr>
                <w:rFonts w:ascii="Arial" w:cs="Arial" w:eastAsia="Arial" w:hAnsi="Arial"/>
                <w:sz w:val="18"/>
                <w:szCs w:val="18"/>
                <w:color w:val="auto"/>
                <w:w w:val="91"/>
              </w:rPr>
              <w:t>PMLP First Amendment</w:t>
            </w:r>
          </w:p>
        </w:tc>
      </w:tr>
      <w:tr>
        <w:trPr>
          <w:trHeight w:val="365"/>
        </w:trPr>
        <w:tc>
          <w:tcPr>
            <w:tcW w:w="3000" w:type="dxa"/>
            <w:vAlign w:val="bottom"/>
          </w:tcPr>
          <w:p>
            <w:pPr>
              <w:spacing w:after="0"/>
              <w:rPr>
                <w:sz w:val="24"/>
                <w:szCs w:val="24"/>
                <w:color w:val="auto"/>
              </w:rPr>
            </w:pPr>
          </w:p>
        </w:tc>
        <w:tc>
          <w:tcPr>
            <w:tcW w:w="8440" w:type="dxa"/>
            <w:vAlign w:val="bottom"/>
            <w:gridSpan w:val="3"/>
          </w:tcPr>
          <w:p>
            <w:pPr>
              <w:ind w:left="2600"/>
              <w:spacing w:after="0"/>
              <w:rPr>
                <w:sz w:val="20"/>
                <w:szCs w:val="20"/>
                <w:color w:val="auto"/>
              </w:rPr>
            </w:pPr>
            <w:r>
              <w:rPr>
                <w:rFonts w:ascii="Arial" w:cs="Arial" w:eastAsia="Arial" w:hAnsi="Arial"/>
                <w:sz w:val="18"/>
                <w:szCs w:val="18"/>
                <w:color w:val="auto"/>
              </w:rPr>
              <w:t>S-1</w:t>
            </w:r>
          </w:p>
        </w:tc>
      </w:tr>
    </w:tbl>
    <w:p>
      <w:pPr>
        <w:sectPr>
          <w:pgSz w:w="11900" w:h="16838" w:orient="portrait"/>
          <w:cols w:equalWidth="0" w:num="1">
            <w:col w:w="11420"/>
          </w:cols>
          <w:pgMar w:left="240" w:top="280" w:right="23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3580" w:type="dxa"/>
            <w:vAlign w:val="bottom"/>
          </w:tcPr>
          <w:p>
            <w:pPr>
              <w:spacing w:after="0"/>
              <w:rPr>
                <w:sz w:val="20"/>
                <w:szCs w:val="20"/>
                <w:color w:val="auto"/>
              </w:rPr>
            </w:pPr>
            <w:r>
              <w:rPr>
                <w:rFonts w:ascii="Arial" w:cs="Arial" w:eastAsia="Arial" w:hAnsi="Arial"/>
                <w:sz w:val="18"/>
                <w:szCs w:val="18"/>
                <w:b w:val="1"/>
                <w:bCs w:val="1"/>
                <w:color w:val="auto"/>
              </w:rPr>
              <w:t>LENDER PARTIES:</w:t>
            </w:r>
          </w:p>
        </w:tc>
        <w:tc>
          <w:tcPr>
            <w:tcW w:w="7860" w:type="dxa"/>
            <w:vAlign w:val="bottom"/>
            <w:gridSpan w:val="3"/>
          </w:tcPr>
          <w:p>
            <w:pPr>
              <w:ind w:left="2340"/>
              <w:spacing w:after="0"/>
              <w:rPr>
                <w:sz w:val="20"/>
                <w:szCs w:val="20"/>
                <w:color w:val="auto"/>
              </w:rPr>
            </w:pPr>
            <w:r>
              <w:rPr>
                <w:rFonts w:ascii="Arial" w:cs="Arial" w:eastAsia="Arial" w:hAnsi="Arial"/>
                <w:sz w:val="18"/>
                <w:szCs w:val="18"/>
                <w:color w:val="auto"/>
              </w:rPr>
              <w:t>BANK OF AMERICA, N.A.,</w:t>
            </w:r>
          </w:p>
        </w:tc>
      </w:tr>
      <w:tr>
        <w:trPr>
          <w:trHeight w:val="222"/>
        </w:trPr>
        <w:tc>
          <w:tcPr>
            <w:tcW w:w="3580" w:type="dxa"/>
            <w:vAlign w:val="bottom"/>
          </w:tcPr>
          <w:p>
            <w:pPr>
              <w:spacing w:after="0"/>
              <w:rPr>
                <w:sz w:val="19"/>
                <w:szCs w:val="19"/>
                <w:color w:val="auto"/>
              </w:rPr>
            </w:pPr>
          </w:p>
        </w:tc>
        <w:tc>
          <w:tcPr>
            <w:tcW w:w="7860" w:type="dxa"/>
            <w:vAlign w:val="bottom"/>
            <w:gridSpan w:val="3"/>
          </w:tcPr>
          <w:p>
            <w:pPr>
              <w:ind w:left="2340"/>
              <w:spacing w:after="0"/>
              <w:rPr>
                <w:sz w:val="20"/>
                <w:szCs w:val="20"/>
                <w:color w:val="auto"/>
              </w:rPr>
            </w:pPr>
            <w:r>
              <w:rPr>
                <w:rFonts w:ascii="Arial" w:cs="Arial" w:eastAsia="Arial" w:hAnsi="Arial"/>
                <w:sz w:val="18"/>
                <w:szCs w:val="18"/>
                <w:color w:val="auto"/>
              </w:rPr>
              <w:t>Administrative Agent</w:t>
            </w:r>
          </w:p>
        </w:tc>
      </w:tr>
      <w:tr>
        <w:trPr>
          <w:trHeight w:val="447"/>
        </w:trPr>
        <w:tc>
          <w:tcPr>
            <w:tcW w:w="3580" w:type="dxa"/>
            <w:vAlign w:val="bottom"/>
          </w:tcPr>
          <w:p>
            <w:pPr>
              <w:spacing w:after="0"/>
              <w:rPr>
                <w:sz w:val="24"/>
                <w:szCs w:val="24"/>
                <w:color w:val="auto"/>
              </w:rPr>
            </w:pPr>
          </w:p>
        </w:tc>
        <w:tc>
          <w:tcPr>
            <w:tcW w:w="7860" w:type="dxa"/>
            <w:vAlign w:val="bottom"/>
            <w:gridSpan w:val="3"/>
          </w:tcPr>
          <w:p>
            <w:pPr>
              <w:ind w:left="2340"/>
              <w:spacing w:after="0"/>
              <w:rPr>
                <w:sz w:val="20"/>
                <w:szCs w:val="20"/>
                <w:color w:val="auto"/>
              </w:rPr>
            </w:pPr>
            <w:r>
              <w:rPr>
                <w:rFonts w:ascii="Arial" w:cs="Arial" w:eastAsia="Arial" w:hAnsi="Arial"/>
                <w:sz w:val="18"/>
                <w:szCs w:val="18"/>
                <w:color w:val="auto"/>
              </w:rPr>
              <w:t>By: /s/ Bridgett J .Manduk</w:t>
            </w:r>
          </w:p>
        </w:tc>
      </w:tr>
      <w:tr>
        <w:trPr>
          <w:trHeight w:val="202"/>
        </w:trPr>
        <w:tc>
          <w:tcPr>
            <w:tcW w:w="35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Name: Bridgett J .Manduk</w:t>
            </w:r>
          </w:p>
        </w:tc>
        <w:tc>
          <w:tcPr>
            <w:tcW w:w="20" w:type="dxa"/>
            <w:vAlign w:val="bottom"/>
          </w:tcPr>
          <w:p>
            <w:pPr>
              <w:spacing w:after="0"/>
              <w:rPr>
                <w:sz w:val="17"/>
                <w:szCs w:val="17"/>
                <w:color w:val="auto"/>
              </w:rPr>
            </w:pPr>
          </w:p>
        </w:tc>
      </w:tr>
      <w:tr>
        <w:trPr>
          <w:trHeight w:val="222"/>
        </w:trPr>
        <w:tc>
          <w:tcPr>
            <w:tcW w:w="35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260" w:type="dxa"/>
            <w:vAlign w:val="bottom"/>
            <w:gridSpan w:val="2"/>
          </w:tcPr>
          <w:p>
            <w:pPr>
              <w:ind w:left="100"/>
              <w:spacing w:after="0"/>
              <w:rPr>
                <w:sz w:val="20"/>
                <w:szCs w:val="20"/>
                <w:color w:val="auto"/>
              </w:rPr>
            </w:pPr>
            <w:r>
              <w:rPr>
                <w:rFonts w:ascii="Arial" w:cs="Arial" w:eastAsia="Arial" w:hAnsi="Arial"/>
                <w:sz w:val="18"/>
                <w:szCs w:val="18"/>
                <w:color w:val="auto"/>
              </w:rPr>
              <w:t>Title: Assistant Vice President</w:t>
            </w:r>
          </w:p>
        </w:tc>
      </w:tr>
      <w:tr>
        <w:trPr>
          <w:trHeight w:val="358"/>
        </w:trPr>
        <w:tc>
          <w:tcPr>
            <w:tcW w:w="3580" w:type="dxa"/>
            <w:vAlign w:val="bottom"/>
          </w:tcPr>
          <w:p>
            <w:pPr>
              <w:spacing w:after="0"/>
              <w:rPr>
                <w:sz w:val="24"/>
                <w:szCs w:val="24"/>
                <w:color w:val="auto"/>
              </w:rPr>
            </w:pPr>
          </w:p>
        </w:tc>
        <w:tc>
          <w:tcPr>
            <w:tcW w:w="7860" w:type="dxa"/>
            <w:vAlign w:val="bottom"/>
            <w:gridSpan w:val="3"/>
          </w:tcPr>
          <w:p>
            <w:pPr>
              <w:ind w:left="2340"/>
              <w:spacing w:after="0"/>
              <w:rPr>
                <w:sz w:val="20"/>
                <w:szCs w:val="20"/>
                <w:color w:val="auto"/>
              </w:rPr>
            </w:pPr>
            <w:r>
              <w:rPr>
                <w:rFonts w:ascii="Arial" w:cs="Arial" w:eastAsia="Arial" w:hAnsi="Arial"/>
                <w:sz w:val="18"/>
                <w:szCs w:val="18"/>
                <w:color w:val="auto"/>
              </w:rPr>
              <w:t>BANK OF AMERICA, N.A.,</w:t>
            </w:r>
          </w:p>
        </w:tc>
      </w:tr>
      <w:tr>
        <w:trPr>
          <w:trHeight w:val="222"/>
        </w:trPr>
        <w:tc>
          <w:tcPr>
            <w:tcW w:w="3580" w:type="dxa"/>
            <w:vAlign w:val="bottom"/>
          </w:tcPr>
          <w:p>
            <w:pPr>
              <w:spacing w:after="0"/>
              <w:rPr>
                <w:sz w:val="19"/>
                <w:szCs w:val="19"/>
                <w:color w:val="auto"/>
              </w:rPr>
            </w:pPr>
          </w:p>
        </w:tc>
        <w:tc>
          <w:tcPr>
            <w:tcW w:w="7860" w:type="dxa"/>
            <w:vAlign w:val="bottom"/>
            <w:gridSpan w:val="3"/>
          </w:tcPr>
          <w:p>
            <w:pPr>
              <w:ind w:left="2340"/>
              <w:spacing w:after="0"/>
              <w:rPr>
                <w:sz w:val="20"/>
                <w:szCs w:val="20"/>
                <w:color w:val="auto"/>
              </w:rPr>
            </w:pPr>
            <w:r>
              <w:rPr>
                <w:rFonts w:ascii="Arial" w:cs="Arial" w:eastAsia="Arial" w:hAnsi="Arial"/>
                <w:sz w:val="18"/>
                <w:szCs w:val="18"/>
                <w:color w:val="auto"/>
              </w:rPr>
              <w:t>a Lender, Swing Line Lender and an L/C Issuer</w:t>
            </w:r>
          </w:p>
        </w:tc>
      </w:tr>
      <w:tr>
        <w:trPr>
          <w:trHeight w:val="447"/>
        </w:trPr>
        <w:tc>
          <w:tcPr>
            <w:tcW w:w="3580" w:type="dxa"/>
            <w:vAlign w:val="bottom"/>
          </w:tcPr>
          <w:p>
            <w:pPr>
              <w:spacing w:after="0"/>
              <w:rPr>
                <w:sz w:val="24"/>
                <w:szCs w:val="24"/>
                <w:color w:val="auto"/>
              </w:rPr>
            </w:pPr>
          </w:p>
        </w:tc>
        <w:tc>
          <w:tcPr>
            <w:tcW w:w="7860" w:type="dxa"/>
            <w:vAlign w:val="bottom"/>
            <w:gridSpan w:val="3"/>
          </w:tcPr>
          <w:p>
            <w:pPr>
              <w:ind w:left="2340"/>
              <w:spacing w:after="0"/>
              <w:rPr>
                <w:sz w:val="20"/>
                <w:szCs w:val="20"/>
                <w:color w:val="auto"/>
              </w:rPr>
            </w:pPr>
            <w:r>
              <w:rPr>
                <w:rFonts w:ascii="Arial" w:cs="Arial" w:eastAsia="Arial" w:hAnsi="Arial"/>
                <w:sz w:val="18"/>
                <w:szCs w:val="18"/>
                <w:color w:val="auto"/>
              </w:rPr>
              <w:t>By: /s/ Adam H. Fey</w:t>
            </w:r>
          </w:p>
        </w:tc>
      </w:tr>
      <w:tr>
        <w:trPr>
          <w:trHeight w:val="202"/>
        </w:trPr>
        <w:tc>
          <w:tcPr>
            <w:tcW w:w="35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Name: Adam H. Fey</w:t>
            </w:r>
          </w:p>
        </w:tc>
        <w:tc>
          <w:tcPr>
            <w:tcW w:w="20" w:type="dxa"/>
            <w:vAlign w:val="bottom"/>
          </w:tcPr>
          <w:p>
            <w:pPr>
              <w:spacing w:after="0"/>
              <w:rPr>
                <w:sz w:val="17"/>
                <w:szCs w:val="17"/>
                <w:color w:val="auto"/>
              </w:rPr>
            </w:pPr>
          </w:p>
        </w:tc>
      </w:tr>
      <w:tr>
        <w:trPr>
          <w:trHeight w:val="222"/>
        </w:trPr>
        <w:tc>
          <w:tcPr>
            <w:tcW w:w="35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260" w:type="dxa"/>
            <w:vAlign w:val="bottom"/>
            <w:gridSpan w:val="2"/>
          </w:tcPr>
          <w:p>
            <w:pPr>
              <w:ind w:left="100"/>
              <w:spacing w:after="0"/>
              <w:rPr>
                <w:sz w:val="20"/>
                <w:szCs w:val="20"/>
                <w:color w:val="auto"/>
              </w:rPr>
            </w:pPr>
            <w:r>
              <w:rPr>
                <w:rFonts w:ascii="Arial" w:cs="Arial" w:eastAsia="Arial" w:hAnsi="Arial"/>
                <w:sz w:val="18"/>
                <w:szCs w:val="18"/>
                <w:color w:val="auto"/>
              </w:rPr>
              <w:t>Title: Director</w:t>
            </w:r>
          </w:p>
        </w:tc>
      </w:tr>
      <w:tr>
        <w:trPr>
          <w:trHeight w:val="365"/>
        </w:trPr>
        <w:tc>
          <w:tcPr>
            <w:tcW w:w="3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260" w:type="dxa"/>
            <w:vAlign w:val="bottom"/>
            <w:gridSpan w:val="2"/>
          </w:tcPr>
          <w:p>
            <w:pPr>
              <w:ind w:left="3500"/>
              <w:spacing w:after="0"/>
              <w:rPr>
                <w:sz w:val="20"/>
                <w:szCs w:val="20"/>
                <w:color w:val="auto"/>
              </w:rPr>
            </w:pPr>
            <w:r>
              <w:rPr>
                <w:rFonts w:ascii="Arial" w:cs="Arial" w:eastAsia="Arial" w:hAnsi="Arial"/>
                <w:sz w:val="18"/>
                <w:szCs w:val="18"/>
                <w:color w:val="auto"/>
                <w:w w:val="91"/>
              </w:rPr>
              <w:t>PMLP First Amendment</w:t>
            </w:r>
          </w:p>
        </w:tc>
      </w:tr>
      <w:tr>
        <w:trPr>
          <w:trHeight w:val="365"/>
        </w:trPr>
        <w:tc>
          <w:tcPr>
            <w:tcW w:w="3580" w:type="dxa"/>
            <w:vAlign w:val="bottom"/>
          </w:tcPr>
          <w:p>
            <w:pPr>
              <w:spacing w:after="0"/>
              <w:rPr>
                <w:sz w:val="24"/>
                <w:szCs w:val="24"/>
                <w:color w:val="auto"/>
              </w:rPr>
            </w:pPr>
          </w:p>
        </w:tc>
        <w:tc>
          <w:tcPr>
            <w:tcW w:w="7860" w:type="dxa"/>
            <w:vAlign w:val="bottom"/>
            <w:gridSpan w:val="3"/>
          </w:tcPr>
          <w:p>
            <w:pPr>
              <w:ind w:left="202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420"/>
          </w:cols>
          <w:pgMar w:left="240" w:top="274" w:right="239" w:bottom="1440" w:gutter="0" w:footer="0" w:header="0"/>
        </w:sectPr>
      </w:pPr>
    </w:p>
    <w:bookmarkStart w:id="13" w:name="page14"/>
    <w:bookmarkEnd w:id="1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SOCIÉTÉ GÉNÉRALE,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Chad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Chad Clark</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PMLP First Amendment</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220"/>
          </w:cols>
          <w:pgMar w:left="1440" w:top="280" w:right="239" w:bottom="1440" w:gutter="0" w:footer="0" w:header="0"/>
        </w:sectPr>
      </w:pPr>
    </w:p>
    <w:bookmarkStart w:id="14" w:name="page15"/>
    <w:bookmarkEnd w:id="1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CITIBANK, N.A.,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John 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John F. Miller</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Attorney-in-Fact</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PMLP First Amendment</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220"/>
          </w:cols>
          <w:pgMar w:left="1440" w:top="280" w:right="239" w:bottom="1440" w:gutter="0" w:footer="0" w:header="0"/>
        </w:sectPr>
      </w:pPr>
    </w:p>
    <w:bookmarkStart w:id="15" w:name="page16"/>
    <w:bookmarkEnd w:id="1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JPMORGAN CHASE BANK, N.A.,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Stephanie Balette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Stephanie Balette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Officer</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PMLP First Amendment</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220"/>
          </w:cols>
          <w:pgMar w:left="1440" w:top="280" w:right="239" w:bottom="1440" w:gutter="0" w:footer="0" w:header="0"/>
        </w:sectPr>
      </w:pPr>
    </w:p>
    <w:bookmarkStart w:id="16" w:name="page17"/>
    <w:bookmarkEnd w:id="16"/>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MIZUHO CORPORATE BANK, LTD.,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Leon 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Leon Mo</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PMLP First Amendment</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220"/>
          </w:cols>
          <w:pgMar w:left="1440" w:top="280" w:right="239" w:bottom="1440" w:gutter="0" w:footer="0" w:header="0"/>
        </w:sectPr>
      </w:pPr>
    </w:p>
    <w:bookmarkStart w:id="17" w:name="page18"/>
    <w:bookmarkEnd w:id="17"/>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BANK OF NOVA SCOTIA,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Mark Sparrow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Mark Sparrow</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PMLP First Amendment</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220"/>
          </w:cols>
          <w:pgMar w:left="1440" w:top="280" w:right="239" w:bottom="1440" w:gutter="0" w:footer="0" w:header="0"/>
        </w:sectPr>
      </w:pPr>
    </w:p>
    <w:bookmarkStart w:id="18" w:name="page19"/>
    <w:bookmarkEnd w:id="1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BANK OF TOKYO-MITSUBISHI UFJ, LTD.,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Andrew Oram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Andrew Oram</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PMLP First Amendment</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220"/>
          </w:cols>
          <w:pgMar w:left="1440" w:top="280" w:right="239" w:bottom="1440" w:gutter="0" w:footer="0" w:header="0"/>
        </w:sectPr>
      </w:pPr>
    </w:p>
    <w:bookmarkStart w:id="19" w:name="page20"/>
    <w:bookmarkEnd w:id="19"/>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DNB BANK ASA, GRAND CAYMAN BRANCH,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Sanjiv Nayar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Sanjiv Nayar</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Florianne Robin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Florianne Robin</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PMLP First Amendment</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0220"/>
          </w:cols>
          <w:pgMar w:left="1440" w:top="280" w:right="239" w:bottom="1440" w:gutter="0" w:footer="0" w:header="0"/>
        </w:sectPr>
      </w:pPr>
    </w:p>
    <w:bookmarkStart w:id="20" w:name="page21"/>
    <w:bookmarkEnd w:id="2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 OF MONTREAL,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Gumaro Tijerina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Gumaro Tijerina</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PMLP First Amendment</w:t>
      </w:r>
    </w:p>
    <w:p>
      <w:pPr>
        <w:spacing w:after="0" w:line="15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0220"/>
          </w:cols>
          <w:pgMar w:left="1440" w:top="280" w:right="239" w:bottom="1440" w:gutter="0" w:footer="0" w:header="0"/>
        </w:sectPr>
      </w:pPr>
    </w:p>
    <w:bookmarkStart w:id="21" w:name="page22"/>
    <w:bookmarkEnd w:id="2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BARCLAYS BANK PLC,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Michael J. Mozer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Michael J. Mozer</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PMLP First Amendment</w:t>
      </w:r>
    </w:p>
    <w:p>
      <w:pPr>
        <w:spacing w:after="0" w:line="15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0220"/>
          </w:cols>
          <w:pgMar w:left="1440" w:top="280" w:right="239" w:bottom="1440" w:gutter="0" w:footer="0" w:header="0"/>
        </w:sectPr>
      </w:pPr>
    </w:p>
    <w:bookmarkStart w:id="22" w:name="page23"/>
    <w:bookmarkEnd w:id="2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CANADIAN IMPERIAL BANK OF</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COMMERCE, NEW YORK AGENCY,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Jonathan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Jonathan Kim</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Robert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Robert Casey</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PMLP First Amendment</w:t>
      </w:r>
    </w:p>
    <w:p>
      <w:pPr>
        <w:spacing w:after="0" w:line="15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0220"/>
          </w:cols>
          <w:pgMar w:left="1440" w:top="280" w:right="239" w:bottom="1440" w:gutter="0" w:footer="0" w:header="0"/>
        </w:sectPr>
      </w:pPr>
    </w:p>
    <w:bookmarkStart w:id="23" w:name="page24"/>
    <w:bookmarkEnd w:id="2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COMPASS BANK,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Dorothy Marchand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Dorothy Marchand</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PMLP First Amendment</w:t>
      </w:r>
    </w:p>
    <w:p>
      <w:pPr>
        <w:spacing w:after="0" w:line="15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0220"/>
          </w:cols>
          <w:pgMar w:left="1440" w:top="280" w:right="239" w:bottom="1440" w:gutter="0" w:footer="0" w:header="0"/>
        </w:sectPr>
      </w:pPr>
    </w:p>
    <w:bookmarkStart w:id="24" w:name="page25"/>
    <w:bookmarkEnd w:id="2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UBS LOAN FINANCE LLC,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Irja R. Otsa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Irja R. Otsa</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Associate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Mary E.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Mary E. Evans</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Associate Director</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PMLP First Amendment</w:t>
      </w:r>
    </w:p>
    <w:p>
      <w:pPr>
        <w:spacing w:after="0" w:line="15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0220"/>
          </w:cols>
          <w:pgMar w:left="1440" w:top="280" w:right="239" w:bottom="1440" w:gutter="0" w:footer="0" w:header="0"/>
        </w:sectPr>
      </w:pPr>
    </w:p>
    <w:bookmarkStart w:id="25" w:name="page26"/>
    <w:bookmarkEnd w:id="2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MORGAN STANLEY BANK, N.A.,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Michael King</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PMLP First Amendment</w:t>
      </w:r>
    </w:p>
    <w:p>
      <w:pPr>
        <w:spacing w:after="0" w:line="15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0220"/>
          </w:cols>
          <w:pgMar w:left="1440" w:top="280" w:right="239" w:bottom="1440" w:gutter="0" w:footer="0" w:header="0"/>
        </w:sectPr>
      </w:pPr>
    </w:p>
    <w:bookmarkStart w:id="26" w:name="page27"/>
    <w:bookmarkEnd w:id="26"/>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ROYAL BANK OF CANADA,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Kristan Spivey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Kristan Spivey</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PMLP First Amendment</w:t>
      </w:r>
    </w:p>
    <w:p>
      <w:pPr>
        <w:spacing w:after="0" w:line="15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0220"/>
          </w:cols>
          <w:pgMar w:left="1440" w:top="280" w:right="239" w:bottom="1440" w:gutter="0" w:footer="0" w:header="0"/>
        </w:sectPr>
      </w:pPr>
    </w:p>
    <w:bookmarkStart w:id="27" w:name="page28"/>
    <w:bookmarkEnd w:id="27"/>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SUMITOMO MITSUI BANKING CORPORATION,</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Shuji Yabe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Shuji Yabe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PMLP First Amendment</w:t>
      </w:r>
    </w:p>
    <w:p>
      <w:pPr>
        <w:spacing w:after="0" w:line="15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0220"/>
          </w:cols>
          <w:pgMar w:left="1440" w:top="280" w:right="239" w:bottom="1440" w:gutter="0" w:footer="0" w:header="0"/>
        </w:sectPr>
      </w:pPr>
    </w:p>
    <w:bookmarkStart w:id="28" w:name="page29"/>
    <w:bookmarkEnd w:id="2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SUNTRUST BANK,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Andrew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Andrew Johnson</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PMLP First Amendment</w:t>
      </w:r>
    </w:p>
    <w:p>
      <w:pPr>
        <w:spacing w:after="0" w:line="15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0220"/>
          </w:cols>
          <w:pgMar w:left="1440" w:top="280" w:right="239" w:bottom="1440" w:gutter="0" w:footer="0" w:header="0"/>
        </w:sectPr>
      </w:pPr>
    </w:p>
    <w:bookmarkStart w:id="29" w:name="page30"/>
    <w:bookmarkEnd w:id="29"/>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BNP PARIBAS,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Angela B.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Angela B. Arnold</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Melissa Balley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Melissa Balley</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PMLP First Amendment</w:t>
      </w:r>
    </w:p>
    <w:p>
      <w:pPr>
        <w:spacing w:after="0" w:line="15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0220"/>
          </w:cols>
          <w:pgMar w:left="1440" w:top="280" w:right="239" w:bottom="1440" w:gutter="0" w:footer="0" w:header="0"/>
        </w:sectPr>
      </w:pPr>
    </w:p>
    <w:bookmarkStart w:id="30" w:name="page31"/>
    <w:bookmarkEnd w:id="30"/>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WELLS FARGO BANK, NATIONAL ASSOCIATION, Lender</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and an L/C Issuer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Mark Oberreuter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Mark Oberreuter</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PMLP First Amendment</w:t>
      </w:r>
    </w:p>
    <w:p>
      <w:pPr>
        <w:spacing w:after="0" w:line="15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0220"/>
          </w:cols>
          <w:pgMar w:left="1440" w:top="280" w:right="239" w:bottom="1440" w:gutter="0" w:footer="0" w:header="0"/>
        </w:sectPr>
      </w:pPr>
    </w:p>
    <w:bookmarkStart w:id="31" w:name="page32"/>
    <w:bookmarkEnd w:id="3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FIFTH THIRD BANK,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Matthew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Matthew Lewis</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PMLP First Amendment</w:t>
      </w:r>
    </w:p>
    <w:p>
      <w:pPr>
        <w:spacing w:after="0" w:line="15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0220"/>
          </w:cols>
          <w:pgMar w:left="1440" w:top="280" w:right="239" w:bottom="1440" w:gutter="0" w:footer="0" w:header="0"/>
        </w:sectPr>
      </w:pPr>
    </w:p>
    <w:bookmarkStart w:id="32" w:name="page33"/>
    <w:bookmarkEnd w:id="3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ING CAPITAL LLC,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Cheryl Labelle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Cheryl Labelle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PMLP First Amendment</w:t>
      </w:r>
    </w:p>
    <w:p>
      <w:pPr>
        <w:spacing w:after="0" w:line="15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0220"/>
          </w:cols>
          <w:pgMar w:left="1440" w:top="280" w:right="239" w:bottom="1440" w:gutter="0" w:footer="0" w:header="0"/>
        </w:sectPr>
      </w:pPr>
    </w:p>
    <w:bookmarkStart w:id="33" w:name="page34"/>
    <w:bookmarkEnd w:id="3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REGIONS BANK,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David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David Valentine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PMLP First Amendment</w:t>
      </w:r>
    </w:p>
    <w:p>
      <w:pPr>
        <w:spacing w:after="0" w:line="15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0220"/>
          </w:cols>
          <w:pgMar w:left="1440" w:top="280" w:right="239" w:bottom="1440" w:gutter="0" w:footer="0" w:header="0"/>
        </w:sectPr>
      </w:pPr>
    </w:p>
    <w:bookmarkStart w:id="34" w:name="page35"/>
    <w:bookmarkEnd w:id="3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BANK NATIONAL ASSOCIATION,</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Justin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Justin Alexander</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Joseph Rauhala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Joseph Rauhala</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Principal Officer</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PMLP First Amendment</w:t>
      </w:r>
    </w:p>
    <w:p>
      <w:pPr>
        <w:spacing w:after="0" w:line="15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0220"/>
          </w:cols>
          <w:pgMar w:left="1440" w:top="280" w:right="239" w:bottom="1440" w:gutter="0" w:footer="0" w:header="0"/>
        </w:sectPr>
      </w:pPr>
    </w:p>
    <w:bookmarkStart w:id="35" w:name="page36"/>
    <w:bookmarkEnd w:id="3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PNC BANK NATIONAL ASSOCIATION,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John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John Berry</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PMLP First Amendment</w:t>
      </w:r>
    </w:p>
    <w:p>
      <w:pPr>
        <w:spacing w:after="0" w:line="15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0220"/>
          </w:cols>
          <w:pgMar w:left="1440" w:top="280"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ectPr>
          <w:pgSz w:w="11900" w:h="16838" w:orient="portrait"/>
          <w:cols w:equalWidth="0" w:num="1">
            <w:col w:w="9019"/>
          </w:cols>
          <w:pgMar w:left="1440" w:top="274"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t>Published Deal CUSIP Number: 72651JAE9</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Revolver CUSIP Number: 72651JAF6</w:t>
      </w:r>
    </w:p>
    <w:p>
      <w:pPr>
        <w:spacing w:after="0" w:line="240"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THIRD AMENDED AND RESTATED CREDIT AGREEMENT</w:t>
      </w:r>
    </w:p>
    <w:p>
      <w:pPr>
        <w:spacing w:after="0" w:line="177"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Dated as of August 19, 2011</w:t>
      </w:r>
    </w:p>
    <w:p>
      <w:pPr>
        <w:spacing w:after="0" w:line="15"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(and amended by the First Amendment dated as of June 27, 2012)</w:t>
      </w:r>
    </w:p>
    <w:p>
      <w:pPr>
        <w:spacing w:after="0" w:line="16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among</w:t>
      </w:r>
    </w:p>
    <w:p>
      <w:pPr>
        <w:spacing w:after="0" w:line="16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PLAINS MARKETING, L.P.</w:t>
      </w:r>
    </w:p>
    <w:p>
      <w:pPr>
        <w:spacing w:after="0" w:line="17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PLAINS MIDSTREAM CANADA ULC,</w:t>
      </w:r>
    </w:p>
    <w:p>
      <w:pPr>
        <w:spacing w:after="0" w:line="17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as Borrowers,</w:t>
      </w:r>
    </w:p>
    <w:p>
      <w:pPr>
        <w:spacing w:after="0" w:line="16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PLAINS ALL AMERICAN PIPELINE, L.P.,</w:t>
      </w:r>
    </w:p>
    <w:p>
      <w:pPr>
        <w:spacing w:after="0" w:line="2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as Guarantor</w:t>
      </w:r>
    </w:p>
    <w:p>
      <w:pPr>
        <w:spacing w:after="0" w:line="15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BANK OF AMERICA, N.A.,</w:t>
      </w:r>
    </w:p>
    <w:p>
      <w:pPr>
        <w:spacing w:after="0" w:line="21"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as Administrative Agent, Swing Line Lender and L/C Issuer,</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The Other Lenders Party Hereto</w:t>
      </w:r>
    </w:p>
    <w:p>
      <w:pPr>
        <w:spacing w:after="0" w:line="16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SOCIÉTÉ GÉNÉRALE and CITIBANK, N.A.</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Co-Syndication Agents</w:t>
      </w:r>
    </w:p>
    <w:p>
      <w:pPr>
        <w:spacing w:after="0" w:line="146" w:lineRule="exact"/>
        <w:rPr>
          <w:sz w:val="20"/>
          <w:szCs w:val="20"/>
          <w:color w:val="auto"/>
        </w:rPr>
      </w:pPr>
    </w:p>
    <w:p>
      <w:pPr>
        <w:ind w:left="1220"/>
        <w:spacing w:after="0"/>
        <w:rPr>
          <w:sz w:val="20"/>
          <w:szCs w:val="20"/>
          <w:color w:val="auto"/>
        </w:rPr>
      </w:pPr>
      <w:r>
        <w:rPr>
          <w:rFonts w:ascii="Arial" w:cs="Arial" w:eastAsia="Arial" w:hAnsi="Arial"/>
          <w:sz w:val="22"/>
          <w:szCs w:val="22"/>
          <w:b w:val="1"/>
          <w:bCs w:val="1"/>
          <w:color w:val="auto"/>
        </w:rPr>
        <w:t>MERRILL LYNCH, PIERCE, FENNER &amp; SMITH INCORPORATED</w:t>
      </w:r>
    </w:p>
    <w:p>
      <w:pPr>
        <w:spacing w:after="0" w:line="13" w:lineRule="exact"/>
        <w:rPr>
          <w:sz w:val="20"/>
          <w:szCs w:val="20"/>
          <w:color w:val="auto"/>
        </w:rPr>
      </w:pPr>
    </w:p>
    <w:p>
      <w:pPr>
        <w:ind w:left="1200"/>
        <w:spacing w:after="0"/>
        <w:rPr>
          <w:sz w:val="20"/>
          <w:szCs w:val="20"/>
          <w:color w:val="auto"/>
        </w:rPr>
      </w:pPr>
      <w:r>
        <w:rPr>
          <w:rFonts w:ascii="Arial" w:cs="Arial" w:eastAsia="Arial" w:hAnsi="Arial"/>
          <w:sz w:val="22"/>
          <w:szCs w:val="22"/>
          <w:b w:val="1"/>
          <w:bCs w:val="1"/>
          <w:color w:val="auto"/>
        </w:rPr>
        <w:t>SOCIÉTÉ GÉNÉRALE and CITIGROUP GLOBAL MARKETS INC.,</w:t>
      </w:r>
    </w:p>
    <w:p>
      <w:pPr>
        <w:jc w:val="center"/>
        <w:ind w:right="1200"/>
        <w:spacing w:after="0"/>
        <w:rPr>
          <w:sz w:val="20"/>
          <w:szCs w:val="20"/>
          <w:color w:val="auto"/>
        </w:rPr>
      </w:pPr>
      <w:r>
        <w:rPr>
          <w:rFonts w:ascii="Arial" w:cs="Arial" w:eastAsia="Arial" w:hAnsi="Arial"/>
          <w:sz w:val="18"/>
          <w:szCs w:val="18"/>
          <w:color w:val="auto"/>
        </w:rPr>
        <w:t>as</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Joint Lead Arrangers and Joint Book Managers</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Senior Secured</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Hedged Inventory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101600</wp:posOffset>
            </wp:positionV>
            <wp:extent cx="724662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153035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442"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900" w:type="dxa"/>
            <w:vAlign w:val="bottom"/>
          </w:tcPr>
          <w:p>
            <w:pPr>
              <w:ind w:left="3620"/>
              <w:spacing w:after="0"/>
              <w:rPr>
                <w:sz w:val="20"/>
                <w:szCs w:val="20"/>
                <w:color w:val="auto"/>
              </w:rPr>
            </w:pPr>
            <w:r>
              <w:rPr>
                <w:rFonts w:ascii="Arial" w:cs="Arial" w:eastAsia="Arial" w:hAnsi="Arial"/>
                <w:sz w:val="18"/>
                <w:szCs w:val="18"/>
                <w:b w:val="1"/>
                <w:bCs w:val="1"/>
                <w:color w:val="auto"/>
              </w:rPr>
              <w:t>TABLE OF CONTENTS</w:t>
            </w:r>
          </w:p>
        </w:tc>
        <w:tc>
          <w:tcPr>
            <w:tcW w:w="260" w:type="dxa"/>
            <w:vAlign w:val="bottom"/>
          </w:tcPr>
          <w:p>
            <w:pPr>
              <w:spacing w:after="0"/>
              <w:rPr>
                <w:sz w:val="19"/>
                <w:szCs w:val="19"/>
                <w:color w:val="auto"/>
              </w:rPr>
            </w:pPr>
          </w:p>
        </w:tc>
      </w:tr>
      <w:tr>
        <w:trPr>
          <w:trHeight w:val="360"/>
        </w:trPr>
        <w:tc>
          <w:tcPr>
            <w:tcW w:w="116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4"/>
                <w:szCs w:val="14"/>
                <w:color w:val="auto"/>
                <w:w w:val="85"/>
              </w:rPr>
              <w:t>Section</w:t>
            </w:r>
          </w:p>
        </w:tc>
        <w:tc>
          <w:tcPr>
            <w:tcW w:w="990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r>
      <w:tr>
        <w:trPr>
          <w:trHeight w:val="376"/>
        </w:trPr>
        <w:tc>
          <w:tcPr>
            <w:tcW w:w="1160" w:type="dxa"/>
            <w:vAlign w:val="bottom"/>
            <w:gridSpan w:val="2"/>
          </w:tcPr>
          <w:p>
            <w:pPr>
              <w:ind w:left="60"/>
              <w:spacing w:after="0"/>
              <w:rPr>
                <w:sz w:val="20"/>
                <w:szCs w:val="20"/>
                <w:color w:val="auto"/>
              </w:rPr>
            </w:pPr>
            <w:r>
              <w:rPr>
                <w:rFonts w:ascii="Arial" w:cs="Arial" w:eastAsia="Arial" w:hAnsi="Arial"/>
                <w:sz w:val="18"/>
                <w:szCs w:val="18"/>
                <w:color w:val="auto"/>
              </w:rPr>
              <w:t>ARTICLE I.</w:t>
            </w:r>
          </w:p>
        </w:tc>
        <w:tc>
          <w:tcPr>
            <w:tcW w:w="9900" w:type="dxa"/>
            <w:vAlign w:val="bottom"/>
          </w:tcPr>
          <w:p>
            <w:pPr>
              <w:ind w:left="100"/>
              <w:spacing w:after="0"/>
              <w:rPr>
                <w:sz w:val="20"/>
                <w:szCs w:val="20"/>
                <w:color w:val="auto"/>
              </w:rPr>
            </w:pPr>
            <w:r>
              <w:rPr>
                <w:rFonts w:ascii="Arial" w:cs="Arial" w:eastAsia="Arial" w:hAnsi="Arial"/>
                <w:sz w:val="18"/>
                <w:szCs w:val="18"/>
                <w:color w:val="auto"/>
              </w:rPr>
              <w:t>DEFINITIONS AND ACCOUNTING TERMS</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79"/>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1.01</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Defined Terms</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1.02</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Other Interpretive Provisions</w:t>
            </w: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1.03</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Accounting Terms</w:t>
            </w:r>
          </w:p>
        </w:tc>
        <w:tc>
          <w:tcPr>
            <w:tcW w:w="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1.04</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Rounding</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Times of Day</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1.06</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Exchange Rates; Currency Equivalents</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8"/>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1.07</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Letter of Credit Amounts</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92"/>
        </w:trPr>
        <w:tc>
          <w:tcPr>
            <w:tcW w:w="1160" w:type="dxa"/>
            <w:vAlign w:val="bottom"/>
            <w:gridSpan w:val="2"/>
          </w:tcPr>
          <w:p>
            <w:pPr>
              <w:ind w:left="60"/>
              <w:spacing w:after="0"/>
              <w:rPr>
                <w:sz w:val="20"/>
                <w:szCs w:val="20"/>
                <w:color w:val="auto"/>
              </w:rPr>
            </w:pPr>
            <w:r>
              <w:rPr>
                <w:rFonts w:ascii="Arial" w:cs="Arial" w:eastAsia="Arial" w:hAnsi="Arial"/>
                <w:sz w:val="18"/>
                <w:szCs w:val="18"/>
                <w:color w:val="auto"/>
              </w:rPr>
              <w:t>ARTICLE II.</w:t>
            </w:r>
          </w:p>
        </w:tc>
        <w:tc>
          <w:tcPr>
            <w:tcW w:w="9900" w:type="dxa"/>
            <w:vAlign w:val="bottom"/>
          </w:tcPr>
          <w:p>
            <w:pPr>
              <w:ind w:left="100"/>
              <w:spacing w:after="0"/>
              <w:rPr>
                <w:sz w:val="20"/>
                <w:szCs w:val="20"/>
                <w:color w:val="auto"/>
              </w:rPr>
            </w:pPr>
            <w:r>
              <w:rPr>
                <w:rFonts w:ascii="Arial" w:cs="Arial" w:eastAsia="Arial" w:hAnsi="Arial"/>
                <w:sz w:val="18"/>
                <w:szCs w:val="18"/>
                <w:color w:val="auto"/>
              </w:rPr>
              <w:t>THE COMMITMENTS AND CREDIT EXTENSIONS</w:t>
            </w:r>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79"/>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Committed Loans</w:t>
            </w:r>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2.02</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Borrowings, Conversions and Continuations of Committed Loans</w:t>
            </w:r>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2.03</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Letters of Credit</w:t>
            </w:r>
          </w:p>
        </w:tc>
        <w:tc>
          <w:tcPr>
            <w:tcW w:w="2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2.04</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Swing Line Loans</w:t>
            </w: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2.05</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Prepayments</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2.06</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Termination or Reduction of Commitments</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2.07</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Repayment of Loans</w:t>
            </w:r>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2.08</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Interest</w:t>
            </w:r>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2.09</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Fees</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2.10</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Computation of Interest and Fees</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2.11</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Evidence of Debt</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2.12</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Payments Generally; Administrative Agent’s Clawback</w:t>
            </w:r>
          </w:p>
        </w:tc>
        <w:tc>
          <w:tcPr>
            <w:tcW w:w="2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2.13</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Sharing of Payments by Lenders</w:t>
            </w: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2.14</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Extension of Maturity Date</w:t>
            </w: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2.15</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Increase in Commitments</w:t>
            </w:r>
          </w:p>
        </w:tc>
        <w:tc>
          <w:tcPr>
            <w:tcW w:w="2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2.16</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Cash Collateral</w:t>
            </w:r>
          </w:p>
        </w:tc>
        <w:tc>
          <w:tcPr>
            <w:tcW w:w="2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8"/>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2.17</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Defaulting Lenders</w:t>
            </w:r>
          </w:p>
        </w:tc>
        <w:tc>
          <w:tcPr>
            <w:tcW w:w="2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92"/>
        </w:trPr>
        <w:tc>
          <w:tcPr>
            <w:tcW w:w="1160" w:type="dxa"/>
            <w:vAlign w:val="bottom"/>
            <w:gridSpan w:val="2"/>
          </w:tcPr>
          <w:p>
            <w:pPr>
              <w:ind w:left="60"/>
              <w:spacing w:after="0"/>
              <w:rPr>
                <w:sz w:val="20"/>
                <w:szCs w:val="20"/>
                <w:color w:val="auto"/>
              </w:rPr>
            </w:pPr>
            <w:r>
              <w:rPr>
                <w:rFonts w:ascii="Arial" w:cs="Arial" w:eastAsia="Arial" w:hAnsi="Arial"/>
                <w:sz w:val="18"/>
                <w:szCs w:val="18"/>
                <w:color w:val="auto"/>
              </w:rPr>
              <w:t>ARTICLE III.</w:t>
            </w:r>
          </w:p>
        </w:tc>
        <w:tc>
          <w:tcPr>
            <w:tcW w:w="9900" w:type="dxa"/>
            <w:vAlign w:val="bottom"/>
          </w:tcPr>
          <w:p>
            <w:pPr>
              <w:ind w:left="100"/>
              <w:spacing w:after="0"/>
              <w:rPr>
                <w:sz w:val="20"/>
                <w:szCs w:val="20"/>
                <w:color w:val="auto"/>
              </w:rPr>
            </w:pPr>
            <w:r>
              <w:rPr>
                <w:rFonts w:ascii="Arial" w:cs="Arial" w:eastAsia="Arial" w:hAnsi="Arial"/>
                <w:sz w:val="18"/>
                <w:szCs w:val="18"/>
                <w:color w:val="auto"/>
              </w:rPr>
              <w:t>TAXES, YIELD PROTECTION AND ILLEGALITY</w:t>
            </w: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79"/>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3.01</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Taxes</w:t>
            </w: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3.02</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Illegality</w:t>
            </w:r>
          </w:p>
        </w:tc>
        <w:tc>
          <w:tcPr>
            <w:tcW w:w="2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3.03</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Inability to Determine Rates</w:t>
            </w:r>
          </w:p>
        </w:tc>
        <w:tc>
          <w:tcPr>
            <w:tcW w:w="2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3.04</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Increased Costs; Reserves on Eurocurrency Rate Loans</w:t>
            </w:r>
          </w:p>
        </w:tc>
        <w:tc>
          <w:tcPr>
            <w:tcW w:w="2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3.05</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Compensation for Losses</w:t>
            </w:r>
          </w:p>
        </w:tc>
        <w:tc>
          <w:tcPr>
            <w:tcW w:w="2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3.06</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Mitigation Obligations; Replacement of Lenders</w:t>
            </w:r>
          </w:p>
        </w:tc>
        <w:tc>
          <w:tcPr>
            <w:tcW w:w="2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8"/>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3.07</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Survival</w:t>
            </w:r>
          </w:p>
        </w:tc>
        <w:tc>
          <w:tcPr>
            <w:tcW w:w="2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92"/>
        </w:trPr>
        <w:tc>
          <w:tcPr>
            <w:tcW w:w="1160" w:type="dxa"/>
            <w:vAlign w:val="bottom"/>
            <w:gridSpan w:val="2"/>
          </w:tcPr>
          <w:p>
            <w:pPr>
              <w:ind w:left="60"/>
              <w:spacing w:after="0"/>
              <w:rPr>
                <w:sz w:val="20"/>
                <w:szCs w:val="20"/>
                <w:color w:val="auto"/>
              </w:rPr>
            </w:pPr>
            <w:r>
              <w:rPr>
                <w:rFonts w:ascii="Arial" w:cs="Arial" w:eastAsia="Arial" w:hAnsi="Arial"/>
                <w:sz w:val="18"/>
                <w:szCs w:val="18"/>
                <w:color w:val="auto"/>
              </w:rPr>
              <w:t>ARTICLE IV.</w:t>
            </w:r>
          </w:p>
        </w:tc>
        <w:tc>
          <w:tcPr>
            <w:tcW w:w="9900" w:type="dxa"/>
            <w:vAlign w:val="bottom"/>
          </w:tcPr>
          <w:p>
            <w:pPr>
              <w:ind w:left="100"/>
              <w:spacing w:after="0"/>
              <w:rPr>
                <w:sz w:val="20"/>
                <w:szCs w:val="20"/>
                <w:color w:val="auto"/>
              </w:rPr>
            </w:pPr>
            <w:r>
              <w:rPr>
                <w:rFonts w:ascii="Arial" w:cs="Arial" w:eastAsia="Arial" w:hAnsi="Arial"/>
                <w:sz w:val="18"/>
                <w:szCs w:val="18"/>
                <w:color w:val="auto"/>
              </w:rPr>
              <w:t>CONDITIONS PRECEDENT TO CREDIT EXTENSIONS</w:t>
            </w:r>
          </w:p>
        </w:tc>
        <w:tc>
          <w:tcPr>
            <w:tcW w:w="2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79"/>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4.01</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Conditions Precedent to Initial Credit Extension</w:t>
            </w:r>
          </w:p>
        </w:tc>
        <w:tc>
          <w:tcPr>
            <w:tcW w:w="2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8"/>
        </w:trPr>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4.02</w:t>
            </w:r>
          </w:p>
        </w:tc>
        <w:tc>
          <w:tcPr>
            <w:tcW w:w="9900" w:type="dxa"/>
            <w:vAlign w:val="bottom"/>
          </w:tcPr>
          <w:p>
            <w:pPr>
              <w:ind w:left="100"/>
              <w:spacing w:after="0"/>
              <w:rPr>
                <w:sz w:val="20"/>
                <w:szCs w:val="20"/>
                <w:color w:val="auto"/>
              </w:rPr>
            </w:pPr>
            <w:r>
              <w:rPr>
                <w:rFonts w:ascii="Arial" w:cs="Arial" w:eastAsia="Arial" w:hAnsi="Arial"/>
                <w:sz w:val="18"/>
                <w:szCs w:val="18"/>
                <w:b w:val="1"/>
                <w:bCs w:val="1"/>
                <w:color w:val="auto"/>
              </w:rPr>
              <w:t>Conditions to all Credit Extensions</w:t>
            </w:r>
          </w:p>
        </w:tc>
        <w:tc>
          <w:tcPr>
            <w:tcW w:w="26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22"/>
        </w:trPr>
        <w:tc>
          <w:tcPr>
            <w:tcW w:w="1340" w:type="dxa"/>
            <w:vAlign w:val="bottom"/>
          </w:tcPr>
          <w:p>
            <w:pPr>
              <w:spacing w:after="0"/>
              <w:rPr>
                <w:sz w:val="20"/>
                <w:szCs w:val="20"/>
                <w:color w:val="auto"/>
              </w:rPr>
            </w:pPr>
            <w:r>
              <w:rPr>
                <w:rFonts w:ascii="Arial" w:cs="Arial" w:eastAsia="Arial" w:hAnsi="Arial"/>
                <w:sz w:val="18"/>
                <w:szCs w:val="18"/>
                <w:color w:val="auto"/>
              </w:rPr>
              <w:t>ARTICLE V.</w:t>
            </w:r>
          </w:p>
        </w:tc>
        <w:tc>
          <w:tcPr>
            <w:tcW w:w="8340" w:type="dxa"/>
            <w:vAlign w:val="bottom"/>
          </w:tcPr>
          <w:p>
            <w:pPr>
              <w:ind w:left="200"/>
              <w:spacing w:after="0"/>
              <w:rPr>
                <w:sz w:val="20"/>
                <w:szCs w:val="20"/>
                <w:color w:val="auto"/>
              </w:rPr>
            </w:pPr>
            <w:r>
              <w:rPr>
                <w:rFonts w:ascii="Arial" w:cs="Arial" w:eastAsia="Arial" w:hAnsi="Arial"/>
                <w:sz w:val="18"/>
                <w:szCs w:val="18"/>
                <w:color w:val="auto"/>
              </w:rPr>
              <w:t>REPRESENTATIONS AND WARRANTIES</w:t>
            </w:r>
          </w:p>
        </w:tc>
        <w:tc>
          <w:tcPr>
            <w:tcW w:w="15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79"/>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5.01</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Existence, Qualification and Power</w:t>
            </w:r>
          </w:p>
        </w:tc>
        <w:tc>
          <w:tcPr>
            <w:tcW w:w="15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5.02</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Authorization; No Contravention</w:t>
            </w:r>
          </w:p>
        </w:tc>
        <w:tc>
          <w:tcPr>
            <w:tcW w:w="15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5.03</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Governmental Authorization; Other Consents</w:t>
            </w:r>
          </w:p>
        </w:tc>
        <w:tc>
          <w:tcPr>
            <w:tcW w:w="15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5.04</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Binding Effect</w:t>
            </w:r>
          </w:p>
        </w:tc>
        <w:tc>
          <w:tcPr>
            <w:tcW w:w="15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5.05</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Financial Statements; No Material Adverse Effect</w:t>
            </w:r>
          </w:p>
        </w:tc>
        <w:tc>
          <w:tcPr>
            <w:tcW w:w="15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5.06</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Litigation</w:t>
            </w:r>
          </w:p>
        </w:tc>
        <w:tc>
          <w:tcPr>
            <w:tcW w:w="15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5.07</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Ownership of Property; Liens; Receivables</w:t>
            </w:r>
          </w:p>
        </w:tc>
        <w:tc>
          <w:tcPr>
            <w:tcW w:w="15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5.08</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Environmental Compliance</w:t>
            </w:r>
          </w:p>
        </w:tc>
        <w:tc>
          <w:tcPr>
            <w:tcW w:w="15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5.09</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ERISA Compliance</w:t>
            </w:r>
          </w:p>
        </w:tc>
        <w:tc>
          <w:tcPr>
            <w:tcW w:w="15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5.10</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Margin Regulations; Investment Company Act</w:t>
            </w:r>
          </w:p>
        </w:tc>
        <w:tc>
          <w:tcPr>
            <w:tcW w:w="15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5.11</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Disclosure</w:t>
            </w:r>
          </w:p>
        </w:tc>
        <w:tc>
          <w:tcPr>
            <w:tcW w:w="15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5.12</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Compliance with Laws</w:t>
            </w:r>
          </w:p>
        </w:tc>
        <w:tc>
          <w:tcPr>
            <w:tcW w:w="15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8"/>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5.13</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Collateral Documents</w:t>
            </w:r>
          </w:p>
        </w:tc>
        <w:tc>
          <w:tcPr>
            <w:tcW w:w="15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92"/>
        </w:trPr>
        <w:tc>
          <w:tcPr>
            <w:tcW w:w="1340" w:type="dxa"/>
            <w:vAlign w:val="bottom"/>
          </w:tcPr>
          <w:p>
            <w:pPr>
              <w:spacing w:after="0"/>
              <w:rPr>
                <w:sz w:val="20"/>
                <w:szCs w:val="20"/>
                <w:color w:val="auto"/>
              </w:rPr>
            </w:pPr>
            <w:r>
              <w:rPr>
                <w:rFonts w:ascii="Arial" w:cs="Arial" w:eastAsia="Arial" w:hAnsi="Arial"/>
                <w:sz w:val="18"/>
                <w:szCs w:val="18"/>
                <w:color w:val="auto"/>
              </w:rPr>
              <w:t>ARTICLE VI.</w:t>
            </w:r>
          </w:p>
        </w:tc>
        <w:tc>
          <w:tcPr>
            <w:tcW w:w="8340" w:type="dxa"/>
            <w:vAlign w:val="bottom"/>
          </w:tcPr>
          <w:p>
            <w:pPr>
              <w:ind w:left="200"/>
              <w:spacing w:after="0"/>
              <w:rPr>
                <w:sz w:val="20"/>
                <w:szCs w:val="20"/>
                <w:color w:val="auto"/>
              </w:rPr>
            </w:pPr>
            <w:r>
              <w:rPr>
                <w:rFonts w:ascii="Arial" w:cs="Arial" w:eastAsia="Arial" w:hAnsi="Arial"/>
                <w:sz w:val="18"/>
                <w:szCs w:val="18"/>
                <w:color w:val="auto"/>
              </w:rPr>
              <w:t>AFFIRMATIVE COVENANTS</w:t>
            </w:r>
          </w:p>
        </w:tc>
        <w:tc>
          <w:tcPr>
            <w:tcW w:w="15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79"/>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6.01</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Financial Statements</w:t>
            </w:r>
          </w:p>
        </w:tc>
        <w:tc>
          <w:tcPr>
            <w:tcW w:w="15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6.02</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Certificates; Other Information</w:t>
            </w:r>
          </w:p>
        </w:tc>
        <w:tc>
          <w:tcPr>
            <w:tcW w:w="15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6.03</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Notices</w:t>
            </w:r>
          </w:p>
        </w:tc>
        <w:tc>
          <w:tcPr>
            <w:tcW w:w="15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6.04</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Payment of Taxes, Etc</w:t>
            </w:r>
          </w:p>
        </w:tc>
        <w:tc>
          <w:tcPr>
            <w:tcW w:w="15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6.05</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Preservation of Existence, Etc</w:t>
            </w:r>
          </w:p>
        </w:tc>
        <w:tc>
          <w:tcPr>
            <w:tcW w:w="15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6.06</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Maintenance of Properties</w:t>
            </w:r>
          </w:p>
        </w:tc>
        <w:tc>
          <w:tcPr>
            <w:tcW w:w="15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6.07</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Maintenance of Insurance</w:t>
            </w:r>
          </w:p>
        </w:tc>
        <w:tc>
          <w:tcPr>
            <w:tcW w:w="15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6.08</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Compliance with Laws; Compliance with Contracts for Sale of Hedged Eligible Inventory</w:t>
            </w:r>
          </w:p>
        </w:tc>
        <w:tc>
          <w:tcPr>
            <w:tcW w:w="15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6.09</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Books and Records</w:t>
            </w:r>
          </w:p>
        </w:tc>
        <w:tc>
          <w:tcPr>
            <w:tcW w:w="15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6.10</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Inspection Rights</w:t>
            </w:r>
          </w:p>
        </w:tc>
        <w:tc>
          <w:tcPr>
            <w:tcW w:w="15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6.11</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Use of Proceeds</w:t>
            </w:r>
          </w:p>
        </w:tc>
        <w:tc>
          <w:tcPr>
            <w:tcW w:w="15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6.12</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Covenant to Give Security</w:t>
            </w:r>
          </w:p>
        </w:tc>
        <w:tc>
          <w:tcPr>
            <w:tcW w:w="15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8"/>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6.13</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Further Assurances</w:t>
            </w:r>
          </w:p>
        </w:tc>
        <w:tc>
          <w:tcPr>
            <w:tcW w:w="15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92"/>
        </w:trPr>
        <w:tc>
          <w:tcPr>
            <w:tcW w:w="1340" w:type="dxa"/>
            <w:vAlign w:val="bottom"/>
          </w:tcPr>
          <w:p>
            <w:pPr>
              <w:spacing w:after="0"/>
              <w:rPr>
                <w:sz w:val="20"/>
                <w:szCs w:val="20"/>
                <w:color w:val="auto"/>
              </w:rPr>
            </w:pPr>
            <w:r>
              <w:rPr>
                <w:rFonts w:ascii="Arial" w:cs="Arial" w:eastAsia="Arial" w:hAnsi="Arial"/>
                <w:sz w:val="18"/>
                <w:szCs w:val="18"/>
                <w:color w:val="auto"/>
              </w:rPr>
              <w:t>ARTICLE VII.</w:t>
            </w:r>
          </w:p>
        </w:tc>
        <w:tc>
          <w:tcPr>
            <w:tcW w:w="8340" w:type="dxa"/>
            <w:vAlign w:val="bottom"/>
          </w:tcPr>
          <w:p>
            <w:pPr>
              <w:ind w:left="200"/>
              <w:spacing w:after="0"/>
              <w:rPr>
                <w:sz w:val="20"/>
                <w:szCs w:val="20"/>
                <w:color w:val="auto"/>
              </w:rPr>
            </w:pPr>
            <w:r>
              <w:rPr>
                <w:rFonts w:ascii="Arial" w:cs="Arial" w:eastAsia="Arial" w:hAnsi="Arial"/>
                <w:sz w:val="18"/>
                <w:szCs w:val="18"/>
                <w:color w:val="auto"/>
              </w:rPr>
              <w:t>NEGATIVE COVENANTS</w:t>
            </w:r>
          </w:p>
        </w:tc>
        <w:tc>
          <w:tcPr>
            <w:tcW w:w="15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79"/>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7.01</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Liens</w:t>
            </w:r>
          </w:p>
        </w:tc>
        <w:tc>
          <w:tcPr>
            <w:tcW w:w="15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7.02</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Fundamental Changes; Dispositions</w:t>
            </w:r>
          </w:p>
        </w:tc>
        <w:tc>
          <w:tcPr>
            <w:tcW w:w="15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7.03</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Dispositions</w:t>
            </w:r>
          </w:p>
        </w:tc>
        <w:tc>
          <w:tcPr>
            <w:tcW w:w="15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7.04</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Transactions with Affiliates</w:t>
            </w:r>
          </w:p>
        </w:tc>
        <w:tc>
          <w:tcPr>
            <w:tcW w:w="15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7.05</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Burdensome Agreements</w:t>
            </w:r>
          </w:p>
        </w:tc>
        <w:tc>
          <w:tcPr>
            <w:tcW w:w="15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7.06</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Use of Proceeds</w:t>
            </w:r>
          </w:p>
        </w:tc>
        <w:tc>
          <w:tcPr>
            <w:tcW w:w="15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8"/>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7.07</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PAA Consolidated Leverage Ratio</w:t>
            </w:r>
          </w:p>
        </w:tc>
        <w:tc>
          <w:tcPr>
            <w:tcW w:w="15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92"/>
        </w:trPr>
        <w:tc>
          <w:tcPr>
            <w:tcW w:w="1340" w:type="dxa"/>
            <w:vAlign w:val="bottom"/>
          </w:tcPr>
          <w:p>
            <w:pPr>
              <w:spacing w:after="0"/>
              <w:rPr>
                <w:sz w:val="20"/>
                <w:szCs w:val="20"/>
                <w:color w:val="auto"/>
              </w:rPr>
            </w:pPr>
            <w:r>
              <w:rPr>
                <w:rFonts w:ascii="Arial" w:cs="Arial" w:eastAsia="Arial" w:hAnsi="Arial"/>
                <w:sz w:val="18"/>
                <w:szCs w:val="18"/>
                <w:color w:val="auto"/>
              </w:rPr>
              <w:t>ARTICLE VIII.</w:t>
            </w:r>
          </w:p>
        </w:tc>
        <w:tc>
          <w:tcPr>
            <w:tcW w:w="8340" w:type="dxa"/>
            <w:vAlign w:val="bottom"/>
          </w:tcPr>
          <w:p>
            <w:pPr>
              <w:ind w:left="200"/>
              <w:spacing w:after="0"/>
              <w:rPr>
                <w:sz w:val="20"/>
                <w:szCs w:val="20"/>
                <w:color w:val="auto"/>
              </w:rPr>
            </w:pPr>
            <w:r>
              <w:rPr>
                <w:rFonts w:ascii="Arial" w:cs="Arial" w:eastAsia="Arial" w:hAnsi="Arial"/>
                <w:sz w:val="18"/>
                <w:szCs w:val="18"/>
                <w:color w:val="auto"/>
              </w:rPr>
              <w:t>EVENTS OF DEFAULT AND REMEDIES</w:t>
            </w:r>
          </w:p>
        </w:tc>
        <w:tc>
          <w:tcPr>
            <w:tcW w:w="15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79"/>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8.01</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Events of Default</w:t>
            </w:r>
          </w:p>
        </w:tc>
        <w:tc>
          <w:tcPr>
            <w:tcW w:w="15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8.02</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Remedies Upon Event of Default</w:t>
            </w:r>
          </w:p>
        </w:tc>
        <w:tc>
          <w:tcPr>
            <w:tcW w:w="15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8"/>
        </w:trPr>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rPr>
              <w:t>8.03</w:t>
            </w:r>
          </w:p>
        </w:tc>
        <w:tc>
          <w:tcPr>
            <w:tcW w:w="8340" w:type="dxa"/>
            <w:vAlign w:val="bottom"/>
          </w:tcPr>
          <w:p>
            <w:pPr>
              <w:ind w:left="200"/>
              <w:spacing w:after="0"/>
              <w:rPr>
                <w:sz w:val="20"/>
                <w:szCs w:val="20"/>
                <w:color w:val="auto"/>
              </w:rPr>
            </w:pPr>
            <w:r>
              <w:rPr>
                <w:rFonts w:ascii="Arial" w:cs="Arial" w:eastAsia="Arial" w:hAnsi="Arial"/>
                <w:sz w:val="18"/>
                <w:szCs w:val="18"/>
                <w:b w:val="1"/>
                <w:bCs w:val="1"/>
                <w:color w:val="auto"/>
              </w:rPr>
              <w:t>Application of Funds</w:t>
            </w:r>
          </w:p>
        </w:tc>
        <w:tc>
          <w:tcPr>
            <w:tcW w:w="1580" w:type="dxa"/>
            <w:vAlign w:val="bottom"/>
          </w:tcPr>
          <w:p>
            <w:pPr>
              <w:jc w:val="right"/>
              <w:spacing w:after="0"/>
              <w:rPr>
                <w:sz w:val="20"/>
                <w:szCs w:val="20"/>
                <w:color w:val="auto"/>
              </w:rPr>
            </w:pPr>
            <w:r>
              <w:rPr>
                <w:rFonts w:ascii="Arial" w:cs="Arial" w:eastAsia="Arial" w:hAnsi="Arial"/>
                <w:sz w:val="18"/>
                <w:szCs w:val="18"/>
                <w:color w:val="auto"/>
              </w:rPr>
              <w:t>87</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60"/>
          </w:cols>
          <w:pgMar w:left="300" w:top="455"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22"/>
        </w:trPr>
        <w:tc>
          <w:tcPr>
            <w:tcW w:w="1220" w:type="dxa"/>
            <w:vAlign w:val="bottom"/>
          </w:tcPr>
          <w:p>
            <w:pPr>
              <w:spacing w:after="0"/>
              <w:rPr>
                <w:sz w:val="20"/>
                <w:szCs w:val="20"/>
                <w:color w:val="auto"/>
              </w:rPr>
            </w:pPr>
            <w:r>
              <w:rPr>
                <w:rFonts w:ascii="Arial" w:cs="Arial" w:eastAsia="Arial" w:hAnsi="Arial"/>
                <w:sz w:val="18"/>
                <w:szCs w:val="18"/>
                <w:color w:val="auto"/>
              </w:rPr>
              <w:t>ARTICLE IX.</w:t>
            </w:r>
          </w:p>
        </w:tc>
        <w:tc>
          <w:tcPr>
            <w:tcW w:w="7680" w:type="dxa"/>
            <w:vAlign w:val="bottom"/>
          </w:tcPr>
          <w:p>
            <w:pPr>
              <w:ind w:left="220"/>
              <w:spacing w:after="0"/>
              <w:rPr>
                <w:sz w:val="20"/>
                <w:szCs w:val="20"/>
                <w:color w:val="auto"/>
              </w:rPr>
            </w:pPr>
            <w:r>
              <w:rPr>
                <w:rFonts w:ascii="Arial" w:cs="Arial" w:eastAsia="Arial" w:hAnsi="Arial"/>
                <w:sz w:val="18"/>
                <w:szCs w:val="18"/>
                <w:color w:val="auto"/>
              </w:rPr>
              <w:t>ADMINISTRATIVE AGENT</w:t>
            </w:r>
          </w:p>
        </w:tc>
        <w:tc>
          <w:tcPr>
            <w:tcW w:w="23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79"/>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9.01</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Appointment and Authority</w:t>
            </w:r>
          </w:p>
        </w:tc>
        <w:tc>
          <w:tcPr>
            <w:tcW w:w="23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9.02</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Rights as a Lender</w:t>
            </w:r>
          </w:p>
        </w:tc>
        <w:tc>
          <w:tcPr>
            <w:tcW w:w="23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9.03</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Exculpatory Provisions</w:t>
            </w:r>
          </w:p>
        </w:tc>
        <w:tc>
          <w:tcPr>
            <w:tcW w:w="23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9.04</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Reliance by Administrative Agent</w:t>
            </w:r>
          </w:p>
        </w:tc>
        <w:tc>
          <w:tcPr>
            <w:tcW w:w="23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9.05</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Delegation of Duties</w:t>
            </w:r>
          </w:p>
        </w:tc>
        <w:tc>
          <w:tcPr>
            <w:tcW w:w="23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9.06</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Resignation or Removal of Administrative Agent</w:t>
            </w:r>
          </w:p>
        </w:tc>
        <w:tc>
          <w:tcPr>
            <w:tcW w:w="23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9.07</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Non-Reliance on Administrative Agent and Other Lenders</w:t>
            </w:r>
          </w:p>
        </w:tc>
        <w:tc>
          <w:tcPr>
            <w:tcW w:w="23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9.08</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No Other Duties, Etc</w:t>
            </w:r>
          </w:p>
        </w:tc>
        <w:tc>
          <w:tcPr>
            <w:tcW w:w="23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9.09</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Administrative Agent May File Proofs of Claim</w:t>
            </w:r>
          </w:p>
        </w:tc>
        <w:tc>
          <w:tcPr>
            <w:tcW w:w="23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8"/>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9.10</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Collateral Matters</w:t>
            </w:r>
          </w:p>
        </w:tc>
        <w:tc>
          <w:tcPr>
            <w:tcW w:w="23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92"/>
        </w:trPr>
        <w:tc>
          <w:tcPr>
            <w:tcW w:w="1220" w:type="dxa"/>
            <w:vAlign w:val="bottom"/>
          </w:tcPr>
          <w:p>
            <w:pPr>
              <w:spacing w:after="0"/>
              <w:rPr>
                <w:sz w:val="20"/>
                <w:szCs w:val="20"/>
                <w:color w:val="auto"/>
              </w:rPr>
            </w:pPr>
            <w:r>
              <w:rPr>
                <w:rFonts w:ascii="Arial" w:cs="Arial" w:eastAsia="Arial" w:hAnsi="Arial"/>
                <w:sz w:val="18"/>
                <w:szCs w:val="18"/>
                <w:color w:val="auto"/>
              </w:rPr>
              <w:t>ARTICLE X.</w:t>
            </w:r>
          </w:p>
        </w:tc>
        <w:tc>
          <w:tcPr>
            <w:tcW w:w="7680" w:type="dxa"/>
            <w:vAlign w:val="bottom"/>
          </w:tcPr>
          <w:p>
            <w:pPr>
              <w:ind w:left="220"/>
              <w:spacing w:after="0"/>
              <w:rPr>
                <w:sz w:val="20"/>
                <w:szCs w:val="20"/>
                <w:color w:val="auto"/>
              </w:rPr>
            </w:pPr>
            <w:r>
              <w:rPr>
                <w:rFonts w:ascii="Arial" w:cs="Arial" w:eastAsia="Arial" w:hAnsi="Arial"/>
                <w:sz w:val="18"/>
                <w:szCs w:val="18"/>
                <w:color w:val="auto"/>
              </w:rPr>
              <w:t>CONTINUING GUARANTY</w:t>
            </w:r>
          </w:p>
        </w:tc>
        <w:tc>
          <w:tcPr>
            <w:tcW w:w="23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79"/>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10.01</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PAA Guaranty</w:t>
            </w:r>
          </w:p>
        </w:tc>
        <w:tc>
          <w:tcPr>
            <w:tcW w:w="23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10.02</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Rights of Lenders</w:t>
            </w:r>
          </w:p>
        </w:tc>
        <w:tc>
          <w:tcPr>
            <w:tcW w:w="23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10.03</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Collateral Matters</w:t>
            </w:r>
          </w:p>
        </w:tc>
        <w:tc>
          <w:tcPr>
            <w:tcW w:w="23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10.04</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Obligations Independent</w:t>
            </w:r>
          </w:p>
        </w:tc>
        <w:tc>
          <w:tcPr>
            <w:tcW w:w="23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10.05</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Subrogation</w:t>
            </w:r>
          </w:p>
        </w:tc>
        <w:tc>
          <w:tcPr>
            <w:tcW w:w="23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10.06</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Termination; Reinstatement</w:t>
            </w:r>
          </w:p>
        </w:tc>
        <w:tc>
          <w:tcPr>
            <w:tcW w:w="23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10.07</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Subordination</w:t>
            </w:r>
          </w:p>
        </w:tc>
        <w:tc>
          <w:tcPr>
            <w:tcW w:w="23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10.08</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Stay of Acceleration</w:t>
            </w:r>
          </w:p>
        </w:tc>
        <w:tc>
          <w:tcPr>
            <w:tcW w:w="23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8"/>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10.09</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Condition of Borrowers</w:t>
            </w:r>
          </w:p>
        </w:tc>
        <w:tc>
          <w:tcPr>
            <w:tcW w:w="23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92"/>
        </w:trPr>
        <w:tc>
          <w:tcPr>
            <w:tcW w:w="1220" w:type="dxa"/>
            <w:vAlign w:val="bottom"/>
          </w:tcPr>
          <w:p>
            <w:pPr>
              <w:spacing w:after="0"/>
              <w:rPr>
                <w:sz w:val="20"/>
                <w:szCs w:val="20"/>
                <w:color w:val="auto"/>
              </w:rPr>
            </w:pPr>
            <w:r>
              <w:rPr>
                <w:rFonts w:ascii="Arial" w:cs="Arial" w:eastAsia="Arial" w:hAnsi="Arial"/>
                <w:sz w:val="18"/>
                <w:szCs w:val="18"/>
                <w:color w:val="auto"/>
              </w:rPr>
              <w:t>ARTICLE XI.</w:t>
            </w:r>
          </w:p>
        </w:tc>
        <w:tc>
          <w:tcPr>
            <w:tcW w:w="7680" w:type="dxa"/>
            <w:vAlign w:val="bottom"/>
          </w:tcPr>
          <w:p>
            <w:pPr>
              <w:ind w:left="220"/>
              <w:spacing w:after="0"/>
              <w:rPr>
                <w:sz w:val="20"/>
                <w:szCs w:val="20"/>
                <w:color w:val="auto"/>
              </w:rPr>
            </w:pPr>
            <w:r>
              <w:rPr>
                <w:rFonts w:ascii="Arial" w:cs="Arial" w:eastAsia="Arial" w:hAnsi="Arial"/>
                <w:sz w:val="18"/>
                <w:szCs w:val="18"/>
                <w:color w:val="auto"/>
              </w:rPr>
              <w:t>MISCELLANEOUS</w:t>
            </w:r>
          </w:p>
        </w:tc>
        <w:tc>
          <w:tcPr>
            <w:tcW w:w="23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79"/>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11.01</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Amendments, Etc</w:t>
            </w:r>
          </w:p>
        </w:tc>
        <w:tc>
          <w:tcPr>
            <w:tcW w:w="23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11.02</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Notices; Effectiveness; Electronic Communication</w:t>
            </w:r>
          </w:p>
        </w:tc>
        <w:tc>
          <w:tcPr>
            <w:tcW w:w="23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11.03</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No Waiver; Cumulative Remedies; Enforcement; Nature of Obligations</w:t>
            </w:r>
          </w:p>
        </w:tc>
        <w:tc>
          <w:tcPr>
            <w:tcW w:w="23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11.04</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Expenses; Indemnity; Damage Waiver</w:t>
            </w:r>
          </w:p>
        </w:tc>
        <w:tc>
          <w:tcPr>
            <w:tcW w:w="23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11.05</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Payments Set Aside</w:t>
            </w:r>
          </w:p>
        </w:tc>
        <w:tc>
          <w:tcPr>
            <w:tcW w:w="23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11.06</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Successors and Assigns</w:t>
            </w:r>
          </w:p>
        </w:tc>
        <w:tc>
          <w:tcPr>
            <w:tcW w:w="23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11.07</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Treatment of Certain Information; Confidentiality</w:t>
            </w:r>
          </w:p>
        </w:tc>
        <w:tc>
          <w:tcPr>
            <w:tcW w:w="23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11.08</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Right of Setoff</w:t>
            </w:r>
          </w:p>
        </w:tc>
        <w:tc>
          <w:tcPr>
            <w:tcW w:w="23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11.09</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Interest Rate Limitation</w:t>
            </w:r>
          </w:p>
        </w:tc>
        <w:tc>
          <w:tcPr>
            <w:tcW w:w="23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11.10</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Counterparts; Integration; Effectiveness</w:t>
            </w:r>
          </w:p>
        </w:tc>
        <w:tc>
          <w:tcPr>
            <w:tcW w:w="23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11.11</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Survival of Representations and Warranties</w:t>
            </w:r>
          </w:p>
        </w:tc>
        <w:tc>
          <w:tcPr>
            <w:tcW w:w="23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11.12</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Severability</w:t>
            </w:r>
          </w:p>
        </w:tc>
        <w:tc>
          <w:tcPr>
            <w:tcW w:w="23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11.13</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Replacement of Lenders</w:t>
            </w:r>
          </w:p>
        </w:tc>
        <w:tc>
          <w:tcPr>
            <w:tcW w:w="23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11.14</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Governing Law; Jurisdiction; Etc</w:t>
            </w:r>
          </w:p>
        </w:tc>
        <w:tc>
          <w:tcPr>
            <w:tcW w:w="23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11.15</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Waiver of Jury Trial</w:t>
            </w:r>
          </w:p>
        </w:tc>
        <w:tc>
          <w:tcPr>
            <w:tcW w:w="23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11.16</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No Advisory or Fiduciary Responsibility</w:t>
            </w:r>
          </w:p>
        </w:tc>
        <w:tc>
          <w:tcPr>
            <w:tcW w:w="23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11.17</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No Recourse to Other Persons</w:t>
            </w:r>
          </w:p>
        </w:tc>
        <w:tc>
          <w:tcPr>
            <w:tcW w:w="23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11.18</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Electronic Execution of Assignments and Certain Other Documents</w:t>
            </w:r>
          </w:p>
        </w:tc>
        <w:tc>
          <w:tcPr>
            <w:tcW w:w="23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11.19</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USA PATRIOT Act</w:t>
            </w:r>
          </w:p>
        </w:tc>
        <w:tc>
          <w:tcPr>
            <w:tcW w:w="23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28"/>
        </w:trPr>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11.20</w:t>
            </w:r>
          </w:p>
        </w:tc>
        <w:tc>
          <w:tcPr>
            <w:tcW w:w="7680" w:type="dxa"/>
            <w:vAlign w:val="bottom"/>
          </w:tcPr>
          <w:p>
            <w:pPr>
              <w:ind w:left="220"/>
              <w:spacing w:after="0"/>
              <w:rPr>
                <w:sz w:val="20"/>
                <w:szCs w:val="20"/>
                <w:color w:val="auto"/>
              </w:rPr>
            </w:pPr>
            <w:r>
              <w:rPr>
                <w:rFonts w:ascii="Arial" w:cs="Arial" w:eastAsia="Arial" w:hAnsi="Arial"/>
                <w:sz w:val="18"/>
                <w:szCs w:val="18"/>
                <w:b w:val="1"/>
                <w:bCs w:val="1"/>
                <w:color w:val="auto"/>
              </w:rPr>
              <w:t>Time of the Essence</w:t>
            </w:r>
          </w:p>
        </w:tc>
        <w:tc>
          <w:tcPr>
            <w:tcW w:w="2360" w:type="dxa"/>
            <w:vAlign w:val="bottom"/>
          </w:tcPr>
          <w:p>
            <w:pPr>
              <w:jc w:val="right"/>
              <w:spacing w:after="0"/>
              <w:rPr>
                <w:sz w:val="20"/>
                <w:szCs w:val="20"/>
                <w:color w:val="auto"/>
              </w:rPr>
            </w:pPr>
            <w:r>
              <w:rPr>
                <w:rFonts w:ascii="Arial" w:cs="Arial" w:eastAsia="Arial" w:hAnsi="Arial"/>
                <w:sz w:val="18"/>
                <w:szCs w:val="18"/>
                <w:color w:val="auto"/>
              </w:rPr>
              <w:t>114</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60"/>
          </w:cols>
          <w:pgMar w:left="300" w:top="455"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6"/>
        </w:trPr>
        <w:tc>
          <w:tcPr>
            <w:tcW w:w="1300" w:type="dxa"/>
            <w:vAlign w:val="bottom"/>
          </w:tcPr>
          <w:p>
            <w:pPr>
              <w:jc w:val="right"/>
              <w:ind w:right="132"/>
              <w:spacing w:after="0"/>
              <w:rPr>
                <w:sz w:val="20"/>
                <w:szCs w:val="20"/>
                <w:color w:val="auto"/>
              </w:rPr>
            </w:pPr>
            <w:r>
              <w:rPr>
                <w:rFonts w:ascii="Arial" w:cs="Arial" w:eastAsia="Arial" w:hAnsi="Arial"/>
                <w:sz w:val="18"/>
                <w:szCs w:val="18"/>
                <w:b w:val="1"/>
                <w:bCs w:val="1"/>
                <w:color w:val="auto"/>
              </w:rPr>
              <w:t>11.21</w:t>
            </w:r>
          </w:p>
        </w:tc>
        <w:tc>
          <w:tcPr>
            <w:tcW w:w="7120" w:type="dxa"/>
            <w:vAlign w:val="bottom"/>
          </w:tcPr>
          <w:p>
            <w:pPr>
              <w:ind w:left="200"/>
              <w:spacing w:after="0"/>
              <w:rPr>
                <w:sz w:val="20"/>
                <w:szCs w:val="20"/>
                <w:color w:val="auto"/>
              </w:rPr>
            </w:pPr>
            <w:r>
              <w:rPr>
                <w:rFonts w:ascii="Arial" w:cs="Arial" w:eastAsia="Arial" w:hAnsi="Arial"/>
                <w:sz w:val="18"/>
                <w:szCs w:val="18"/>
                <w:b w:val="1"/>
                <w:bCs w:val="1"/>
                <w:color w:val="auto"/>
              </w:rPr>
              <w:t>Judgment Currency</w:t>
            </w:r>
          </w:p>
        </w:tc>
        <w:tc>
          <w:tcPr>
            <w:tcW w:w="2840" w:type="dxa"/>
            <w:vAlign w:val="bottom"/>
          </w:tcPr>
          <w:p>
            <w:pPr>
              <w:ind w:left="2580"/>
              <w:spacing w:after="0"/>
              <w:rPr>
                <w:sz w:val="20"/>
                <w:szCs w:val="20"/>
                <w:color w:val="auto"/>
              </w:rPr>
            </w:pPr>
            <w:r>
              <w:rPr>
                <w:rFonts w:ascii="Arial" w:cs="Arial" w:eastAsia="Arial" w:hAnsi="Arial"/>
                <w:sz w:val="18"/>
                <w:szCs w:val="18"/>
                <w:color w:val="auto"/>
                <w:w w:val="79"/>
              </w:rPr>
              <w:t>114</w:t>
            </w:r>
          </w:p>
        </w:tc>
      </w:tr>
      <w:tr>
        <w:trPr>
          <w:trHeight w:val="216"/>
        </w:trPr>
        <w:tc>
          <w:tcPr>
            <w:tcW w:w="1300" w:type="dxa"/>
            <w:vAlign w:val="bottom"/>
          </w:tcPr>
          <w:p>
            <w:pPr>
              <w:jc w:val="right"/>
              <w:ind w:right="132"/>
              <w:spacing w:after="0"/>
              <w:rPr>
                <w:sz w:val="20"/>
                <w:szCs w:val="20"/>
                <w:color w:val="auto"/>
              </w:rPr>
            </w:pPr>
            <w:r>
              <w:rPr>
                <w:rFonts w:ascii="Arial" w:cs="Arial" w:eastAsia="Arial" w:hAnsi="Arial"/>
                <w:sz w:val="18"/>
                <w:szCs w:val="18"/>
                <w:b w:val="1"/>
                <w:bCs w:val="1"/>
                <w:color w:val="auto"/>
              </w:rPr>
              <w:t>11.22</w:t>
            </w:r>
          </w:p>
        </w:tc>
        <w:tc>
          <w:tcPr>
            <w:tcW w:w="7120" w:type="dxa"/>
            <w:vAlign w:val="bottom"/>
          </w:tcPr>
          <w:p>
            <w:pPr>
              <w:ind w:left="200"/>
              <w:spacing w:after="0"/>
              <w:rPr>
                <w:sz w:val="20"/>
                <w:szCs w:val="20"/>
                <w:color w:val="auto"/>
              </w:rPr>
            </w:pPr>
            <w:r>
              <w:rPr>
                <w:rFonts w:ascii="Arial" w:cs="Arial" w:eastAsia="Arial" w:hAnsi="Arial"/>
                <w:sz w:val="18"/>
                <w:szCs w:val="18"/>
                <w:b w:val="1"/>
                <w:bCs w:val="1"/>
                <w:color w:val="auto"/>
              </w:rPr>
              <w:t>ENTIRE AGREEMENT</w:t>
            </w:r>
          </w:p>
        </w:tc>
        <w:tc>
          <w:tcPr>
            <w:tcW w:w="2840" w:type="dxa"/>
            <w:vAlign w:val="bottom"/>
          </w:tcPr>
          <w:p>
            <w:pPr>
              <w:ind w:left="2580"/>
              <w:spacing w:after="0"/>
              <w:rPr>
                <w:sz w:val="20"/>
                <w:szCs w:val="20"/>
                <w:color w:val="auto"/>
              </w:rPr>
            </w:pPr>
            <w:r>
              <w:rPr>
                <w:rFonts w:ascii="Arial" w:cs="Arial" w:eastAsia="Arial" w:hAnsi="Arial"/>
                <w:sz w:val="18"/>
                <w:szCs w:val="18"/>
                <w:color w:val="auto"/>
                <w:w w:val="79"/>
              </w:rPr>
              <w:t>114</w:t>
            </w:r>
          </w:p>
        </w:tc>
      </w:tr>
      <w:tr>
        <w:trPr>
          <w:trHeight w:val="228"/>
        </w:trPr>
        <w:tc>
          <w:tcPr>
            <w:tcW w:w="1300" w:type="dxa"/>
            <w:vAlign w:val="bottom"/>
          </w:tcPr>
          <w:p>
            <w:pPr>
              <w:jc w:val="right"/>
              <w:ind w:right="132"/>
              <w:spacing w:after="0"/>
              <w:rPr>
                <w:sz w:val="20"/>
                <w:szCs w:val="20"/>
                <w:color w:val="auto"/>
              </w:rPr>
            </w:pPr>
            <w:r>
              <w:rPr>
                <w:rFonts w:ascii="Arial" w:cs="Arial" w:eastAsia="Arial" w:hAnsi="Arial"/>
                <w:sz w:val="18"/>
                <w:szCs w:val="18"/>
                <w:b w:val="1"/>
                <w:bCs w:val="1"/>
                <w:color w:val="auto"/>
              </w:rPr>
              <w:t>11.23</w:t>
            </w:r>
          </w:p>
        </w:tc>
        <w:tc>
          <w:tcPr>
            <w:tcW w:w="7120" w:type="dxa"/>
            <w:vAlign w:val="bottom"/>
          </w:tcPr>
          <w:p>
            <w:pPr>
              <w:ind w:left="200"/>
              <w:spacing w:after="0"/>
              <w:rPr>
                <w:sz w:val="20"/>
                <w:szCs w:val="20"/>
                <w:color w:val="auto"/>
              </w:rPr>
            </w:pPr>
            <w:r>
              <w:rPr>
                <w:rFonts w:ascii="Arial" w:cs="Arial" w:eastAsia="Arial" w:hAnsi="Arial"/>
                <w:sz w:val="18"/>
                <w:szCs w:val="18"/>
                <w:b w:val="1"/>
                <w:bCs w:val="1"/>
                <w:color w:val="auto"/>
              </w:rPr>
              <w:t>Restated Agreement</w:t>
            </w:r>
          </w:p>
        </w:tc>
        <w:tc>
          <w:tcPr>
            <w:tcW w:w="2840" w:type="dxa"/>
            <w:vAlign w:val="bottom"/>
          </w:tcPr>
          <w:p>
            <w:pPr>
              <w:ind w:left="2580"/>
              <w:spacing w:after="0"/>
              <w:rPr>
                <w:sz w:val="20"/>
                <w:szCs w:val="20"/>
                <w:color w:val="auto"/>
              </w:rPr>
            </w:pPr>
            <w:r>
              <w:rPr>
                <w:rFonts w:ascii="Arial" w:cs="Arial" w:eastAsia="Arial" w:hAnsi="Arial"/>
                <w:sz w:val="18"/>
                <w:szCs w:val="18"/>
                <w:color w:val="auto"/>
                <w:w w:val="79"/>
              </w:rPr>
              <w:t>114</w:t>
            </w: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SIGNATURES</w:t>
            </w:r>
          </w:p>
        </w:tc>
        <w:tc>
          <w:tcPr>
            <w:tcW w:w="7120" w:type="dxa"/>
            <w:vAlign w:val="bottom"/>
          </w:tcPr>
          <w:p>
            <w:pPr>
              <w:spacing w:after="0"/>
              <w:rPr>
                <w:sz w:val="24"/>
                <w:szCs w:val="24"/>
                <w:color w:val="auto"/>
              </w:rPr>
            </w:pPr>
          </w:p>
        </w:tc>
        <w:tc>
          <w:tcPr>
            <w:tcW w:w="2840" w:type="dxa"/>
            <w:vAlign w:val="bottom"/>
          </w:tcPr>
          <w:p>
            <w:pPr>
              <w:ind w:left="2580"/>
              <w:spacing w:after="0"/>
              <w:rPr>
                <w:sz w:val="20"/>
                <w:szCs w:val="20"/>
                <w:color w:val="auto"/>
              </w:rPr>
            </w:pPr>
            <w:r>
              <w:rPr>
                <w:rFonts w:ascii="Arial" w:cs="Arial" w:eastAsia="Arial" w:hAnsi="Arial"/>
                <w:sz w:val="18"/>
                <w:szCs w:val="18"/>
                <w:color w:val="auto"/>
                <w:w w:val="85"/>
              </w:rPr>
              <w:t>S-1</w:t>
            </w:r>
          </w:p>
        </w:tc>
      </w:tr>
      <w:tr>
        <w:trPr>
          <w:trHeight w:val="426"/>
        </w:trPr>
        <w:tc>
          <w:tcPr>
            <w:tcW w:w="1300" w:type="dxa"/>
            <w:vAlign w:val="bottom"/>
          </w:tcPr>
          <w:p>
            <w:pPr>
              <w:spacing w:after="0"/>
              <w:rPr>
                <w:sz w:val="20"/>
                <w:szCs w:val="20"/>
                <w:color w:val="auto"/>
              </w:rPr>
            </w:pPr>
            <w:r>
              <w:rPr>
                <w:rFonts w:ascii="Arial" w:cs="Arial" w:eastAsia="Arial" w:hAnsi="Arial"/>
                <w:sz w:val="18"/>
                <w:szCs w:val="18"/>
                <w:b w:val="1"/>
                <w:bCs w:val="1"/>
                <w:color w:val="auto"/>
              </w:rPr>
              <w:t>SCHEDULES</w:t>
            </w:r>
          </w:p>
        </w:tc>
        <w:tc>
          <w:tcPr>
            <w:tcW w:w="71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16"/>
        </w:trPr>
        <w:tc>
          <w:tcPr>
            <w:tcW w:w="1300" w:type="dxa"/>
            <w:vAlign w:val="bottom"/>
          </w:tcPr>
          <w:p>
            <w:pPr>
              <w:jc w:val="right"/>
              <w:ind w:right="252"/>
              <w:spacing w:after="0"/>
              <w:rPr>
                <w:sz w:val="20"/>
                <w:szCs w:val="20"/>
                <w:color w:val="auto"/>
              </w:rPr>
            </w:pPr>
            <w:r>
              <w:rPr>
                <w:rFonts w:ascii="Arial" w:cs="Arial" w:eastAsia="Arial" w:hAnsi="Arial"/>
                <w:sz w:val="18"/>
                <w:szCs w:val="18"/>
                <w:color w:val="auto"/>
              </w:rPr>
              <w:t>2.01</w:t>
            </w:r>
          </w:p>
        </w:tc>
        <w:tc>
          <w:tcPr>
            <w:tcW w:w="7120" w:type="dxa"/>
            <w:vAlign w:val="bottom"/>
          </w:tcPr>
          <w:p>
            <w:pPr>
              <w:ind w:left="200"/>
              <w:spacing w:after="0"/>
              <w:rPr>
                <w:sz w:val="20"/>
                <w:szCs w:val="20"/>
                <w:color w:val="auto"/>
              </w:rPr>
            </w:pPr>
            <w:r>
              <w:rPr>
                <w:rFonts w:ascii="Arial" w:cs="Arial" w:eastAsia="Arial" w:hAnsi="Arial"/>
                <w:sz w:val="18"/>
                <w:szCs w:val="18"/>
                <w:color w:val="auto"/>
              </w:rPr>
              <w:t>Commitments and Applicable Percentages</w:t>
            </w:r>
          </w:p>
        </w:tc>
        <w:tc>
          <w:tcPr>
            <w:tcW w:w="2840" w:type="dxa"/>
            <w:vAlign w:val="bottom"/>
          </w:tcPr>
          <w:p>
            <w:pPr>
              <w:spacing w:after="0"/>
              <w:rPr>
                <w:sz w:val="18"/>
                <w:szCs w:val="18"/>
                <w:color w:val="auto"/>
              </w:rPr>
            </w:pPr>
          </w:p>
        </w:tc>
      </w:tr>
      <w:tr>
        <w:trPr>
          <w:trHeight w:val="216"/>
        </w:trPr>
        <w:tc>
          <w:tcPr>
            <w:tcW w:w="1300" w:type="dxa"/>
            <w:vAlign w:val="bottom"/>
          </w:tcPr>
          <w:p>
            <w:pPr>
              <w:jc w:val="right"/>
              <w:ind w:right="132"/>
              <w:spacing w:after="0"/>
              <w:rPr>
                <w:sz w:val="20"/>
                <w:szCs w:val="20"/>
                <w:color w:val="auto"/>
              </w:rPr>
            </w:pPr>
            <w:r>
              <w:rPr>
                <w:rFonts w:ascii="Arial" w:cs="Arial" w:eastAsia="Arial" w:hAnsi="Arial"/>
                <w:sz w:val="18"/>
                <w:szCs w:val="18"/>
                <w:color w:val="auto"/>
              </w:rPr>
              <w:t>2.01A</w:t>
            </w:r>
          </w:p>
        </w:tc>
        <w:tc>
          <w:tcPr>
            <w:tcW w:w="7120" w:type="dxa"/>
            <w:vAlign w:val="bottom"/>
          </w:tcPr>
          <w:p>
            <w:pPr>
              <w:ind w:left="200"/>
              <w:spacing w:after="0"/>
              <w:rPr>
                <w:sz w:val="20"/>
                <w:szCs w:val="20"/>
                <w:color w:val="auto"/>
              </w:rPr>
            </w:pPr>
            <w:r>
              <w:rPr>
                <w:rFonts w:ascii="Arial" w:cs="Arial" w:eastAsia="Arial" w:hAnsi="Arial"/>
                <w:sz w:val="18"/>
                <w:szCs w:val="18"/>
                <w:color w:val="auto"/>
              </w:rPr>
              <w:t>Canadian Bankers’ Acceptances</w:t>
            </w:r>
          </w:p>
        </w:tc>
        <w:tc>
          <w:tcPr>
            <w:tcW w:w="2840" w:type="dxa"/>
            <w:vAlign w:val="bottom"/>
          </w:tcPr>
          <w:p>
            <w:pPr>
              <w:spacing w:after="0"/>
              <w:rPr>
                <w:sz w:val="18"/>
                <w:szCs w:val="18"/>
                <w:color w:val="auto"/>
              </w:rPr>
            </w:pPr>
          </w:p>
        </w:tc>
      </w:tr>
      <w:tr>
        <w:trPr>
          <w:trHeight w:val="216"/>
        </w:trPr>
        <w:tc>
          <w:tcPr>
            <w:tcW w:w="1300" w:type="dxa"/>
            <w:vAlign w:val="bottom"/>
          </w:tcPr>
          <w:p>
            <w:pPr>
              <w:jc w:val="right"/>
              <w:ind w:right="252"/>
              <w:spacing w:after="0"/>
              <w:rPr>
                <w:sz w:val="20"/>
                <w:szCs w:val="20"/>
                <w:color w:val="auto"/>
              </w:rPr>
            </w:pPr>
            <w:r>
              <w:rPr>
                <w:rFonts w:ascii="Arial" w:cs="Arial" w:eastAsia="Arial" w:hAnsi="Arial"/>
                <w:sz w:val="18"/>
                <w:szCs w:val="18"/>
                <w:color w:val="auto"/>
              </w:rPr>
              <w:t>5.03</w:t>
            </w:r>
          </w:p>
        </w:tc>
        <w:tc>
          <w:tcPr>
            <w:tcW w:w="7120" w:type="dxa"/>
            <w:vAlign w:val="bottom"/>
          </w:tcPr>
          <w:p>
            <w:pPr>
              <w:ind w:left="200"/>
              <w:spacing w:after="0"/>
              <w:rPr>
                <w:sz w:val="20"/>
                <w:szCs w:val="20"/>
                <w:color w:val="auto"/>
              </w:rPr>
            </w:pPr>
            <w:r>
              <w:rPr>
                <w:rFonts w:ascii="Arial" w:cs="Arial" w:eastAsia="Arial" w:hAnsi="Arial"/>
                <w:sz w:val="18"/>
                <w:szCs w:val="18"/>
                <w:color w:val="auto"/>
              </w:rPr>
              <w:t>Governmental Authorization; Other Consents</w:t>
            </w:r>
          </w:p>
        </w:tc>
        <w:tc>
          <w:tcPr>
            <w:tcW w:w="2840" w:type="dxa"/>
            <w:vAlign w:val="bottom"/>
          </w:tcPr>
          <w:p>
            <w:pPr>
              <w:spacing w:after="0"/>
              <w:rPr>
                <w:sz w:val="18"/>
                <w:szCs w:val="18"/>
                <w:color w:val="auto"/>
              </w:rPr>
            </w:pPr>
          </w:p>
        </w:tc>
      </w:tr>
      <w:tr>
        <w:trPr>
          <w:trHeight w:val="216"/>
        </w:trPr>
        <w:tc>
          <w:tcPr>
            <w:tcW w:w="1300" w:type="dxa"/>
            <w:vAlign w:val="bottom"/>
          </w:tcPr>
          <w:p>
            <w:pPr>
              <w:jc w:val="right"/>
              <w:ind w:right="252"/>
              <w:spacing w:after="0"/>
              <w:rPr>
                <w:sz w:val="20"/>
                <w:szCs w:val="20"/>
                <w:color w:val="auto"/>
              </w:rPr>
            </w:pPr>
            <w:r>
              <w:rPr>
                <w:rFonts w:ascii="Arial" w:cs="Arial" w:eastAsia="Arial" w:hAnsi="Arial"/>
                <w:sz w:val="18"/>
                <w:szCs w:val="18"/>
                <w:color w:val="auto"/>
              </w:rPr>
              <w:t>5.06</w:t>
            </w:r>
          </w:p>
        </w:tc>
        <w:tc>
          <w:tcPr>
            <w:tcW w:w="7120" w:type="dxa"/>
            <w:vAlign w:val="bottom"/>
          </w:tcPr>
          <w:p>
            <w:pPr>
              <w:ind w:left="200"/>
              <w:spacing w:after="0"/>
              <w:rPr>
                <w:sz w:val="20"/>
                <w:szCs w:val="20"/>
                <w:color w:val="auto"/>
              </w:rPr>
            </w:pPr>
            <w:r>
              <w:rPr>
                <w:rFonts w:ascii="Arial" w:cs="Arial" w:eastAsia="Arial" w:hAnsi="Arial"/>
                <w:sz w:val="18"/>
                <w:szCs w:val="18"/>
                <w:color w:val="auto"/>
              </w:rPr>
              <w:t>Litigation</w:t>
            </w:r>
          </w:p>
        </w:tc>
        <w:tc>
          <w:tcPr>
            <w:tcW w:w="2840" w:type="dxa"/>
            <w:vAlign w:val="bottom"/>
          </w:tcPr>
          <w:p>
            <w:pPr>
              <w:spacing w:after="0"/>
              <w:rPr>
                <w:sz w:val="18"/>
                <w:szCs w:val="18"/>
                <w:color w:val="auto"/>
              </w:rPr>
            </w:pPr>
          </w:p>
        </w:tc>
      </w:tr>
      <w:tr>
        <w:trPr>
          <w:trHeight w:val="216"/>
        </w:trPr>
        <w:tc>
          <w:tcPr>
            <w:tcW w:w="1300" w:type="dxa"/>
            <w:vAlign w:val="bottom"/>
          </w:tcPr>
          <w:p>
            <w:pPr>
              <w:jc w:val="right"/>
              <w:ind w:right="252"/>
              <w:spacing w:after="0"/>
              <w:rPr>
                <w:sz w:val="20"/>
                <w:szCs w:val="20"/>
                <w:color w:val="auto"/>
              </w:rPr>
            </w:pPr>
            <w:r>
              <w:rPr>
                <w:rFonts w:ascii="Arial" w:cs="Arial" w:eastAsia="Arial" w:hAnsi="Arial"/>
                <w:sz w:val="18"/>
                <w:szCs w:val="18"/>
                <w:color w:val="auto"/>
              </w:rPr>
              <w:t>5.08</w:t>
            </w:r>
          </w:p>
        </w:tc>
        <w:tc>
          <w:tcPr>
            <w:tcW w:w="7120" w:type="dxa"/>
            <w:vAlign w:val="bottom"/>
          </w:tcPr>
          <w:p>
            <w:pPr>
              <w:ind w:left="200"/>
              <w:spacing w:after="0"/>
              <w:rPr>
                <w:sz w:val="20"/>
                <w:szCs w:val="20"/>
                <w:color w:val="auto"/>
              </w:rPr>
            </w:pPr>
            <w:r>
              <w:rPr>
                <w:rFonts w:ascii="Arial" w:cs="Arial" w:eastAsia="Arial" w:hAnsi="Arial"/>
                <w:sz w:val="18"/>
                <w:szCs w:val="18"/>
                <w:color w:val="auto"/>
              </w:rPr>
              <w:t>Environmental Matters</w:t>
            </w:r>
          </w:p>
        </w:tc>
        <w:tc>
          <w:tcPr>
            <w:tcW w:w="2840" w:type="dxa"/>
            <w:vAlign w:val="bottom"/>
          </w:tcPr>
          <w:p>
            <w:pPr>
              <w:spacing w:after="0"/>
              <w:rPr>
                <w:sz w:val="18"/>
                <w:szCs w:val="18"/>
                <w:color w:val="auto"/>
              </w:rPr>
            </w:pPr>
          </w:p>
        </w:tc>
      </w:tr>
      <w:tr>
        <w:trPr>
          <w:trHeight w:val="216"/>
        </w:trPr>
        <w:tc>
          <w:tcPr>
            <w:tcW w:w="1300" w:type="dxa"/>
            <w:vAlign w:val="bottom"/>
          </w:tcPr>
          <w:p>
            <w:pPr>
              <w:jc w:val="right"/>
              <w:ind w:right="252"/>
              <w:spacing w:after="0"/>
              <w:rPr>
                <w:sz w:val="20"/>
                <w:szCs w:val="20"/>
                <w:color w:val="auto"/>
              </w:rPr>
            </w:pPr>
            <w:r>
              <w:rPr>
                <w:rFonts w:ascii="Arial" w:cs="Arial" w:eastAsia="Arial" w:hAnsi="Arial"/>
                <w:sz w:val="18"/>
                <w:szCs w:val="18"/>
                <w:color w:val="auto"/>
              </w:rPr>
              <w:t>5.09</w:t>
            </w:r>
          </w:p>
        </w:tc>
        <w:tc>
          <w:tcPr>
            <w:tcW w:w="7120" w:type="dxa"/>
            <w:vAlign w:val="bottom"/>
          </w:tcPr>
          <w:p>
            <w:pPr>
              <w:ind w:left="200"/>
              <w:spacing w:after="0"/>
              <w:rPr>
                <w:sz w:val="20"/>
                <w:szCs w:val="20"/>
                <w:color w:val="auto"/>
              </w:rPr>
            </w:pPr>
            <w:r>
              <w:rPr>
                <w:rFonts w:ascii="Arial" w:cs="Arial" w:eastAsia="Arial" w:hAnsi="Arial"/>
                <w:sz w:val="18"/>
                <w:szCs w:val="18"/>
                <w:color w:val="auto"/>
              </w:rPr>
              <w:t>ERISA Matters</w:t>
            </w:r>
          </w:p>
        </w:tc>
        <w:tc>
          <w:tcPr>
            <w:tcW w:w="2840" w:type="dxa"/>
            <w:vAlign w:val="bottom"/>
          </w:tcPr>
          <w:p>
            <w:pPr>
              <w:spacing w:after="0"/>
              <w:rPr>
                <w:sz w:val="18"/>
                <w:szCs w:val="18"/>
                <w:color w:val="auto"/>
              </w:rPr>
            </w:pPr>
          </w:p>
        </w:tc>
      </w:tr>
      <w:tr>
        <w:trPr>
          <w:trHeight w:val="216"/>
        </w:trPr>
        <w:tc>
          <w:tcPr>
            <w:tcW w:w="1300" w:type="dxa"/>
            <w:vAlign w:val="bottom"/>
          </w:tcPr>
          <w:p>
            <w:pPr>
              <w:jc w:val="right"/>
              <w:ind w:right="252"/>
              <w:spacing w:after="0"/>
              <w:rPr>
                <w:sz w:val="20"/>
                <w:szCs w:val="20"/>
                <w:color w:val="auto"/>
              </w:rPr>
            </w:pPr>
            <w:r>
              <w:rPr>
                <w:rFonts w:ascii="Arial" w:cs="Arial" w:eastAsia="Arial" w:hAnsi="Arial"/>
                <w:sz w:val="18"/>
                <w:szCs w:val="18"/>
                <w:color w:val="auto"/>
              </w:rPr>
              <w:t>5.12</w:t>
            </w:r>
          </w:p>
        </w:tc>
        <w:tc>
          <w:tcPr>
            <w:tcW w:w="7120" w:type="dxa"/>
            <w:vAlign w:val="bottom"/>
          </w:tcPr>
          <w:p>
            <w:pPr>
              <w:ind w:left="200"/>
              <w:spacing w:after="0"/>
              <w:rPr>
                <w:sz w:val="20"/>
                <w:szCs w:val="20"/>
                <w:color w:val="auto"/>
              </w:rPr>
            </w:pPr>
            <w:r>
              <w:rPr>
                <w:rFonts w:ascii="Arial" w:cs="Arial" w:eastAsia="Arial" w:hAnsi="Arial"/>
                <w:sz w:val="18"/>
                <w:szCs w:val="18"/>
                <w:color w:val="auto"/>
              </w:rPr>
              <w:t>Compliance with Laws</w:t>
            </w:r>
          </w:p>
        </w:tc>
        <w:tc>
          <w:tcPr>
            <w:tcW w:w="2840" w:type="dxa"/>
            <w:vAlign w:val="bottom"/>
          </w:tcPr>
          <w:p>
            <w:pPr>
              <w:spacing w:after="0"/>
              <w:rPr>
                <w:sz w:val="18"/>
                <w:szCs w:val="18"/>
                <w:color w:val="auto"/>
              </w:rPr>
            </w:pPr>
          </w:p>
        </w:tc>
      </w:tr>
      <w:tr>
        <w:trPr>
          <w:trHeight w:val="222"/>
        </w:trPr>
        <w:tc>
          <w:tcPr>
            <w:tcW w:w="1300" w:type="dxa"/>
            <w:vAlign w:val="bottom"/>
          </w:tcPr>
          <w:p>
            <w:pPr>
              <w:jc w:val="right"/>
              <w:ind w:right="252"/>
              <w:spacing w:after="0"/>
              <w:rPr>
                <w:sz w:val="20"/>
                <w:szCs w:val="20"/>
                <w:color w:val="auto"/>
              </w:rPr>
            </w:pPr>
            <w:r>
              <w:rPr>
                <w:rFonts w:ascii="Arial" w:cs="Arial" w:eastAsia="Arial" w:hAnsi="Arial"/>
                <w:sz w:val="18"/>
                <w:szCs w:val="18"/>
                <w:color w:val="auto"/>
              </w:rPr>
              <w:t>11.02</w:t>
            </w:r>
          </w:p>
        </w:tc>
        <w:tc>
          <w:tcPr>
            <w:tcW w:w="7120" w:type="dxa"/>
            <w:vAlign w:val="bottom"/>
          </w:tcPr>
          <w:p>
            <w:pPr>
              <w:ind w:left="200"/>
              <w:spacing w:after="0"/>
              <w:rPr>
                <w:sz w:val="20"/>
                <w:szCs w:val="20"/>
                <w:color w:val="auto"/>
              </w:rPr>
            </w:pPr>
            <w:r>
              <w:rPr>
                <w:rFonts w:ascii="Arial" w:cs="Arial" w:eastAsia="Arial" w:hAnsi="Arial"/>
                <w:sz w:val="18"/>
                <w:szCs w:val="18"/>
                <w:color w:val="auto"/>
              </w:rPr>
              <w:t>Administrative Agent’s Office; Certain Addresses for Notices</w:t>
            </w:r>
          </w:p>
        </w:tc>
        <w:tc>
          <w:tcPr>
            <w:tcW w:w="2840" w:type="dxa"/>
            <w:vAlign w:val="bottom"/>
          </w:tcPr>
          <w:p>
            <w:pPr>
              <w:spacing w:after="0"/>
              <w:rPr>
                <w:sz w:val="19"/>
                <w:szCs w:val="19"/>
                <w:color w:val="auto"/>
              </w:rPr>
            </w:pPr>
          </w:p>
        </w:tc>
      </w:tr>
    </w:tbl>
    <w:p>
      <w:pPr>
        <w:spacing w:after="0" w:line="2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EXHIBITS</w:t>
      </w:r>
    </w:p>
    <w:p>
      <w:pPr>
        <w:spacing w:after="0" w:line="231" w:lineRule="exact"/>
        <w:rPr>
          <w:sz w:val="20"/>
          <w:szCs w:val="20"/>
          <w:color w:val="auto"/>
        </w:rPr>
      </w:pPr>
    </w:p>
    <w:p>
      <w:pPr>
        <w:ind w:left="1500"/>
        <w:spacing w:after="0"/>
        <w:rPr>
          <w:sz w:val="20"/>
          <w:szCs w:val="20"/>
          <w:color w:val="auto"/>
        </w:rPr>
      </w:pPr>
      <w:r>
        <w:rPr>
          <w:rFonts w:ascii="Arial" w:cs="Arial" w:eastAsia="Arial" w:hAnsi="Arial"/>
          <w:sz w:val="18"/>
          <w:szCs w:val="18"/>
          <w:b w:val="1"/>
          <w:bCs w:val="1"/>
          <w:i w:val="1"/>
          <w:iCs w:val="1"/>
          <w:color w:val="auto"/>
        </w:rPr>
        <w:t>Form of</w:t>
      </w:r>
    </w:p>
    <w:p>
      <w:pPr>
        <w:spacing w:after="0" w:line="117" w:lineRule="exact"/>
        <w:rPr>
          <w:sz w:val="20"/>
          <w:szCs w:val="20"/>
          <w:color w:val="auto"/>
        </w:rPr>
      </w:pPr>
    </w:p>
    <w:p>
      <w:pPr>
        <w:ind w:left="1500" w:hanging="666"/>
        <w:spacing w:after="0"/>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Committed Loan Notice</w:t>
      </w:r>
    </w:p>
    <w:p>
      <w:pPr>
        <w:spacing w:after="0" w:line="15"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6"/>
          <w:szCs w:val="16"/>
          <w:color w:val="auto"/>
        </w:rPr>
        <w:t>Swing Line Loan Notice</w:t>
      </w:r>
    </w:p>
    <w:p>
      <w:pPr>
        <w:spacing w:after="0" w:line="9"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C-1</w:t>
      </w:r>
      <w:r>
        <w:rPr>
          <w:rFonts w:ascii="Arial" w:cs="Arial" w:eastAsia="Arial" w:hAnsi="Arial"/>
          <w:sz w:val="16"/>
          <w:szCs w:val="16"/>
          <w:color w:val="auto"/>
        </w:rPr>
        <w:t>Committed Loan Note</w:t>
      </w:r>
    </w:p>
    <w:p>
      <w:pPr>
        <w:spacing w:after="0" w:line="9"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C-2</w:t>
      </w:r>
      <w:r>
        <w:rPr>
          <w:rFonts w:ascii="Arial" w:cs="Arial" w:eastAsia="Arial" w:hAnsi="Arial"/>
          <w:sz w:val="16"/>
          <w:szCs w:val="16"/>
          <w:color w:val="auto"/>
        </w:rPr>
        <w:t>Swing Line Note</w:t>
      </w:r>
    </w:p>
    <w:p>
      <w:pPr>
        <w:spacing w:after="0" w:line="9"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D-1</w:t>
      </w:r>
      <w:r>
        <w:rPr>
          <w:rFonts w:ascii="Arial" w:cs="Arial" w:eastAsia="Arial" w:hAnsi="Arial"/>
          <w:sz w:val="16"/>
          <w:szCs w:val="16"/>
          <w:color w:val="auto"/>
        </w:rPr>
        <w:t>Assignment and Assumption</w:t>
      </w:r>
    </w:p>
    <w:p>
      <w:pPr>
        <w:spacing w:after="0" w:line="9"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D-2</w:t>
      </w:r>
      <w:r>
        <w:rPr>
          <w:rFonts w:ascii="Arial" w:cs="Arial" w:eastAsia="Arial" w:hAnsi="Arial"/>
          <w:sz w:val="16"/>
          <w:szCs w:val="16"/>
          <w:color w:val="auto"/>
        </w:rPr>
        <w:t>Administrative Questionnaire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60"/>
          </w:cols>
          <w:pgMar w:left="300" w:top="274" w:right="33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AMENDED AND RESTATED CREDIT AGREEMENT</w:t>
      </w:r>
    </w:p>
    <w:p>
      <w:pPr>
        <w:spacing w:after="0" w:line="1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This THIRD AMENDED AND RESTATED CREDIT AGREEMENT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as of August 19, 2011 (as amended through the First Amendment), among PLAINS MARKETING, L.P., a Texas limited partnership (the “</w:t>
      </w:r>
      <w:r>
        <w:rPr>
          <w:rFonts w:ascii="Arial" w:cs="Arial" w:eastAsia="Arial" w:hAnsi="Arial"/>
          <w:sz w:val="16"/>
          <w:szCs w:val="16"/>
          <w:u w:val="single" w:color="auto"/>
          <w:color w:val="auto"/>
        </w:rPr>
        <w:t>Company</w:t>
      </w:r>
      <w:r>
        <w:rPr>
          <w:rFonts w:ascii="Arial" w:cs="Arial" w:eastAsia="Arial" w:hAnsi="Arial"/>
          <w:sz w:val="16"/>
          <w:szCs w:val="16"/>
          <w:color w:val="auto"/>
        </w:rPr>
        <w:t>”), PLAINS MIDSTREAM CANADA ULC, a British Columbia unlimited liability company (“</w:t>
      </w:r>
      <w:r>
        <w:rPr>
          <w:rFonts w:ascii="Arial" w:cs="Arial" w:eastAsia="Arial" w:hAnsi="Arial"/>
          <w:sz w:val="16"/>
          <w:szCs w:val="16"/>
          <w:u w:val="single" w:color="auto"/>
          <w:color w:val="auto"/>
        </w:rPr>
        <w:t>PMCULC</w:t>
      </w:r>
      <w:r>
        <w:rPr>
          <w:rFonts w:ascii="Arial" w:cs="Arial" w:eastAsia="Arial" w:hAnsi="Arial"/>
          <w:sz w:val="16"/>
          <w:szCs w:val="16"/>
          <w:color w:val="auto"/>
        </w:rPr>
        <w:t>” and, together with the Company, the “</w:t>
      </w:r>
      <w:r>
        <w:rPr>
          <w:rFonts w:ascii="Arial" w:cs="Arial" w:eastAsia="Arial" w:hAnsi="Arial"/>
          <w:sz w:val="16"/>
          <w:szCs w:val="16"/>
          <w:u w:val="single" w:color="auto"/>
          <w:color w:val="auto"/>
        </w:rPr>
        <w:t>Borrowers</w:t>
      </w:r>
      <w:r>
        <w:rPr>
          <w:rFonts w:ascii="Arial" w:cs="Arial" w:eastAsia="Arial" w:hAnsi="Arial"/>
          <w:sz w:val="16"/>
          <w:szCs w:val="16"/>
          <w:color w:val="auto"/>
        </w:rPr>
        <w:t>”, and each, a “</w:t>
      </w:r>
      <w:r>
        <w:rPr>
          <w:rFonts w:ascii="Arial" w:cs="Arial" w:eastAsia="Arial" w:hAnsi="Arial"/>
          <w:sz w:val="16"/>
          <w:szCs w:val="16"/>
          <w:u w:val="single" w:color="auto"/>
          <w:color w:val="auto"/>
        </w:rPr>
        <w:t>Borrower</w:t>
      </w:r>
      <w:r>
        <w:rPr>
          <w:rFonts w:ascii="Arial" w:cs="Arial" w:eastAsia="Arial" w:hAnsi="Arial"/>
          <w:sz w:val="16"/>
          <w:szCs w:val="16"/>
          <w:color w:val="auto"/>
        </w:rPr>
        <w:t>”), PLAINS ALL AMERICAN PIPELINE, L.P., a Delaware limited partnership (“</w:t>
      </w:r>
      <w:r>
        <w:rPr>
          <w:rFonts w:ascii="Arial" w:cs="Arial" w:eastAsia="Arial" w:hAnsi="Arial"/>
          <w:sz w:val="16"/>
          <w:szCs w:val="16"/>
          <w:u w:val="single" w:color="auto"/>
          <w:color w:val="auto"/>
        </w:rPr>
        <w:t>PAA</w:t>
      </w:r>
      <w:r>
        <w:rPr>
          <w:rFonts w:ascii="Arial" w:cs="Arial" w:eastAsia="Arial" w:hAnsi="Arial"/>
          <w:sz w:val="16"/>
          <w:szCs w:val="16"/>
          <w:color w:val="auto"/>
        </w:rPr>
        <w:t>”), as guarantor, each lender from time to time party hereto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and individually, a “</w:t>
      </w:r>
      <w:r>
        <w:rPr>
          <w:rFonts w:ascii="Arial" w:cs="Arial" w:eastAsia="Arial" w:hAnsi="Arial"/>
          <w:sz w:val="16"/>
          <w:szCs w:val="16"/>
          <w:u w:val="single" w:color="auto"/>
          <w:color w:val="auto"/>
        </w:rPr>
        <w:t>Lender</w:t>
      </w:r>
      <w:r>
        <w:rPr>
          <w:rFonts w:ascii="Arial" w:cs="Arial" w:eastAsia="Arial" w:hAnsi="Arial"/>
          <w:sz w:val="16"/>
          <w:szCs w:val="16"/>
          <w:color w:val="auto"/>
        </w:rPr>
        <w:t>”), and BANK OF AMERICA, N.A., as Administrative Agent, Swing Line Lender and L/C Issuer.</w:t>
      </w:r>
    </w:p>
    <w:p>
      <w:pPr>
        <w:spacing w:after="0" w:line="116"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The Company, the Administrative Agent and certain Lenders entered into that certain Second Restated Credit Agreement dated November 6, 2008 (as amended prior to the Closing Date (as hereinafter defined), the “</w:t>
      </w: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and, together with other Lenders a party hereto, amended and restated the Existing Credit Agreement as set forth herein, as executed and delivered as of August 19, 2011.</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has requested that the Lenders provide a revolving credit facility, and the Lenders are willing to do so on the terms and conditions set forth 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32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ARTICLE I. DEFINITIONS AND ACCOUNTING TERMS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1.01 Defined Terms. </w:t>
      </w:r>
      <w:r>
        <w:rPr>
          <w:rFonts w:ascii="Arial" w:cs="Arial" w:eastAsia="Arial" w:hAnsi="Arial"/>
          <w:sz w:val="18"/>
          <w:szCs w:val="18"/>
          <w:color w:val="auto"/>
        </w:rPr>
        <w:t>As used in this Agreement, the following terms shall have the meanings set forth below:</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Debtor</w:t>
      </w:r>
      <w:r>
        <w:rPr>
          <w:rFonts w:ascii="Arial" w:cs="Arial" w:eastAsia="Arial" w:hAnsi="Arial"/>
          <w:sz w:val="18"/>
          <w:szCs w:val="18"/>
          <w:color w:val="auto"/>
        </w:rPr>
        <w:t>” means any Person who is or who may become obligated under, with respect to, or on account of, a Receivable.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Commitment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2.14(d)</w:t>
      </w:r>
      <w:r>
        <w:rPr>
          <w:rFonts w:ascii="Arial" w:cs="Arial" w:eastAsia="Arial" w:hAnsi="Arial"/>
          <w:sz w:val="18"/>
          <w:szCs w:val="18"/>
          <w:color w:val="auto"/>
        </w:rPr>
        <w:t>.</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means Bank of America in its capacity as administrative agent under any of the Loan Documents, or any successor administrative agent appointed in accordance with </w:t>
      </w:r>
      <w:r>
        <w:rPr>
          <w:rFonts w:ascii="Arial" w:cs="Arial" w:eastAsia="Arial" w:hAnsi="Arial"/>
          <w:sz w:val="18"/>
          <w:szCs w:val="18"/>
          <w:u w:val="single" w:color="auto"/>
          <w:color w:val="auto"/>
        </w:rPr>
        <w:t>Section 9.06</w:t>
      </w:r>
      <w:r>
        <w:rPr>
          <w:rFonts w:ascii="Arial" w:cs="Arial" w:eastAsia="Arial" w:hAnsi="Arial"/>
          <w:sz w:val="18"/>
          <w:szCs w:val="18"/>
          <w:color w:val="auto"/>
        </w:rPr>
        <w:t>.</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with respect to any currency, the Administrative Agent’s address and, as appropriate, account as set forth on </w:t>
      </w:r>
      <w:r>
        <w:rPr>
          <w:rFonts w:ascii="Arial" w:cs="Arial" w:eastAsia="Arial" w:hAnsi="Arial"/>
          <w:sz w:val="18"/>
          <w:szCs w:val="18"/>
          <w:u w:val="single" w:color="auto"/>
          <w:color w:val="auto"/>
        </w:rPr>
        <w:t>Schedule 11.02</w:t>
      </w:r>
      <w:r>
        <w:rPr>
          <w:rFonts w:ascii="Arial" w:cs="Arial" w:eastAsia="Arial" w:hAnsi="Arial"/>
          <w:sz w:val="18"/>
          <w:szCs w:val="18"/>
          <w:color w:val="auto"/>
        </w:rPr>
        <w:t xml:space="preserve"> with respect to such currency, or such other address or account with respect to such currency as the Administrative Agent may from time to time notify to the Company and the Lenders pursuant to </w:t>
      </w:r>
      <w:r>
        <w:rPr>
          <w:rFonts w:ascii="Arial" w:cs="Arial" w:eastAsia="Arial" w:hAnsi="Arial"/>
          <w:sz w:val="18"/>
          <w:szCs w:val="18"/>
          <w:u w:val="single" w:color="auto"/>
          <w:color w:val="auto"/>
        </w:rPr>
        <w:t>Section 11.02</w:t>
      </w:r>
      <w:r>
        <w:rPr>
          <w:rFonts w:ascii="Arial" w:cs="Arial" w:eastAsia="Arial" w:hAnsi="Arial"/>
          <w:sz w:val="18"/>
          <w:szCs w:val="18"/>
          <w:color w:val="auto"/>
        </w:rPr>
        <w:t>.</w:t>
      </w:r>
    </w:p>
    <w:p>
      <w:pPr>
        <w:spacing w:after="0" w:line="14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means an Administrative Questionnaire in substantially the form of </w:t>
      </w:r>
      <w:r>
        <w:rPr>
          <w:rFonts w:ascii="Arial" w:cs="Arial" w:eastAsia="Arial" w:hAnsi="Arial"/>
          <w:sz w:val="18"/>
          <w:szCs w:val="18"/>
          <w:u w:val="single" w:color="auto"/>
          <w:color w:val="auto"/>
        </w:rPr>
        <w:t>Exhibit D-2</w:t>
      </w:r>
      <w:r>
        <w:rPr>
          <w:rFonts w:ascii="Arial" w:cs="Arial" w:eastAsia="Arial" w:hAnsi="Arial"/>
          <w:sz w:val="18"/>
          <w:szCs w:val="18"/>
          <w:color w:val="auto"/>
        </w:rPr>
        <w:t xml:space="preserve"> or any other form approved by the Administrative Agent.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4" w:right="279" w:bottom="1440" w:gutter="0" w:footer="0" w:header="0"/>
        </w:sectPr>
      </w:pPr>
    </w:p>
    <w:bookmarkStart w:id="43" w:name="page44"/>
    <w:bookmarkEnd w:id="4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Aggregate Commitments</w:t>
      </w:r>
      <w:r>
        <w:rPr>
          <w:rFonts w:ascii="Arial" w:cs="Arial" w:eastAsia="Arial" w:hAnsi="Arial"/>
          <w:sz w:val="16"/>
          <w:szCs w:val="16"/>
          <w:color w:val="auto"/>
        </w:rPr>
        <w:t>” means the Commitments of all the Lenders. The initial Aggregate Commitments as of the Closing Date are $1,400,000,000.</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Third Amended and Restated Credit Agreement, as amended by the First Amendment.</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xml:space="preserve">” means with respect to any Lender at any time, the percentage (carried out to the ninth decimal place) of the Aggregate Commitments represented by such Lender’s Commitment at such time, subject to adjustment as provided in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If the commitment of each Lender to make Loans and accept Canadian BA’s and the obligation of the L/C Issuer to make L/C Credit Extensions have been terminated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or if the Aggregate Commitments have expired, then the Applicable Percentage of each Lender shall be determined based on the Applicable Percentage of such Lender most recently in effect, giving effect to any subsequent assignments. The initial Applicable Percentage of each Lender is set forth opposite the name of such Lender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or in the Assignment and Assumption pursuant to which such Lender becomes a party hereto, as applicable.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from time to time, the following percentages per annum, based upon the PAA Debt Rating as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gridSpan w:val="2"/>
          </w:tcPr>
          <w:p>
            <w:pPr>
              <w:ind w:left="320"/>
              <w:spacing w:after="0"/>
              <w:rPr>
                <w:sz w:val="20"/>
                <w:szCs w:val="20"/>
                <w:color w:val="auto"/>
              </w:rPr>
            </w:pPr>
            <w:r>
              <w:rPr>
                <w:rFonts w:ascii="Arial" w:cs="Arial" w:eastAsia="Arial" w:hAnsi="Arial"/>
                <w:sz w:val="14"/>
                <w:szCs w:val="14"/>
                <w:b w:val="1"/>
                <w:bCs w:val="1"/>
                <w:color w:val="auto"/>
              </w:rPr>
              <w:t>Applicable Rate</w:t>
            </w:r>
          </w:p>
        </w:tc>
        <w:tc>
          <w:tcPr>
            <w:tcW w:w="22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Eurocurrency Rate Loans,</w:t>
            </w: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Base Rate Loans</w:t>
            </w:r>
          </w:p>
        </w:tc>
        <w:tc>
          <w:tcPr>
            <w:tcW w:w="0" w:type="dxa"/>
            <w:vAlign w:val="bottom"/>
          </w:tcPr>
          <w:p>
            <w:pPr>
              <w:spacing w:after="0"/>
              <w:rPr>
                <w:sz w:val="1"/>
                <w:szCs w:val="1"/>
                <w:color w:val="auto"/>
              </w:rPr>
            </w:pPr>
          </w:p>
        </w:tc>
      </w:tr>
      <w:tr>
        <w:trPr>
          <w:trHeight w:val="123"/>
        </w:trPr>
        <w:tc>
          <w:tcPr>
            <w:tcW w:w="2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60" w:type="dxa"/>
            <w:vAlign w:val="bottom"/>
            <w:gridSpan w:val="2"/>
            <w:vMerge w:val="continue"/>
          </w:tcPr>
          <w:p>
            <w:pPr>
              <w:spacing w:after="0"/>
              <w:rPr>
                <w:sz w:val="10"/>
                <w:szCs w:val="10"/>
                <w:color w:val="auto"/>
              </w:rPr>
            </w:pPr>
          </w:p>
        </w:tc>
        <w:tc>
          <w:tcPr>
            <w:tcW w:w="1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Pricing</w:t>
            </w:r>
          </w:p>
        </w:tc>
        <w:tc>
          <w:tcPr>
            <w:tcW w:w="2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PAA Debt Ratings</w:t>
            </w:r>
          </w:p>
        </w:tc>
        <w:tc>
          <w:tcPr>
            <w:tcW w:w="2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Commitment</w:t>
            </w:r>
          </w:p>
        </w:tc>
        <w:tc>
          <w:tcPr>
            <w:tcW w:w="2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Letters of Credit and</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and Canadian</w:t>
            </w:r>
          </w:p>
        </w:tc>
        <w:tc>
          <w:tcPr>
            <w:tcW w:w="0" w:type="dxa"/>
            <w:vAlign w:val="bottom"/>
          </w:tcPr>
          <w:p>
            <w:pPr>
              <w:spacing w:after="0"/>
              <w:rPr>
                <w:sz w:val="1"/>
                <w:szCs w:val="1"/>
                <w:color w:val="auto"/>
              </w:rPr>
            </w:pPr>
          </w:p>
        </w:tc>
      </w:tr>
      <w:tr>
        <w:trPr>
          <w:trHeight w:val="175"/>
        </w:trPr>
        <w:tc>
          <w:tcPr>
            <w:tcW w:w="2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Level</w:t>
            </w:r>
          </w:p>
        </w:tc>
        <w:tc>
          <w:tcPr>
            <w:tcW w:w="2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S&amp;P/Moody’s</w:t>
            </w: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Fee</w:t>
            </w:r>
          </w:p>
        </w:tc>
        <w:tc>
          <w:tcPr>
            <w:tcW w:w="2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Canadian BA’s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7"/>
              </w:rPr>
              <w:t>Prime Rate Loans</w:t>
            </w:r>
          </w:p>
        </w:tc>
        <w:tc>
          <w:tcPr>
            <w:tcW w:w="0" w:type="dxa"/>
            <w:vAlign w:val="bottom"/>
          </w:tcPr>
          <w:p>
            <w:pPr>
              <w:spacing w:after="0"/>
              <w:rPr>
                <w:sz w:val="1"/>
                <w:szCs w:val="1"/>
                <w:color w:val="auto"/>
              </w:rPr>
            </w:pPr>
          </w:p>
        </w:tc>
      </w:tr>
      <w:tr>
        <w:trPr>
          <w:trHeight w:val="201"/>
        </w:trPr>
        <w:tc>
          <w:tcPr>
            <w:tcW w:w="24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1</w:t>
            </w:r>
          </w:p>
        </w:tc>
        <w:tc>
          <w:tcPr>
            <w:tcW w:w="22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BBB+/Baa1</w:t>
            </w:r>
          </w:p>
        </w:tc>
        <w:tc>
          <w:tcPr>
            <w:tcW w:w="24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3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or higher</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0.125%</w:t>
            </w:r>
          </w:p>
        </w:tc>
        <w:tc>
          <w:tcPr>
            <w:tcW w:w="220" w:type="dxa"/>
            <w:vAlign w:val="bottom"/>
            <w:shd w:val="clear" w:color="auto" w:fill="CCEEFF"/>
          </w:tcPr>
          <w:p>
            <w:pPr>
              <w:spacing w:after="0"/>
              <w:rPr>
                <w:sz w:val="20"/>
                <w:szCs w:val="20"/>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200" w:type="dxa"/>
            <w:vAlign w:val="bottom"/>
            <w:shd w:val="clear" w:color="auto" w:fill="CCEEFF"/>
          </w:tcPr>
          <w:p>
            <w:pPr>
              <w:spacing w:after="0"/>
              <w:rPr>
                <w:sz w:val="20"/>
                <w:szCs w:val="20"/>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0.000%</w:t>
            </w:r>
          </w:p>
        </w:tc>
        <w:tc>
          <w:tcPr>
            <w:tcW w:w="0" w:type="dxa"/>
            <w:vAlign w:val="bottom"/>
          </w:tcPr>
          <w:p>
            <w:pPr>
              <w:spacing w:after="0"/>
              <w:rPr>
                <w:sz w:val="1"/>
                <w:szCs w:val="1"/>
                <w:color w:val="auto"/>
              </w:rPr>
            </w:pPr>
          </w:p>
        </w:tc>
      </w:tr>
      <w:tr>
        <w:trPr>
          <w:trHeight w:val="216"/>
        </w:trPr>
        <w:tc>
          <w:tcPr>
            <w:tcW w:w="24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18"/>
                <w:szCs w:val="18"/>
                <w:color w:val="auto"/>
              </w:rPr>
            </w:pPr>
          </w:p>
        </w:tc>
        <w:tc>
          <w:tcPr>
            <w:tcW w:w="23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BBB/Baa2</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0.150%</w:t>
            </w:r>
          </w:p>
        </w:tc>
        <w:tc>
          <w:tcPr>
            <w:tcW w:w="2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1.125%</w:t>
            </w:r>
          </w:p>
        </w:tc>
        <w:tc>
          <w:tcPr>
            <w:tcW w:w="2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0.125%</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2"/>
              </w:rPr>
              <w:t>BBB-/Baa3</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0.175%</w:t>
            </w: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1.250%</w:t>
            </w: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0.250%</w:t>
            </w:r>
          </w:p>
        </w:tc>
        <w:tc>
          <w:tcPr>
            <w:tcW w:w="0" w:type="dxa"/>
            <w:vAlign w:val="bottom"/>
          </w:tcPr>
          <w:p>
            <w:pPr>
              <w:spacing w:after="0"/>
              <w:rPr>
                <w:sz w:val="1"/>
                <w:szCs w:val="1"/>
                <w:color w:val="auto"/>
              </w:rPr>
            </w:pPr>
          </w:p>
        </w:tc>
      </w:tr>
      <w:tr>
        <w:trPr>
          <w:trHeight w:val="216"/>
        </w:trPr>
        <w:tc>
          <w:tcPr>
            <w:tcW w:w="24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18"/>
                <w:szCs w:val="18"/>
                <w:color w:val="auto"/>
              </w:rPr>
            </w:pPr>
          </w:p>
        </w:tc>
        <w:tc>
          <w:tcPr>
            <w:tcW w:w="23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BB+/Ba1</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0.200%</w:t>
            </w:r>
          </w:p>
        </w:tc>
        <w:tc>
          <w:tcPr>
            <w:tcW w:w="2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1.500%</w:t>
            </w:r>
          </w:p>
        </w:tc>
        <w:tc>
          <w:tcPr>
            <w:tcW w:w="2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0.500%</w:t>
            </w:r>
          </w:p>
        </w:tc>
        <w:tc>
          <w:tcPr>
            <w:tcW w:w="0" w:type="dxa"/>
            <w:vAlign w:val="bottom"/>
          </w:tcPr>
          <w:p>
            <w:pPr>
              <w:spacing w:after="0"/>
              <w:rPr>
                <w:sz w:val="1"/>
                <w:szCs w:val="1"/>
                <w:color w:val="auto"/>
              </w:rPr>
            </w:pPr>
          </w:p>
        </w:tc>
      </w:tr>
      <w:tr>
        <w:trPr>
          <w:trHeight w:val="208"/>
        </w:trPr>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BB/Ba2</w:t>
            </w: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3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or lower</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0.250%</w:t>
            </w:r>
          </w:p>
        </w:tc>
        <w:tc>
          <w:tcPr>
            <w:tcW w:w="220" w:type="dxa"/>
            <w:vAlign w:val="bottom"/>
            <w:shd w:val="clear" w:color="auto" w:fill="CCEEFF"/>
          </w:tcPr>
          <w:p>
            <w:pPr>
              <w:spacing w:after="0"/>
              <w:rPr>
                <w:sz w:val="20"/>
                <w:szCs w:val="20"/>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1.625%</w:t>
            </w:r>
          </w:p>
        </w:tc>
        <w:tc>
          <w:tcPr>
            <w:tcW w:w="200" w:type="dxa"/>
            <w:vAlign w:val="bottom"/>
            <w:shd w:val="clear" w:color="auto" w:fill="CCEEFF"/>
          </w:tcPr>
          <w:p>
            <w:pPr>
              <w:spacing w:after="0"/>
              <w:rPr>
                <w:sz w:val="20"/>
                <w:szCs w:val="20"/>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0.625%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PAA Debt Rating</w:t>
      </w:r>
      <w:r>
        <w:rPr>
          <w:rFonts w:ascii="Arial" w:cs="Arial" w:eastAsia="Arial" w:hAnsi="Arial"/>
          <w:sz w:val="16"/>
          <w:szCs w:val="16"/>
          <w:color w:val="auto"/>
        </w:rPr>
        <w:t>” means, as of any date of determination, the rating as determined by either S&amp;P or Moody’s (collectively, the “</w:t>
      </w:r>
      <w:r>
        <w:rPr>
          <w:rFonts w:ascii="Arial" w:cs="Arial" w:eastAsia="Arial" w:hAnsi="Arial"/>
          <w:sz w:val="16"/>
          <w:szCs w:val="16"/>
          <w:u w:val="single" w:color="auto"/>
          <w:color w:val="auto"/>
        </w:rPr>
        <w:t>PAA Debt Ratings</w:t>
      </w:r>
      <w:r>
        <w:rPr>
          <w:rFonts w:ascii="Arial" w:cs="Arial" w:eastAsia="Arial" w:hAnsi="Arial"/>
          <w:sz w:val="16"/>
          <w:szCs w:val="16"/>
          <w:color w:val="auto"/>
        </w:rPr>
        <w:t xml:space="preserve">”) of PAA’s non-credit-enhanced, senior unsecured long-term 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the respective PAA Debt Ratings issued by the foregoing rating agencies differ by one Pricing Level, then the Pricing Level for the higher of such PAA Debt Ratings shall apply (with the PAA Debt Rating for Pricing Level 1 being the highest and the PAA Debt Rating for Pricing Level 5 being the lowest); (b) if the respective PAA Debt Ratings issued by the foregoing rating agencies differ by more than one Pricing Level, then the Pricing Level that is one Pricing Level lower than the Pricing Level of the higher PAA Debt Rating shall apply; (c) if PAA has only one PAA Debt Rating, the Pricing Level equal to that of such PAA Debt Rating shall apply; and (d) if PAA does not have any PAA Debt Rating, then the Administrative Agent and the Company shall negotiate in good faith to amend the definition of Applicable Rate to reflect such change in circumstances, and until such time as the Administrative Agent and the Company shall reach agreement with respect thereto, Pricing Level 5 shall apply.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44" w:name="page45"/>
    <w:bookmarkEnd w:id="44"/>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Initially, the Applicable Rate shall be determined based upon the PAA Debt Rating specified in the certificate delivered pursuant to </w:t>
      </w:r>
      <w:r>
        <w:rPr>
          <w:rFonts w:ascii="Arial" w:cs="Arial" w:eastAsia="Arial" w:hAnsi="Arial"/>
          <w:sz w:val="16"/>
          <w:szCs w:val="16"/>
          <w:u w:val="single" w:color="auto"/>
          <w:color w:val="auto"/>
        </w:rPr>
        <w:t>Section 4.01(a)(viii)</w:t>
      </w:r>
      <w:r>
        <w:rPr>
          <w:rFonts w:ascii="Arial" w:cs="Arial" w:eastAsia="Arial" w:hAnsi="Arial"/>
          <w:sz w:val="16"/>
          <w:szCs w:val="16"/>
          <w:color w:val="auto"/>
        </w:rPr>
        <w:t>. Thereafter, each change in the Applicable Rate resulting from a publicly announced change in the PAA Debt Rating shall be effective, in the case of an upgrade, during the period commencing on the date of delivery by the Company to the Administrative Agent of notice thereof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w:t>
      </w:r>
    </w:p>
    <w:p>
      <w:pPr>
        <w:spacing w:after="0" w:line="1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Time</w:t>
      </w:r>
      <w:r>
        <w:rPr>
          <w:rFonts w:ascii="Arial" w:cs="Arial" w:eastAsia="Arial" w:hAnsi="Arial"/>
          <w:sz w:val="16"/>
          <w:szCs w:val="16"/>
          <w:color w:val="auto"/>
        </w:rPr>
        <w:t xml:space="preserve">” means, with respect to any borrowings and payments in Canadian Dollars, the local time in the place of settlement for Canadian Dollars as may be determined by the Administrative Agent or the L/C Issuer, as the case may be, to be necessary for timely settlement on the relevant date in accordance with normal banking procedures in the place of payment; </w:t>
      </w:r>
      <w:r>
        <w:rPr>
          <w:rFonts w:ascii="Arial" w:cs="Arial" w:eastAsia="Arial" w:hAnsi="Arial"/>
          <w:sz w:val="16"/>
          <w:szCs w:val="16"/>
          <w:u w:val="single" w:color="auto"/>
          <w:color w:val="auto"/>
        </w:rPr>
        <w:t>provided</w:t>
      </w:r>
      <w:r>
        <w:rPr>
          <w:rFonts w:ascii="Arial" w:cs="Arial" w:eastAsia="Arial" w:hAnsi="Arial"/>
          <w:sz w:val="16"/>
          <w:szCs w:val="16"/>
          <w:color w:val="auto"/>
        </w:rPr>
        <w:t>, that such local time shall be no earlier than 12:00 noon, Eastern time.</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solely administered or managed by (a) a Lender, (b) an Affiliate of a Lender or (c) an entity or an Affiliate of an entity that administers or manages a Lender.</w:t>
      </w:r>
    </w:p>
    <w:p>
      <w:pPr>
        <w:spacing w:after="0" w:line="132"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Location</w:t>
      </w:r>
      <w:r>
        <w:rPr>
          <w:rFonts w:ascii="Arial" w:cs="Arial" w:eastAsia="Arial" w:hAnsi="Arial"/>
          <w:sz w:val="16"/>
          <w:szCs w:val="16"/>
          <w:color w:val="auto"/>
        </w:rPr>
        <w:t>” means (i) a Plains Terminal or (ii) any storage terminal, tankage, facility or other locations or pipelines over which, through ownership, contract or otherwise, PAA or any of its Affiliates has control with respect to all Collateral stored or located there.</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w:t>
      </w:r>
      <w:r>
        <w:rPr>
          <w:rFonts w:ascii="Arial" w:cs="Arial" w:eastAsia="Arial" w:hAnsi="Arial"/>
          <w:sz w:val="18"/>
          <w:szCs w:val="18"/>
          <w:color w:val="auto"/>
        </w:rPr>
        <w:t>” means each Person from time to time and at each relevant time acting in the capacity as an arranger, co-arranger, joint-arranger or similar arranger capacity in connection with this Agreement, and in connection with the First Amendment, each of Merrill Lynch, Société Générale and Citigroup Global Markets Inc. is acting in the capacity as a joint lead arranger.</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 Group</w:t>
      </w:r>
      <w:r>
        <w:rPr>
          <w:rFonts w:ascii="Arial" w:cs="Arial" w:eastAsia="Arial" w:hAnsi="Arial"/>
          <w:sz w:val="18"/>
          <w:szCs w:val="18"/>
          <w:color w:val="auto"/>
        </w:rPr>
        <w:t>” means two or more Eligible Assignees that are Affiliates of one another or two or more Approved Funds solely managed by the same investment advisor.</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party whose consent is required by </w:t>
      </w:r>
      <w:r>
        <w:rPr>
          <w:rFonts w:ascii="Arial" w:cs="Arial" w:eastAsia="Arial" w:hAnsi="Arial"/>
          <w:sz w:val="18"/>
          <w:szCs w:val="18"/>
          <w:u w:val="single" w:color="auto"/>
          <w:color w:val="auto"/>
        </w:rPr>
        <w:t>Section 11.06(b)</w:t>
      </w:r>
      <w:r>
        <w:rPr>
          <w:rFonts w:ascii="Arial" w:cs="Arial" w:eastAsia="Arial" w:hAnsi="Arial"/>
          <w:sz w:val="18"/>
          <w:szCs w:val="18"/>
          <w:color w:val="auto"/>
        </w:rPr>
        <w:t xml:space="preserve">), and accepted by the Administrative Agent, in substantially the form of </w:t>
      </w:r>
      <w:r>
        <w:rPr>
          <w:rFonts w:ascii="Arial" w:cs="Arial" w:eastAsia="Arial" w:hAnsi="Arial"/>
          <w:sz w:val="18"/>
          <w:szCs w:val="18"/>
          <w:u w:val="single" w:color="auto"/>
          <w:color w:val="auto"/>
        </w:rPr>
        <w:t>Exhibit D-1</w:t>
      </w:r>
      <w:r>
        <w:rPr>
          <w:rFonts w:ascii="Arial" w:cs="Arial" w:eastAsia="Arial" w:hAnsi="Arial"/>
          <w:sz w:val="18"/>
          <w:szCs w:val="18"/>
          <w:color w:val="auto"/>
        </w:rPr>
        <w:t xml:space="preserve"> or any other form approved by the Administrative Agent.</w:t>
      </w:r>
    </w:p>
    <w:p>
      <w:pPr>
        <w:spacing w:after="0" w:line="140"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45" w:name="page46"/>
    <w:bookmarkEnd w:id="45"/>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PAA and its Subsidiaries for the fiscal year ended December 31, 2010, and the related consolidated statements of income or operations and cash flows for such fiscal year and partners’ capital of PAA and its Subsidiaries, including the notes thereto.</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xml:space="preserve">” means the period from and including the Closing Date to the earliest of (a) the Maturity Date, (b) the date of termination of the Aggregate Commitments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(c) the date of termination of the commitment of each Lender to make Loans and of the obligation of the L/C Issuer to make L/C Credit Extensions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and Insolvency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Bankruptcy and Insolvency Act</w:t>
      </w:r>
      <w:r>
        <w:rPr>
          <w:rFonts w:ascii="Arial" w:cs="Arial" w:eastAsia="Arial" w:hAnsi="Arial"/>
          <w:sz w:val="18"/>
          <w:szCs w:val="18"/>
          <w:color w:val="auto"/>
        </w:rPr>
        <w:t>, R.S.C. 1985, c. B-3, as amended, including the regulations made and, from time to time, in force under that Act.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means for any day a fluctuating rate per annum equal to the highest of (a) the Federal Funds Rate in effect on such day plus 1/2 of 1%, (b) the rate of interest in effect for such day as publicly announced from time to time by Bank of America as its “prime rate,” (or, as to Base Rate Loans to PMCULC, the rate of interest publicly announced from time to time by Bank of America, Canada Branch as its reference rate of interest for commercial loans in U.S. Dollars to Canadian customers and designated as its “prime rate”) and (c) the Eurocurrency Rate in effect on such day as determined pursuant to clause (b) of the definition thereof plus 1.00%. The “prime rate” is a rate set by Bank of America (or Bank of America, Canada Branch, as applicable) based upon various factors including Bank of America’s (or Bank of America, Canada Branch’s, as applicable) costs and desired return, general economic conditions and other factors, and is used as a reference point for pricing some loans, which may be priced at, above, or below such announced rate. Any change in such prime rate announced by Bank of America (or Bank of America, Canada Branch, as applicable) shall take effect at the opening of business on the day specified in the public announcement of such change.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Committed Loan</w:t>
      </w:r>
      <w:r>
        <w:rPr>
          <w:rFonts w:ascii="Arial" w:cs="Arial" w:eastAsia="Arial" w:hAnsi="Arial"/>
          <w:sz w:val="18"/>
          <w:szCs w:val="18"/>
          <w:color w:val="auto"/>
        </w:rPr>
        <w:t>” means a Committed Loan that is a Base Rate Loan.</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(i) a Committed Loan that bears interest based on the Base Rate or (ii) a Swing Line Loan that bears interest based on the Base Rate. All Base Rate Loans shall be denominated in Dollars.</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Bookrunner</w:t>
      </w:r>
      <w:r>
        <w:rPr>
          <w:rFonts w:ascii="Arial" w:cs="Arial" w:eastAsia="Arial" w:hAnsi="Arial"/>
          <w:sz w:val="16"/>
          <w:szCs w:val="16"/>
          <w:color w:val="auto"/>
        </w:rPr>
        <w:t>” means each Person from time to time and at each relevant time acting in the capacity as a bookrunner, book manager, co-bookrunner, co-book manager, joint-bookrunner, joint book manager or similar bookrunner or book manager capacity in connection with this Agreement, and in connection with the First Amendment, each of Merrill Lynch, Société Générale and Citigroup Global Markets Inc. is acting in the capacity as a joint book manager.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and “</w:t>
      </w:r>
      <w:r>
        <w:rPr>
          <w:rFonts w:ascii="Arial" w:cs="Arial" w:eastAsia="Arial" w:hAnsi="Arial"/>
          <w:sz w:val="18"/>
          <w:szCs w:val="18"/>
          <w:u w:val="single" w:color="auto"/>
          <w:color w:val="auto"/>
        </w:rPr>
        <w:t>Borrowers</w:t>
      </w:r>
      <w:r>
        <w:rPr>
          <w:rFonts w:ascii="Arial" w:cs="Arial" w:eastAsia="Arial" w:hAnsi="Arial"/>
          <w:sz w:val="18"/>
          <w:szCs w:val="18"/>
          <w:color w:val="auto"/>
        </w:rPr>
        <w:t>” each has the meaning specified in the introductory paragraph hereto.</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46" w:name="page47"/>
    <w:bookmarkEnd w:id="4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Committed Borrowing or a Swing Line Borrowing, as the context may require.</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 Liens</w:t>
      </w:r>
      <w:r>
        <w:rPr>
          <w:rFonts w:ascii="Arial" w:cs="Arial" w:eastAsia="Arial" w:hAnsi="Arial"/>
          <w:sz w:val="18"/>
          <w:szCs w:val="18"/>
          <w:color w:val="auto"/>
        </w:rPr>
        <w:t>” means any Liens under or with respect to accounts with brokers or counterparties with respect to Swap Contracts in favor of such brokers or counterparties, securing only obligations under such Swap Contracts.</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and</w:t>
      </w:r>
    </w:p>
    <w:p>
      <w:pPr>
        <w:spacing w:after="0" w:line="85" w:lineRule="exact"/>
        <w:rPr>
          <w:sz w:val="20"/>
          <w:szCs w:val="20"/>
          <w:color w:val="auto"/>
        </w:rPr>
      </w:pPr>
    </w:p>
    <w:p>
      <w:pPr>
        <w:jc w:val="both"/>
        <w:ind w:right="280" w:firstLine="464"/>
        <w:spacing w:after="0" w:line="256"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such day on which dealings in deposits in Dollars are conducted by and between banks in the London interbank Eurocurrency market;</w:t>
      </w:r>
    </w:p>
    <w:p>
      <w:pPr>
        <w:spacing w:after="0" w:line="143" w:lineRule="exact"/>
        <w:rPr>
          <w:rFonts w:ascii="Arial" w:cs="Arial" w:eastAsia="Arial" w:hAnsi="Arial"/>
          <w:sz w:val="18"/>
          <w:szCs w:val="18"/>
          <w:color w:val="auto"/>
        </w:rPr>
      </w:pPr>
    </w:p>
    <w:p>
      <w:pPr>
        <w:ind w:firstLine="464"/>
        <w:spacing w:after="0" w:line="370" w:lineRule="auto"/>
        <w:tabs>
          <w:tab w:leader="none" w:pos="705" w:val="left"/>
        </w:tabs>
        <w:numPr>
          <w:ilvl w:val="0"/>
          <w:numId w:val="16"/>
        </w:numPr>
        <w:rPr>
          <w:rFonts w:ascii="Arial" w:cs="Arial" w:eastAsia="Arial" w:hAnsi="Arial"/>
          <w:sz w:val="15"/>
          <w:szCs w:val="15"/>
          <w:color w:val="auto"/>
        </w:rPr>
      </w:pPr>
      <w:r>
        <w:rPr>
          <w:rFonts w:ascii="Arial" w:cs="Arial" w:eastAsia="Arial" w:hAnsi="Arial"/>
          <w:sz w:val="15"/>
          <w:szCs w:val="15"/>
          <w:color w:val="auto"/>
        </w:rPr>
        <w:t>if such day relates to any interest rate settings as to a Eurocurrency Rate Loan denominated in Canadian Dollars, means any such day on which dealings in deposits in Canadian Dollars are conducted by and between banks in the London or other applicable offshore interbank market for Canadian Dollars; and</w:t>
      </w:r>
    </w:p>
    <w:p>
      <w:pPr>
        <w:spacing w:after="0" w:line="62" w:lineRule="exact"/>
        <w:rPr>
          <w:rFonts w:ascii="Arial" w:cs="Arial" w:eastAsia="Arial" w:hAnsi="Arial"/>
          <w:sz w:val="15"/>
          <w:szCs w:val="15"/>
          <w:color w:val="auto"/>
        </w:rPr>
      </w:pPr>
    </w:p>
    <w:p>
      <w:pPr>
        <w:ind w:right="20" w:firstLine="464"/>
        <w:spacing w:after="0" w:line="256"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such day relates to any fundings, disbursements, settlements and payments in Canadian Dollars in respect of a Eurocurrency Rate Loan denominated in Canadian Dollars, or any other dealings in Canadian Dollars to be carried out pursuant to this Agreement in respect of any such Eurocurrency Rate Loan (other than any interest rate settings), or any other dealings in Canadian Dollars to be carried out pursuant to this Agreement, including Canadian BA’s, means any such day on which banks are open for foreign exchange business in Toronto, Canada.</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 Discount Proceeds</w:t>
      </w:r>
      <w:r>
        <w:rPr>
          <w:rFonts w:ascii="Arial" w:cs="Arial" w:eastAsia="Arial" w:hAnsi="Arial"/>
          <w:sz w:val="18"/>
          <w:szCs w:val="18"/>
          <w:color w:val="auto"/>
        </w:rPr>
        <w:t>” means, in respect of any Canadian Banker’s Acceptance, an amount (rounded to the nearest full cent, with one half of one cent being rounded up) calculated on the applicable funding date equal to the face amount of such Canadian Banker’s Acceptance multiplied by the price, where the price is calculated by dividing one by the sum of one plus the product of (a) the Canadian BA Discount Rate applicable thereto expressed as a decimal fraction multiplied by (b) a fraction, the numerator of which is the term of such Canadian Banker’s Acceptance and the denominator of which is 365, rounded to the nearest multiple of 0.001%.</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BA Discount Rate</w:t>
      </w:r>
      <w:r>
        <w:rPr>
          <w:rFonts w:ascii="Arial" w:cs="Arial" w:eastAsia="Arial" w:hAnsi="Arial"/>
          <w:sz w:val="16"/>
          <w:szCs w:val="16"/>
          <w:color w:val="auto"/>
        </w:rPr>
        <w:t>” means, on the funding date for any Canadian BA, (a) for any Lender named on Schedule I to the Bank Act (Canada), the CDOR on the applicable funding date; or, if such rate is not available, the average of the rates advised by the Canadian Schedule I Reference Lenders to the Administrative Agent, determined in accordance with normal market practices, as being the discount rate of such Canadian Schedule I Reference Lenders on such funding date for Canadian bankers’ acceptances having a comparable face amount and maturity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47" w:name="page48"/>
    <w:bookmarkEnd w:id="47"/>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and (b) for any other Lender, the lesser of (i) the average of the rates advised by the Canadian Non-Schedule I Reference Lenders to the Administrative Agent, determined in accordance with normal market practices, as being the discount rate of such Canadian Non-Schedule I Reference Lenders on such funding date for banker’s acceptances of such Canadian Non-Schedule I Reference Lenders having a comparable face amount and maturity date, and (ii) the CDOR on the applicable funding date plus 0.10% per annum.</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 Equivalent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4(d)</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2.01A</w:t>
      </w:r>
      <w:r>
        <w:rPr>
          <w:rFonts w:ascii="Arial" w:cs="Arial" w:eastAsia="Arial" w:hAnsi="Arial"/>
          <w:sz w:val="18"/>
          <w:szCs w:val="18"/>
          <w:color w:val="auto"/>
        </w:rPr>
        <w:t>.</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 Fee</w:t>
      </w:r>
      <w:r>
        <w:rPr>
          <w:rFonts w:ascii="Arial" w:cs="Arial" w:eastAsia="Arial" w:hAnsi="Arial"/>
          <w:sz w:val="18"/>
          <w:szCs w:val="18"/>
          <w:color w:val="auto"/>
        </w:rPr>
        <w:t>” means, with respect to any Canadian BA, the amount calculated by multiplying the face amount of such Canadian BA by the then Applicable Rate applicable to Canadian BA’s, and then multiplying the result by a fraction, the numerator of which is the duration of its term on the basis of the actual number of days to elapse from the date of acceptance of such Canadian BA by the accepting Lender to the maturity date of such Canadian BA and the denominator of which is the number of days in the calendar year in question.</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Bankers’ Acceptance</w:t>
      </w:r>
      <w:r>
        <w:rPr>
          <w:rFonts w:ascii="Arial" w:cs="Arial" w:eastAsia="Arial" w:hAnsi="Arial"/>
          <w:sz w:val="18"/>
          <w:szCs w:val="18"/>
          <w:color w:val="auto"/>
        </w:rPr>
        <w:t>” or “</w:t>
      </w:r>
      <w:r>
        <w:rPr>
          <w:rFonts w:ascii="Arial" w:cs="Arial" w:eastAsia="Arial" w:hAnsi="Arial"/>
          <w:sz w:val="18"/>
          <w:szCs w:val="18"/>
          <w:u w:val="single" w:color="auto"/>
          <w:color w:val="auto"/>
        </w:rPr>
        <w:t>Canadian BA</w:t>
      </w:r>
      <w:r>
        <w:rPr>
          <w:rFonts w:ascii="Arial" w:cs="Arial" w:eastAsia="Arial" w:hAnsi="Arial"/>
          <w:sz w:val="18"/>
          <w:szCs w:val="18"/>
          <w:color w:val="auto"/>
        </w:rPr>
        <w:t>” means a non-interest bearing bill of exchange on the Administrative Agent’s usual form (or a bill of exchange within the meaning of the Bills of Exchange Act Canada), R.S.C. 1985, c. B-5, as amended, or a depository bill within the meaning of the Depository Bills and Notes Act (Canada), denominated in Canadian Dollars, drawn by or on behalf of PMCULC, for a term selected by PMCULC of either one, two, three or six months (as reduced or extended by the Administrative Agent, acting reasonably, to allow the maturity thereof to fall on a Business Day) payable in Canada, and accepted by a Lender in accordance with this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and “</w:t>
      </w:r>
      <w:r>
        <w:rPr>
          <w:rFonts w:ascii="Arial" w:cs="Arial" w:eastAsia="Arial" w:hAnsi="Arial"/>
          <w:sz w:val="18"/>
          <w:szCs w:val="18"/>
          <w:u w:val="single" w:color="auto"/>
          <w:color w:val="auto"/>
        </w:rPr>
        <w:t>C$</w:t>
      </w:r>
      <w:r>
        <w:rPr>
          <w:rFonts w:ascii="Arial" w:cs="Arial" w:eastAsia="Arial" w:hAnsi="Arial"/>
          <w:sz w:val="18"/>
          <w:szCs w:val="18"/>
          <w:color w:val="auto"/>
        </w:rPr>
        <w:t>” means the lawful currency of Canada.</w:t>
      </w:r>
    </w:p>
    <w:p>
      <w:pPr>
        <w:spacing w:after="0" w:line="171"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Dollar Equivalent</w:t>
      </w:r>
      <w:r>
        <w:rPr>
          <w:rFonts w:ascii="Arial" w:cs="Arial" w:eastAsia="Arial" w:hAnsi="Arial"/>
          <w:sz w:val="16"/>
          <w:szCs w:val="16"/>
          <w:color w:val="auto"/>
        </w:rPr>
        <w:t>” means, at any time, with respect to any amount denominated in Dollars, the equivalent amount thereof in Canadian Dollars as reasonably determined by the Administrative Agent or the L/C Issuer, as the case may be, in each case, in accordance with normal banking industry practice using the Spot Rate (determined in respect of the most recent Revaluation Date) for the purchase of Canadian Dollars with Dollars.</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Non-Schedule I Reference Lender</w:t>
      </w:r>
      <w:r>
        <w:rPr>
          <w:rFonts w:ascii="Arial" w:cs="Arial" w:eastAsia="Arial" w:hAnsi="Arial"/>
          <w:sz w:val="18"/>
          <w:szCs w:val="18"/>
          <w:color w:val="auto"/>
        </w:rPr>
        <w:t>” means each of Bank of America, N.A., Canada Branch, JPMorgan Chase Bank, N.A. (Toronto Branch) and Wells Fargo Capital Finance Corporation (Canada) (or such other or additional Lenders as may be designated by the Administrative Agent and reasonably acceptable to the Company).</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Prime Rate</w:t>
      </w:r>
      <w:r>
        <w:rPr>
          <w:rFonts w:ascii="Arial" w:cs="Arial" w:eastAsia="Arial" w:hAnsi="Arial"/>
          <w:sz w:val="16"/>
          <w:szCs w:val="16"/>
          <w:color w:val="auto"/>
        </w:rPr>
        <w:t>” means, on any day, the greater of (a) the floating annual rate of interest established from time to time by the Administrative Agent in its sole discretion as the reference rate for determining interest rates that it will charge to customers of varying degrees of credit worthiness on commercial loans made in Canada in the lawful currency of Canada and designated as its prime rate and (b) the CDOR for one month Canadian BA’s that appears on the Reuters Screen CDOR Page at 10:00 a.m. Toronto time on that day, plus 0.50% per annum.</w:t>
      </w:r>
    </w:p>
    <w:p>
      <w:pPr>
        <w:spacing w:after="0" w:line="113" w:lineRule="exact"/>
        <w:rPr>
          <w:sz w:val="20"/>
          <w:szCs w:val="20"/>
          <w:color w:val="auto"/>
        </w:rPr>
      </w:pPr>
    </w:p>
    <w:p>
      <w:pPr>
        <w:jc w:val="center"/>
        <w:ind w:left="500" w:right="200"/>
        <w:spacing w:after="0" w:line="44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Prime Rate Committed Loan</w:t>
      </w:r>
      <w:r>
        <w:rPr>
          <w:rFonts w:ascii="Arial" w:cs="Arial" w:eastAsia="Arial" w:hAnsi="Arial"/>
          <w:sz w:val="18"/>
          <w:szCs w:val="18"/>
          <w:color w:val="auto"/>
        </w:rPr>
        <w:t>” means any Committed Loan which bears interest at a rate determined by reference to the Canadian Prime Rate. 6</w:t>
      </w:r>
    </w:p>
    <w:p>
      <w:pPr>
        <w:sectPr>
          <w:pgSz w:w="11900" w:h="16838" w:orient="portrait"/>
          <w:cols w:equalWidth="0" w:num="1">
            <w:col w:w="11400"/>
          </w:cols>
          <w:pgMar w:left="240" w:top="280" w:right="259" w:bottom="1440" w:gutter="0" w:footer="0" w:header="0"/>
        </w:sectPr>
      </w:pPr>
    </w:p>
    <w:bookmarkStart w:id="48" w:name="page49"/>
    <w:bookmarkEnd w:id="48"/>
    <w:p>
      <w:pPr>
        <w:ind w:right="6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Canadian Prime Rate Loan</w:t>
      </w:r>
      <w:r>
        <w:rPr>
          <w:rFonts w:ascii="Arial" w:cs="Arial" w:eastAsia="Arial" w:hAnsi="Arial"/>
          <w:sz w:val="18"/>
          <w:szCs w:val="18"/>
          <w:color w:val="auto"/>
        </w:rPr>
        <w:t>” means (i) a Canadian Prime Rate Committed Loan or (ii) a Swing Line Loan that bears interest at a rate based on the Canadian Prime Rate.</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Schedule I Reference Lenders</w:t>
      </w:r>
      <w:r>
        <w:rPr>
          <w:rFonts w:ascii="Arial" w:cs="Arial" w:eastAsia="Arial" w:hAnsi="Arial"/>
          <w:sz w:val="18"/>
          <w:szCs w:val="18"/>
          <w:color w:val="auto"/>
        </w:rPr>
        <w:t>” means The Bank of Nova Scotia, Bank of Montreal and Royal Bank of Canada (or such other or additional Lenders as may be designated by the Administrative Agent and reasonably acceptable to the Company).</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means a lease with respect to which the lessee is required concurrently to recognize the acquisition of an asset and the incurrence of a liability in accordance with GAAP, other than any Operating Lease.</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and Carry Purchases</w:t>
      </w:r>
      <w:r>
        <w:rPr>
          <w:rFonts w:ascii="Arial" w:cs="Arial" w:eastAsia="Arial" w:hAnsi="Arial"/>
          <w:sz w:val="18"/>
          <w:szCs w:val="18"/>
          <w:color w:val="auto"/>
        </w:rPr>
        <w:t>” means purchases of Petroleum Products for physical storage at an Approved Location which qualify as Hedged Eligible Inventory or in transit in pipelines which has been hedged by either a NYMEX contract, an OTC contract, an Intercontinental Exchange contract, or a contract for physical delivery.</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(i) with respect to Canadian BA’s, has the meaning specified in Section 5(b) of Schedule 2.01A and (ii) otherwise means to pledge and deposit with or deliver to the Administrative Agent, for the benefit of the L/C Issuer or Swing Line Lender (as applicable) and the Lenders, as collateral for L/C Obligations, payment Obligations in respect of Swing Line Loans, or obligations of Lenders to fund participations in respect of either thereof (as the context may require), cash or deposit account balances or, if the L/C Issuer or Swing Line Lender benefitting from such collateral shall agree in its sole discretion, other credit support, in each case pursuant to documentation in form and substance reasonably satisfactory to (a) the Administrative Agent and (b) the L/C Issuer or the Swing Line Lender (as applicable). “Cash Collateral” shall have a meaning correlative to the foregoing and shall include the proceeds of such cash collateral and other credit support.</w:t>
      </w:r>
    </w:p>
    <w:p>
      <w:pPr>
        <w:spacing w:after="0" w:line="14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CDOR</w:t>
      </w:r>
      <w:r>
        <w:rPr>
          <w:rFonts w:ascii="Arial" w:cs="Arial" w:eastAsia="Arial" w:hAnsi="Arial"/>
          <w:sz w:val="16"/>
          <w:szCs w:val="16"/>
          <w:color w:val="auto"/>
        </w:rPr>
        <w:t xml:space="preserve">” means for any day, and relative to Canadian BA’s having any specified term and face amount, the discount rate per annum, calculated on the basis of a year of 365 days equal to (i) the average rate per annum (as determined by the Administrative Agent) for Canadian Dollar bankers’ acceptances having the specified term and face amount (or a term and face amount as closely as possible comparable to such specified term and face amount of the Canadian BA) that appear on the Reuters Screen CDOR page “Canadian Interbank Bid BA Fee Rates” (or such other page as the Administrative Agent shall nominate which replaces that page for the purpose of displaying rates quoted for such Canadian BA’s) at 10:00 a.m. (Toronto time) on the first day of such term, as reported by the Administrative Agent or (ii) if such rate does not appear on such CDOR page at 10:00 a.m. (Toronto time) on any such day, then CDOR will be determined by the Administrative Agent as being the arithmetic average of the annual discount rates of interest (rounded upward to the nearest whole multiple of 1/100 of 1%) as of 10:00 a.m. (Toronto time) on the date at which the Lenders named on Schedule I to the </w:t>
      </w:r>
      <w:r>
        <w:rPr>
          <w:rFonts w:ascii="Arial" w:cs="Arial" w:eastAsia="Arial" w:hAnsi="Arial"/>
          <w:sz w:val="16"/>
          <w:szCs w:val="16"/>
          <w:i w:val="1"/>
          <w:iCs w:val="1"/>
          <w:color w:val="auto"/>
        </w:rPr>
        <w:t>Bank Act</w:t>
      </w:r>
      <w:r>
        <w:rPr>
          <w:rFonts w:ascii="Arial" w:cs="Arial" w:eastAsia="Arial" w:hAnsi="Arial"/>
          <w:sz w:val="16"/>
          <w:szCs w:val="16"/>
          <w:color w:val="auto"/>
        </w:rPr>
        <w:t xml:space="preserve"> (Canada) are then offering to purchase bankers’ acceptances accepted by them having the specified term and face amount (or a term and face amount as closely as possible comparable to such specified term and face amount) of the Canadian BA.</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49" w:name="page50"/>
    <w:bookmarkEnd w:id="49"/>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the occurrence, after the date of this Agreement, of any of the following: (a) the adoption or taking effect of any law, rule, regulation or treaty, (b) any change in any law, rule, regulation or treaty or in the administration, interpretation or application thereof by any Governmental Authority or (c) the making or issuance of any request, guideline or directive (whether or not having the force of law)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“Change in Law”, regardless of the date enacted, adopted or issued.</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 an event or series of events by which PAA ceases to be, directly or indirectly, the beneficial owner (within the meaning of Rule 13d-3 under the Securities Exchange Act of 1934, as amended) of a majority of the outstanding general partnership interests and the outstanding limited partnership interests of the Company or (b) the Company shall cease to be, directly or indirectly, the beneficial owner of a majority of the outstanding Equity Interests of PMCULC.</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xml:space="preserve">” means the first date on which all the conditions precedent in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are satisfied or waived in accordance with </w:t>
      </w:r>
      <w:r>
        <w:rPr>
          <w:rFonts w:ascii="Arial" w:cs="Arial" w:eastAsia="Arial" w:hAnsi="Arial"/>
          <w:sz w:val="16"/>
          <w:szCs w:val="16"/>
          <w:u w:val="single" w:color="auto"/>
          <w:color w:val="auto"/>
        </w:rPr>
        <w:t>Section 11.01</w:t>
      </w:r>
      <w:r>
        <w:rPr>
          <w:rFonts w:ascii="Arial" w:cs="Arial" w:eastAsia="Arial" w:hAnsi="Arial"/>
          <w:sz w:val="16"/>
          <w:szCs w:val="16"/>
          <w:color w:val="auto"/>
        </w:rPr>
        <w: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of the “</w:t>
      </w:r>
      <w:r>
        <w:rPr>
          <w:rFonts w:ascii="Arial" w:cs="Arial" w:eastAsia="Arial" w:hAnsi="Arial"/>
          <w:sz w:val="18"/>
          <w:szCs w:val="18"/>
          <w:u w:val="single" w:color="auto"/>
          <w:color w:val="auto"/>
        </w:rPr>
        <w:t>Collateral</w:t>
      </w:r>
      <w:r>
        <w:rPr>
          <w:rFonts w:ascii="Arial" w:cs="Arial" w:eastAsia="Arial" w:hAnsi="Arial"/>
          <w:sz w:val="18"/>
          <w:szCs w:val="18"/>
          <w:color w:val="auto"/>
        </w:rPr>
        <w:t>” referred to in the Collateral Documents and all of the other property that is or is purported under the terms of the Collateral Documents to be subject to Liens in favor of the Administrative Agent for the benefit of the Secured Parties, in each case, to secure all or part of the Obligations of a Borrower.</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means, collectively, the Security Agreement, each Tri-Party Agreement, each of the security agreements, pledge agreements or other similar agreements delivered by a Borrower to the Administrative Agent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and each of the other agreements, instruments or documents that creates or purports to create a Lien in favor of the Administrative Agent for the benefit of the Secured Parties, in each case, to secure all or part of the Obligations of a Borrower.</w:t>
      </w:r>
    </w:p>
    <w:p>
      <w:pPr>
        <w:spacing w:after="0" w:line="14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Value</w:t>
      </w:r>
      <w:r>
        <w:rPr>
          <w:rFonts w:ascii="Arial" w:cs="Arial" w:eastAsia="Arial" w:hAnsi="Arial"/>
          <w:sz w:val="18"/>
          <w:szCs w:val="18"/>
          <w:color w:val="auto"/>
        </w:rPr>
        <w:t xml:space="preserve">” means, as to each Borrower, the sum of (i) one hundred percent (100%) of the aggregate Sale Value of Financed Hedged Eligible Inventory of such Borrower subject to sales contracts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one hundred percent (100%) of the aggregate Hedged Value of stored Financed Hedged Eligible Inventory of such Borrower not subject to sale contracts)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all accounts receivable and other Receivables of such Borrower related to the inventory referred to in clauses (i) and (ii), without duplication, in amount, of such inventory.</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w:t>
      </w:r>
      <w:r>
        <w:rPr>
          <w:rFonts w:ascii="Arial" w:cs="Arial" w:eastAsia="Arial" w:hAnsi="Arial"/>
          <w:sz w:val="16"/>
          <w:szCs w:val="16"/>
          <w:color w:val="auto"/>
        </w:rPr>
        <w:t xml:space="preserve">” means, (a) as to each Lender other than the Swing Line Lender, such Lender’s obligation to (i) make Committed Loans to the Borrowers and accept Canadian BA’s from PMCULC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(ii) purchase participations in L/C Obligations, and (iii) purchase participations in Swing Line Loans and (b) as to the Swing Line Lender, its obligation to make Swing Line Loans to the Borrowers pursuant to </w:t>
      </w:r>
      <w:r>
        <w:rPr>
          <w:rFonts w:ascii="Arial" w:cs="Arial" w:eastAsia="Arial" w:hAnsi="Arial"/>
          <w:sz w:val="16"/>
          <w:szCs w:val="16"/>
          <w:u w:val="single" w:color="auto"/>
          <w:color w:val="auto"/>
        </w:rPr>
        <w:t>Section 2.04</w:t>
      </w:r>
      <w:r>
        <w:rPr>
          <w:rFonts w:ascii="Arial" w:cs="Arial" w:eastAsia="Arial" w:hAnsi="Arial"/>
          <w:sz w:val="16"/>
          <w:szCs w:val="16"/>
          <w:color w:val="auto"/>
        </w:rPr>
        <w:t>; in each case, in an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50" w:name="page51"/>
    <w:bookmarkEnd w:id="50"/>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aggregate principal amount the Dollar Equivalent of which at any one time outstanding, does not exceed the Dollar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as such amount may from time to time be increased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decreased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or in the Assignment and Assumption pursuant to which such Lender becomes a party hereto, as applicable, as such amount may be adjusted from time to time in accordance with this Agreement.</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Borrowing</w:t>
      </w:r>
      <w:r>
        <w:rPr>
          <w:rFonts w:ascii="Arial" w:cs="Arial" w:eastAsia="Arial" w:hAnsi="Arial"/>
          <w:sz w:val="18"/>
          <w:szCs w:val="18"/>
          <w:color w:val="auto"/>
        </w:rPr>
        <w:t xml:space="preserve">” means (i) a borrowing consisting of simultaneous Committed Loans of the same Type, in the same currency and, in the case of Eurocurrency Rate Committed Loans, having the same Interest Period made by each of the Lenders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or (ii) the acceptance by Lenders of Canadian Bankers’ Acceptances issued by PMCULC under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71"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Loan Note</w:t>
      </w:r>
      <w:r>
        <w:rPr>
          <w:rFonts w:ascii="Arial" w:cs="Arial" w:eastAsia="Arial" w:hAnsi="Arial"/>
          <w:sz w:val="18"/>
          <w:szCs w:val="18"/>
          <w:color w:val="auto"/>
        </w:rPr>
        <w:t xml:space="preserve">” means a promissory note made by a Borrower in favor of a Lender evidencing Committed Loans made by such Lender, substantially in the form of </w:t>
      </w:r>
      <w:r>
        <w:rPr>
          <w:rFonts w:ascii="Arial" w:cs="Arial" w:eastAsia="Arial" w:hAnsi="Arial"/>
          <w:sz w:val="18"/>
          <w:szCs w:val="18"/>
          <w:u w:val="single" w:color="auto"/>
          <w:color w:val="auto"/>
        </w:rPr>
        <w:t>Exhibit C-1</w:t>
      </w:r>
      <w:r>
        <w:rPr>
          <w:rFonts w:ascii="Arial" w:cs="Arial" w:eastAsia="Arial" w:hAnsi="Arial"/>
          <w:sz w:val="18"/>
          <w:szCs w:val="18"/>
          <w:color w:val="auto"/>
        </w:rPr>
        <w:t>.</w:t>
      </w:r>
    </w:p>
    <w:p>
      <w:pPr>
        <w:spacing w:after="0" w:line="132"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Committed Loan Notice</w:t>
      </w:r>
      <w:r>
        <w:rPr>
          <w:rFonts w:ascii="Arial" w:cs="Arial" w:eastAsia="Arial" w:hAnsi="Arial"/>
          <w:sz w:val="16"/>
          <w:szCs w:val="16"/>
          <w:color w:val="auto"/>
        </w:rPr>
        <w:t xml:space="preserve">” means a notice of (a) a Committed Borrowing, (b) a conversion of Committed Loans from one Type to the other, or (c) a continuation of Eurocurrency Rate Committed Loans, pursuant to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which, if in writing, shall be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Companies’ Creditors Arrangement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Companies’ Creditors Arrangement Act</w:t>
      </w:r>
      <w:r>
        <w:rPr>
          <w:rFonts w:ascii="Arial" w:cs="Arial" w:eastAsia="Arial" w:hAnsi="Arial"/>
          <w:sz w:val="18"/>
          <w:szCs w:val="18"/>
          <w:color w:val="auto"/>
        </w:rPr>
        <w:t>, R.S.C. 1985, c. C-36, as amended, including the regulations made and from time to time in force under that Act.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specified in the introductory paragraph hereto.</w:t>
      </w:r>
    </w:p>
    <w:p>
      <w:pPr>
        <w:spacing w:after="0" w:line="171"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3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and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each of the following: (a) a Borrowing and (b) an L/C Credit Extension.</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the Bankruptcy and Insolvency Act (Canada), the Companies’ Creditors Arrangement Act (Canada), and all other liquidation, conservatorship, bankruptcy, assignment for the benefit of creditors, moratorium, rearrangement, receivership, insolvency, reorganization, or similar debtor relief Laws of the United States, Canada or other applicable jurisdictions from time to time in effect and affecting the rights of creditors generally.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51" w:name="page52"/>
    <w:bookmarkEnd w:id="51"/>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32" w:lineRule="exact"/>
        <w:rPr>
          <w:sz w:val="20"/>
          <w:szCs w:val="20"/>
          <w:color w:val="auto"/>
        </w:rPr>
      </w:pPr>
    </w:p>
    <w:p>
      <w:pPr>
        <w:ind w:right="160" w:firstLine="456"/>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Default Rate</w:t>
      </w:r>
      <w:r>
        <w:rPr>
          <w:rFonts w:ascii="Arial" w:cs="Arial" w:eastAsia="Arial" w:hAnsi="Arial"/>
          <w:sz w:val="15"/>
          <w:szCs w:val="15"/>
          <w:color w:val="auto"/>
        </w:rPr>
        <w:t xml:space="preserve">” means, at any time during a Default Rate Period, (a) when used with respect to Obligations other than Letter of Credit Fees and Canadian Prime Rate Loans, an interest rate equal to (i) the Base Rate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(ii) the Applicable Rate applicable to Base Rate Loans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(iii) 2% per annum;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with respect to a Eurocurrency Rate Loan, the Default Rate shall be an interest rate equal to the interest rate (including any Applicable Rate) otherwise applicable to such Eurocurrency Rate Loan plus 2% per annum, (b) when used with respect to Canadian Prime Rate Loans, an interest rate equal to</w:t>
      </w:r>
    </w:p>
    <w:p>
      <w:pPr>
        <w:spacing w:after="0" w:line="3" w:lineRule="exact"/>
        <w:rPr>
          <w:sz w:val="20"/>
          <w:szCs w:val="20"/>
          <w:color w:val="auto"/>
        </w:rPr>
      </w:pPr>
    </w:p>
    <w:p>
      <w:pPr>
        <w:ind w:right="260" w:firstLine="8"/>
        <w:spacing w:after="0" w:line="261" w:lineRule="auto"/>
        <w:tabs>
          <w:tab w:leader="none" w:pos="2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Canadian Prime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Applicable Rate applicable to Canadian Prime Rate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2% per annum, and (c) when used with respect to Letter of Credit Fees, a rate equal to the Applicable Rate plus 2% per annum.</w:t>
      </w:r>
    </w:p>
    <w:p>
      <w:pPr>
        <w:spacing w:after="0" w:line="13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Rate Period</w:t>
      </w:r>
      <w:r>
        <w:rPr>
          <w:rFonts w:ascii="Arial" w:cs="Arial" w:eastAsia="Arial" w:hAnsi="Arial"/>
          <w:sz w:val="16"/>
          <w:szCs w:val="16"/>
          <w:color w:val="auto"/>
        </w:rPr>
        <w:t xml:space="preserve">” means (a) any period during which an Event of Default, other than pursuant to </w:t>
      </w:r>
      <w:r>
        <w:rPr>
          <w:rFonts w:ascii="Arial" w:cs="Arial" w:eastAsia="Arial" w:hAnsi="Arial"/>
          <w:sz w:val="16"/>
          <w:szCs w:val="16"/>
          <w:u w:val="single" w:color="auto"/>
          <w:color w:val="auto"/>
        </w:rPr>
        <w:t>Section 8.01(a)</w:t>
      </w:r>
      <w:r>
        <w:rPr>
          <w:rFonts w:ascii="Arial" w:cs="Arial" w:eastAsia="Arial" w:hAnsi="Arial"/>
          <w:sz w:val="16"/>
          <w:szCs w:val="16"/>
          <w:color w:val="auto"/>
        </w:rPr>
        <w:t xml:space="preserve">, is continuing, provided that such period shall not begin until notice of the commencement of the Default Rate has been given to the Company by the Administrative Agent upon the instruction by the Required Lenders and (b) any period during which any Event of Default pursuant to </w:t>
      </w:r>
      <w:r>
        <w:rPr>
          <w:rFonts w:ascii="Arial" w:cs="Arial" w:eastAsia="Arial" w:hAnsi="Arial"/>
          <w:sz w:val="16"/>
          <w:szCs w:val="16"/>
          <w:u w:val="single" w:color="auto"/>
          <w:color w:val="auto"/>
        </w:rPr>
        <w:t>Sections 8.01(a)</w:t>
      </w:r>
      <w:r>
        <w:rPr>
          <w:rFonts w:ascii="Arial" w:cs="Arial" w:eastAsia="Arial" w:hAnsi="Arial"/>
          <w:sz w:val="16"/>
          <w:szCs w:val="16"/>
          <w:color w:val="auto"/>
        </w:rPr>
        <w:t xml:space="preserve"> is continuing unless the Company has been notified otherwise by the Administrative Agent upon the instruction by the Required Lenders.</w:t>
      </w:r>
    </w:p>
    <w:p>
      <w:pPr>
        <w:spacing w:after="0" w:line="113"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2.17(b)</w:t>
      </w:r>
      <w:r>
        <w:rPr>
          <w:rFonts w:ascii="Arial" w:cs="Arial" w:eastAsia="Arial" w:hAnsi="Arial"/>
          <w:sz w:val="16"/>
          <w:szCs w:val="16"/>
          <w:color w:val="auto"/>
        </w:rPr>
        <w:t xml:space="preserve">, any Lender that, as determined by the Administrative Agent, (a) has failed to fund any of its funding obligations hereunder in respect of its Loans or participations in respect of Letters of Credit or Swing Line Loans, within two Business Days of the date required to be funded by it hereunder, or has failed to make any payment to the Administrative Agent required under </w:t>
      </w:r>
      <w:r>
        <w:rPr>
          <w:rFonts w:ascii="Arial" w:cs="Arial" w:eastAsia="Arial" w:hAnsi="Arial"/>
          <w:sz w:val="16"/>
          <w:szCs w:val="16"/>
          <w:u w:val="single" w:color="auto"/>
          <w:color w:val="auto"/>
        </w:rPr>
        <w:t>Section 3.01(c)(ii)</w:t>
      </w:r>
      <w:r>
        <w:rPr>
          <w:rFonts w:ascii="Arial" w:cs="Arial" w:eastAsia="Arial" w:hAnsi="Arial"/>
          <w:sz w:val="16"/>
          <w:szCs w:val="16"/>
          <w:color w:val="auto"/>
        </w:rPr>
        <w:t xml:space="preserve"> within the time specified therein, and the Administrative Agent shall have exercised its indemnification right against any Borrower pursuant to the second sentence of </w:t>
      </w:r>
      <w:r>
        <w:rPr>
          <w:rFonts w:ascii="Arial" w:cs="Arial" w:eastAsia="Arial" w:hAnsi="Arial"/>
          <w:sz w:val="16"/>
          <w:szCs w:val="16"/>
          <w:u w:val="single" w:color="auto"/>
          <w:color w:val="auto"/>
        </w:rPr>
        <w:t>Section 3.01(c)(i)</w:t>
      </w:r>
      <w:r>
        <w:rPr>
          <w:rFonts w:ascii="Arial" w:cs="Arial" w:eastAsia="Arial" w:hAnsi="Arial"/>
          <w:sz w:val="16"/>
          <w:szCs w:val="16"/>
          <w:color w:val="auto"/>
        </w:rPr>
        <w:t>,</w:t>
      </w:r>
    </w:p>
    <w:p>
      <w:pPr>
        <w:spacing w:after="0" w:line="3" w:lineRule="exact"/>
        <w:rPr>
          <w:sz w:val="20"/>
          <w:szCs w:val="20"/>
          <w:color w:val="auto"/>
        </w:rPr>
      </w:pPr>
    </w:p>
    <w:p>
      <w:pPr>
        <w:ind w:right="20" w:firstLine="8"/>
        <w:spacing w:after="0" w:line="286" w:lineRule="auto"/>
        <w:tabs>
          <w:tab w:leader="none" w:pos="2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has notified the Company or the Administrative Agent that it does not intend to comply with its funding obligations hereunder or has made a public statement to that effect with respect to its funding obligations hereunder or under other agreements in which it commits to extend credit, (c) has failed, within two Business Days after request by the Administrative Agent, to confirm in a manner satisfactory to the Administrative Agent that it will comply with its funding obligations hereunder, or (d)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or (iii) taken any action in furtherance of, or indicated its consent to, approval of or acquiescence in any such proceeding or appointment;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Governmental Authority) to reject, repudiate, disavow or disaffirm any contracts or agreements made by such Lender.</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52" w:name="page53"/>
    <w:bookmarkEnd w:id="52"/>
    <w:p>
      <w:pPr>
        <w:ind w:right="2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Depository Bills and Notes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Depository Bills and Notes Act</w:t>
      </w:r>
      <w:r>
        <w:rPr>
          <w:rFonts w:ascii="Arial" w:cs="Arial" w:eastAsia="Arial" w:hAnsi="Arial"/>
          <w:sz w:val="18"/>
          <w:szCs w:val="18"/>
          <w:color w:val="auto"/>
        </w:rPr>
        <w:t xml:space="preserve"> (Canada), S.C. 1998, c. 13, as amended, including the regulations made and, from time to time, in force under that Act.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at any time, (a) with respect to any amount denominated in Dollars, such amount, and (b) with respect to any amount denominated in Canadian Dollars, the equivalent amount thereof in Dollars as reasonably determined by the Administrative Agent or the L/C Issuer, as the case may be, in accordance with normal banking industry practice using the Spot Rate (determined in respect of the most recent Revaluation Date) for the purchase of Dollars with Canadian Dollars.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Subsidiary</w:t>
      </w:r>
      <w:r>
        <w:rPr>
          <w:rFonts w:ascii="Arial" w:cs="Arial" w:eastAsia="Arial" w:hAnsi="Arial"/>
          <w:sz w:val="16"/>
          <w:szCs w:val="16"/>
          <w:color w:val="auto"/>
        </w:rPr>
        <w:t>” means any Subsidiary that is organized under the Laws of the United States, a State thereof or the District of Columbia.</w:t>
      </w:r>
    </w:p>
    <w:p>
      <w:pPr>
        <w:spacing w:after="0" w:line="19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w:t>
      </w:r>
    </w:p>
    <w:p>
      <w:pPr>
        <w:spacing w:after="0" w:line="132"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Inventory</w:t>
      </w:r>
      <w:r>
        <w:rPr>
          <w:rFonts w:ascii="Arial" w:cs="Arial" w:eastAsia="Arial" w:hAnsi="Arial"/>
          <w:sz w:val="16"/>
          <w:szCs w:val="16"/>
          <w:color w:val="auto"/>
        </w:rPr>
        <w:t>” means inventories of Petroleum Products (specifically excluding, however, tank bottoms and pipeline linefill of any Borrower) (i) in which any Borrower has good and defensible title, (ii) which are not subject to any Lien in favor of any Person (other than Permitted Inventory Liens), and</w:t>
      </w:r>
    </w:p>
    <w:p>
      <w:pPr>
        <w:ind w:right="160" w:firstLine="8"/>
        <w:spacing w:after="0" w:line="261" w:lineRule="auto"/>
        <w:tabs>
          <w:tab w:leader="none" w:pos="3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which are subject to a fully perfected first priority security interest (subject only to Permitted Inventory Liens) in favor of Administrative Agent pursuant to the Loan Documents prior to the rights of, and enforceable as such against, any other Person.</w:t>
      </w:r>
    </w:p>
    <w:p>
      <w:pPr>
        <w:spacing w:after="0" w:line="138"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Environmental Laws</w:t>
      </w:r>
      <w:r>
        <w:rPr>
          <w:rFonts w:ascii="Arial" w:cs="Arial" w:eastAsia="Arial" w:hAnsi="Arial"/>
          <w:sz w:val="15"/>
          <w:szCs w:val="15"/>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and all of the other ownership or profit interests in such Person (including partnership, member or trust interests therein), whether voting or nonvoting, and whether or not such shares, warrants, options, rights or other interests are outstanding on any date of determination, excluding, however, all debt securities convertible into or exchangeable for shares of capital stock of (or other ownership or profit interests in) such Person or warrants, rights or options for the purchase or acquisition from such Person of such shares (or such other interests).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53" w:name="page54"/>
    <w:bookmarkEnd w:id="53"/>
    <w:p>
      <w:pPr>
        <w:ind w:right="9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trade or business (whether or not incorporated) under common control with the Company within the meaning of Section 414(b) or (c) of the Code (and Sections 414(m) and (o) of the Code for purposes of provisions relating to Section 412 of the Code).</w:t>
      </w:r>
    </w:p>
    <w:p>
      <w:pPr>
        <w:spacing w:after="0" w:line="8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 Reportable Event with respect to a Pension Plan; (b) the withdrawal of the Company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Company or any ERISA Affiliate from a Multiemployer Plan or notification that a Multiemployer Plan is in reorganization; (d) the filing of a notice of intent to terminate a Pension Plan or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Company or any ERISA Affiliate.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w:t>
      </w:r>
    </w:p>
    <w:p>
      <w:pPr>
        <w:spacing w:after="0" w:line="171" w:lineRule="exact"/>
        <w:rPr>
          <w:sz w:val="20"/>
          <w:szCs w:val="20"/>
          <w:color w:val="auto"/>
        </w:rPr>
      </w:pPr>
    </w:p>
    <w:p>
      <w:pPr>
        <w:ind w:right="160" w:firstLine="464"/>
        <w:spacing w:after="0" w:line="288" w:lineRule="auto"/>
        <w:tabs>
          <w:tab w:leader="none" w:pos="695"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 any Interest Period with respect to a Eurocurrency Rate Loan, the rate per annum equal to (i) the British Bankers Association LIBOR Rate (“</w:t>
      </w:r>
      <w:r>
        <w:rPr>
          <w:rFonts w:ascii="Arial" w:cs="Arial" w:eastAsia="Arial" w:hAnsi="Arial"/>
          <w:sz w:val="16"/>
          <w:szCs w:val="16"/>
          <w:u w:val="single" w:color="auto"/>
          <w:color w:val="auto"/>
        </w:rPr>
        <w:t>BBA</w:t>
      </w:r>
      <w:r>
        <w:rPr>
          <w:rFonts w:ascii="Arial" w:cs="Arial" w:eastAsia="Arial" w:hAnsi="Arial"/>
          <w:sz w:val="16"/>
          <w:szCs w:val="16"/>
          <w:color w:val="auto"/>
        </w:rPr>
        <w:t xml:space="preserve"> </w:t>
      </w:r>
      <w:r>
        <w:rPr>
          <w:rFonts w:ascii="Arial" w:cs="Arial" w:eastAsia="Arial" w:hAnsi="Arial"/>
          <w:sz w:val="16"/>
          <w:szCs w:val="16"/>
          <w:u w:val="single" w:color="auto"/>
          <w:color w:val="auto"/>
        </w:rPr>
        <w:t>LIBOR</w:t>
      </w:r>
      <w:r>
        <w:rPr>
          <w:rFonts w:ascii="Arial" w:cs="Arial" w:eastAsia="Arial" w:hAnsi="Arial"/>
          <w:sz w:val="16"/>
          <w:szCs w:val="16"/>
          <w:color w:val="auto"/>
        </w:rPr>
        <w:t>”), as published by Reuters (or such other commercially available source providing quotations of BBA LIBOR as may be designated by the Administrative Agent from time to time) at approximately 12:00 p.m., London time, two Business Days prior to the commencement of such Interest Period, for deposits in the relevant currency (for delivery on the first day of such Interest Period) with a term equivalent to such Interest Period or, (ii) if such rate is not available at such time for any reason, the rate per annum determined by the Administrative Agent to be the rate at which deposits in the relevant currency for delivery on the first day of such Interest Period in Same Day Funds in the approximate amount of the Eurocurrency Rate Loan being made, continued or converted and with a term equivalent to such Interest Period would be offered by Bank of America’s London Branch (or other Bank of America branch or Affiliate) to major banks in the London or other offshore interbank market for such currency at their request at approximately 12:00 p.m. (London time) two Business Days prior to the commencement of such Interest Period; and</w:t>
      </w:r>
    </w:p>
    <w:p>
      <w:pPr>
        <w:spacing w:after="0" w:line="119" w:lineRule="exact"/>
        <w:rPr>
          <w:rFonts w:ascii="Arial" w:cs="Arial" w:eastAsia="Arial" w:hAnsi="Arial"/>
          <w:sz w:val="16"/>
          <w:szCs w:val="16"/>
          <w:color w:val="auto"/>
        </w:rPr>
      </w:pPr>
    </w:p>
    <w:p>
      <w:pPr>
        <w:ind w:firstLine="464"/>
        <w:spacing w:after="0" w:line="294" w:lineRule="auto"/>
        <w:tabs>
          <w:tab w:leader="none" w:pos="705"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 any interest calculation with respect to a Base Rate Loan or a Swing Line Loan based on the Eurocurrency Rate on any date, the rate per annum equal to (i) BBA LIBOR, at approximately 12:00 p.m., London time on such date for deposits in the relevant currency being delivered in the London interbank market for a term of seven days (or if a term of seven days is unavailable then a term of one month) commencing that day or (ii) if such published rates are not available at such time for any reason, the rate per annum determined by the Administrative Agent to be the rate at which deposits in such currency for delivery on the date of determination in same day funds in the approximate amount of the Base Rate Loan or Swing</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54" w:name="page55"/>
    <w:bookmarkEnd w:id="54"/>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Line Loan being made, continued or converted and with a term equal to one month would be offered by Bank of America’s London Branch to major banks in the London interbank Eurocurrency market at their request at the date and time of determination.</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 Committed Loan</w:t>
      </w:r>
      <w:r>
        <w:rPr>
          <w:rFonts w:ascii="Arial" w:cs="Arial" w:eastAsia="Arial" w:hAnsi="Arial"/>
          <w:sz w:val="18"/>
          <w:szCs w:val="18"/>
          <w:color w:val="auto"/>
        </w:rPr>
        <w:t>” means a Committed Loan that bears interest at a rate based on clause (a) of the definition of “Eurocurrency Rate.” Eurocurrency Rate Loans may be denominated in Dollars or in Canadian Dollars.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Eurocurrency Rate Loan</w:t>
      </w:r>
      <w:r>
        <w:rPr>
          <w:rFonts w:ascii="Arial" w:cs="Arial" w:eastAsia="Arial" w:hAnsi="Arial"/>
          <w:sz w:val="15"/>
          <w:szCs w:val="15"/>
          <w:color w:val="auto"/>
        </w:rPr>
        <w:t>” means (i) a Eurocurrency Rate Committed Loan or (ii) a Swing Line Loan that bears interest at a rate based on the Eurocurrency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with respect to the Administrative Agent, any Lender, the L/C Issuer or any other recipient of any payment to be made by or on account of any obligation of any Borrower hereunder, (a) taxes imposed on or measured by its overall net income or net profits (however denominated), and franchise taxes or capital taxes imposed on it (in lieu of or in addition to net income or net profits taxes), by the jurisdiction (or any political subdivision thereof) under the Laws of which such recipient is organized or in which its principal office is located or, in the case of any Lender, in which its applicable Lending Office is located, or otherwise as a result of a present or former connection between the legal or beneficial recipient and the jurisdiction imposing the Tax (other than a connection arising solely from such recipient having executed, received a payment under, or enforced its rights under, this Agreement or any Loan Document)</w:t>
      </w:r>
    </w:p>
    <w:p>
      <w:pPr>
        <w:spacing w:after="0" w:line="1" w:lineRule="exact"/>
        <w:rPr>
          <w:sz w:val="20"/>
          <w:szCs w:val="20"/>
          <w:color w:val="auto"/>
        </w:rPr>
      </w:pPr>
    </w:p>
    <w:p>
      <w:pPr>
        <w:ind w:right="20" w:firstLine="8"/>
        <w:spacing w:after="0" w:line="286" w:lineRule="auto"/>
        <w:tabs>
          <w:tab w:leader="none" w:pos="2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any branch profits taxes imposed by the United States or any similar tax imposed by any other jurisdiction in which such Borrower is located, (c) any backup withholding tax that is required by the Code to be withheld from amounts payable to a Lender, (d) in the case of a Foreign Lender (other than an assignee pursuant to a request by such Borrower under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any withholding tax that (i) is required to be imposed on amounts payable to such Foreign Lender pursuant to the Laws in force at the time such Foreign Lender becomes a party hereto (or designates a new Lending Office), except to the extent that such Foreign Lender (or its assignor, if any) was entitled, at the time of designation of a new Lending Office (or assignment), to receive additional amounts from such Borrower with respect to such withholding tax pursuant to </w:t>
      </w:r>
      <w:r>
        <w:rPr>
          <w:rFonts w:ascii="Arial" w:cs="Arial" w:eastAsia="Arial" w:hAnsi="Arial"/>
          <w:sz w:val="16"/>
          <w:szCs w:val="16"/>
          <w:u w:val="single" w:color="auto"/>
          <w:color w:val="auto"/>
        </w:rPr>
        <w:t>Section 3.01(a)(ii)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 (ii) is attributable to such Foreign Lender’s failure or inability (other than as a result of a Change in Law) to comply with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(e) any Taxes under FATCA, and (f) any withholding tax that is imposed under the provisions of the Income Tax Act (Canada) on amounts paid or payable to any Person that is attributable to such Person not dealing at arm’s length (within the meaning of the Income Tax Act (Canada)) with the person making the payment hereunder. Notwithstanding anything to the contrary contained in this definition (except paragraph (f)), “Excluded Taxes” shall not include any withholding tax imposed at any time on payments made by or on behalf of a Foreign Obligor to any Lender hereunder or under any other Loan Document as a result of a Change in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have complied with </w:t>
      </w:r>
      <w:r>
        <w:rPr>
          <w:rFonts w:ascii="Arial" w:cs="Arial" w:eastAsia="Arial" w:hAnsi="Arial"/>
          <w:sz w:val="16"/>
          <w:szCs w:val="16"/>
          <w:u w:val="single" w:color="auto"/>
          <w:color w:val="auto"/>
        </w:rPr>
        <w:t>Section 3.01(e)(i)</w:t>
      </w:r>
      <w:r>
        <w:rPr>
          <w:rFonts w:ascii="Arial" w:cs="Arial" w:eastAsia="Arial" w:hAnsi="Arial"/>
          <w:sz w:val="16"/>
          <w:szCs w:val="16"/>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has the meaning specified in the introductory paragraph hereto.</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55" w:name="page56"/>
    <w:bookmarkEnd w:id="5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means the letters of credit issued and outstanding under the Existing Credit Agreement as of the Closing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FASB ASC</w:t>
      </w:r>
      <w:r>
        <w:rPr>
          <w:rFonts w:ascii="Arial" w:cs="Arial" w:eastAsia="Arial" w:hAnsi="Arial"/>
          <w:sz w:val="18"/>
          <w:szCs w:val="18"/>
          <w:color w:val="auto"/>
        </w:rPr>
        <w:t>” means the Accounting Standards Codification of the Financial Accounting Standards Board.</w:t>
      </w:r>
    </w:p>
    <w:p>
      <w:pPr>
        <w:spacing w:after="0" w:line="171"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of the date of this Agreement (and any amended or successor versions thereof that are substantively comparable and not materially more onerous to comply with) and any current or future regulations or official interpretations thereof.</w:t>
      </w:r>
    </w:p>
    <w:p>
      <w:pPr>
        <w:spacing w:after="0" w:line="8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Letters</w:t>
      </w:r>
      <w:r>
        <w:rPr>
          <w:rFonts w:ascii="Arial" w:cs="Arial" w:eastAsia="Arial" w:hAnsi="Arial"/>
          <w:sz w:val="18"/>
          <w:szCs w:val="18"/>
          <w:color w:val="auto"/>
        </w:rPr>
        <w:t>” means each of the letter agreements among the Company and the Administrative Agent and/or the Arrangers and executed in relation to this Agreement and the transactions contemplated thereby.</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Financed Hedged Eligible Inventory</w:t>
      </w:r>
      <w:r>
        <w:rPr>
          <w:rFonts w:ascii="Arial" w:cs="Arial" w:eastAsia="Arial" w:hAnsi="Arial"/>
          <w:sz w:val="18"/>
          <w:szCs w:val="18"/>
          <w:color w:val="auto"/>
        </w:rPr>
        <w:t>” means all Hedged Eligible Inventory (i) the Cash and Carry Purchase of which is to be or has been secured by Letters of Credit issued hereunder, and/or (ii) the purchase of which pursuant to Cash and Carry Purchases, or the storage thereof at Approved Locations, has been financed pursuant to Loans or Canadian BA’s hereunder.</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w:t>
      </w:r>
      <w:r>
        <w:rPr>
          <w:rFonts w:ascii="Arial" w:cs="Arial" w:eastAsia="Arial" w:hAnsi="Arial"/>
          <w:sz w:val="18"/>
          <w:szCs w:val="18"/>
          <w:color w:val="auto"/>
        </w:rPr>
        <w:t>” means that certain First Amendment to Third Amended and Restated Credit Agreement dated June , 2012 among the Borrowers, PAA, Administrative Agent and the Lenders party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 Effective Date</w:t>
      </w:r>
      <w:r>
        <w:rPr>
          <w:rFonts w:ascii="Arial" w:cs="Arial" w:eastAsia="Arial" w:hAnsi="Arial"/>
          <w:sz w:val="18"/>
          <w:szCs w:val="18"/>
          <w:color w:val="auto"/>
        </w:rPr>
        <w:t>” means the “Amendment Effective Date” as such term is defined in the First Amendment.</w:t>
      </w:r>
    </w:p>
    <w:p>
      <w:pPr>
        <w:spacing w:after="0" w:line="171"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Purchase Crude Payables</w:t>
      </w:r>
      <w:r>
        <w:rPr>
          <w:rFonts w:ascii="Arial" w:cs="Arial" w:eastAsia="Arial" w:hAnsi="Arial"/>
          <w:sz w:val="16"/>
          <w:szCs w:val="16"/>
          <w:color w:val="auto"/>
        </w:rPr>
        <w:t>” means the unpaid amount of any payable obligation related to the purchase of Petroleum Products by any Borrower secured by a valid statutory Lien, including but not limited to valid statutory Liens, if any, created under the laws of Texas, New Mexico, Wyoming, Kansas, Oklahoma or any other state to the extent such payable obligation is not at the time in question covered by a Letter of Credit.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56" w:name="page57"/>
    <w:bookmarkEnd w:id="56"/>
    <w:p>
      <w:pPr>
        <w:ind w:right="38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with respect to any Borrower, any Lender that is organized under the Laws of a jurisdiction other than that in which such Borrower is resident for tax purposes (including such a Lender when acting in the capacity of the L/C Issuer). For purposes of this definition, (a) the United States, each State thereof and the District of Columbia shall constitute a single jurisdiction and (b) Canada and each Province thereof shall constitute a single jurisdiction.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Obligor</w:t>
      </w:r>
      <w:r>
        <w:rPr>
          <w:rFonts w:ascii="Arial" w:cs="Arial" w:eastAsia="Arial" w:hAnsi="Arial"/>
          <w:sz w:val="18"/>
          <w:szCs w:val="18"/>
          <w:color w:val="auto"/>
        </w:rPr>
        <w:t>” means a Loan Party that is a Foreign Subsidiary.</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organized under the laws of a jurisdiction other than the United States, a State thereof or the District of Columbia.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(a) with respect to any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or Cash Collateralized in accordance with the terms hereof.</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engaged in making, purchasing, holding or otherwise investing in commercial loans and similar extensions of credit in the ordinary course of its business.</w:t>
      </w:r>
    </w:p>
    <w:p>
      <w:pPr>
        <w:spacing w:after="0" w:line="132"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means those generally accepted accounting principles and practices which are recognized as such by the Financial Accounting Standards Board (or any generally recognized successor) and which, in the case of the Company and its Subsidiaries on a consolidated basis, are applied for all periods after the date hereof in a manner consistent with the manner in which such principles and practices were applied to the Audited Financial Statements.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w:t>
      </w:r>
      <w:r>
        <w:rPr>
          <w:rFonts w:ascii="Arial" w:cs="Arial" w:eastAsia="Arial" w:hAnsi="Arial"/>
          <w:sz w:val="18"/>
          <w:szCs w:val="18"/>
          <w:color w:val="auto"/>
        </w:rPr>
        <w:t>” means Plains Marketing GP Inc., a Delaware corporation, in its capacity as the sole general partner of the Company.</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57" w:name="page58"/>
    <w:bookmarkEnd w:id="57"/>
    <w:p>
      <w:pPr>
        <w:ind w:right="28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Hedged Eligible Inventory</w:t>
      </w:r>
      <w:r>
        <w:rPr>
          <w:rFonts w:ascii="Arial" w:cs="Arial" w:eastAsia="Arial" w:hAnsi="Arial"/>
          <w:sz w:val="18"/>
          <w:szCs w:val="18"/>
          <w:color w:val="auto"/>
        </w:rPr>
        <w:t>” means Petroleum Products purchased or stored, or scheduled to be purchased or stored in the following month, by any Borrower, which have been hedged by either (i) a NYMEX contract or an Intercontinental Exchange contract which constitutes a Swap Contract, which Swap Contract is pursuant to a segregated account subject to a Tri-Party Agreement and not subject to any setoff, counterclaim or netting, or (ii) an over-the-counter contract or contract for physical delivery, and which Petroleum Products, in either such case, upon such purchase or storage by such Borrower, shall qualify as Eligible Inventory.</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Hedged Value</w:t>
      </w:r>
      <w:r>
        <w:rPr>
          <w:rFonts w:ascii="Arial" w:cs="Arial" w:eastAsia="Arial" w:hAnsi="Arial"/>
          <w:sz w:val="18"/>
          <w:szCs w:val="18"/>
          <w:color w:val="auto"/>
        </w:rPr>
        <w:t xml:space="preserve">” means, as to Hedged Eligible Inventory and such corresponding Swap Contracts with respect thereto, an amount equal to the volume of such Hedged Eligible Inventory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prices fixed in such corresponding Swap Contract,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 all related storage, transportation and other applicable costs of such Hedged Eligible Inventory, as set forth therein and (ii) the amount secured by any Broker Liens, other than Broker Liens on margin deposits with respect to such corresponding Swap Contracts.</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Hybrid Securities</w:t>
      </w:r>
      <w:r>
        <w:rPr>
          <w:rFonts w:ascii="Arial" w:cs="Arial" w:eastAsia="Arial" w:hAnsi="Arial"/>
          <w:sz w:val="16"/>
          <w:szCs w:val="16"/>
          <w:color w:val="auto"/>
        </w:rPr>
        <w:t>” means any trust preferred securities, or deferrable interest subordinated debt with a maturity of at least 20 years (and not less than one year after the Maturity Date), which provides for the optional or mandatory deferral of interest or distributions, issued by any Borrower, or any business trusts, limited liability companies, limited partnerships or similar entities (a) substantially all of the common equity, general partner or similar interests of which are owned (either directly or indirectly through one or more wholly owned Restricted Subsidiaries) at all times by such Borrower or any of its Subsidiaries, (b) that have been formed for the purpose of issuing trust preferred securities or deferrable interest subordinated debt, and (c) substantially all the assets of which consist of (i) subordinated debt of such Borrower or another Subsidiary and (ii) payments made from time to time on the subordinated debt.</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Tax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Income Tax Act</w:t>
      </w:r>
      <w:r>
        <w:rPr>
          <w:rFonts w:ascii="Arial" w:cs="Arial" w:eastAsia="Arial" w:hAnsi="Arial"/>
          <w:sz w:val="18"/>
          <w:szCs w:val="18"/>
          <w:color w:val="auto"/>
        </w:rPr>
        <w:t>, R.S.C. 1985 c. 1 (fifth supplement), as amended, including the regulations made and, from time to time, in force under that Act.</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51" w:lineRule="exact"/>
        <w:rPr>
          <w:sz w:val="20"/>
          <w:szCs w:val="20"/>
          <w:color w:val="auto"/>
        </w:rPr>
      </w:pPr>
    </w:p>
    <w:p>
      <w:pPr>
        <w:ind w:left="1140" w:hanging="237"/>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its obligations for the repayment of borrowed money,</w:t>
      </w:r>
    </w:p>
    <w:p>
      <w:pPr>
        <w:spacing w:after="0" w:line="90" w:lineRule="exact"/>
        <w:rPr>
          <w:rFonts w:ascii="Arial" w:cs="Arial" w:eastAsia="Arial" w:hAnsi="Arial"/>
          <w:sz w:val="18"/>
          <w:szCs w:val="18"/>
          <w:color w:val="auto"/>
        </w:rPr>
      </w:pPr>
    </w:p>
    <w:p>
      <w:pPr>
        <w:ind w:left="460" w:right="500" w:firstLine="443"/>
        <w:spacing w:after="0" w:line="357" w:lineRule="auto"/>
        <w:tabs>
          <w:tab w:leader="none" w:pos="1147" w:val="left"/>
        </w:tabs>
        <w:numPr>
          <w:ilvl w:val="0"/>
          <w:numId w:val="22"/>
        </w:numPr>
        <w:rPr>
          <w:rFonts w:ascii="Arial" w:cs="Arial" w:eastAsia="Arial" w:hAnsi="Arial"/>
          <w:sz w:val="15"/>
          <w:szCs w:val="15"/>
          <w:color w:val="auto"/>
        </w:rPr>
      </w:pPr>
      <w:r>
        <w:rPr>
          <w:rFonts w:ascii="Arial" w:cs="Arial" w:eastAsia="Arial" w:hAnsi="Arial"/>
          <w:sz w:val="15"/>
          <w:szCs w:val="15"/>
          <w:color w:val="auto"/>
        </w:rPr>
        <w:t>its obligations to pay the deferred purchase price of property or services (excluding trade account payables arising in the ordinary course of business), other than contingent purchase price or similar obligations incurred in connection with an acquisition and not yet earned or determinable,</w:t>
      </w:r>
    </w:p>
    <w:p>
      <w:pPr>
        <w:ind w:left="460" w:right="160" w:firstLine="443"/>
        <w:spacing w:after="0" w:line="268" w:lineRule="auto"/>
        <w:tabs>
          <w:tab w:leader="none" w:pos="1137"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its obligations evidenced by a bond, debenture, note or similar instrument, other than surety, bid, performance, statutory and other similar bonds and instruments obtained in the ordinary course of business,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its obligations, as lessee, constituting principal under Capital Leases,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58" w:name="page59"/>
    <w:bookmarkEnd w:id="58"/>
    <w:p>
      <w:pPr>
        <w:ind w:left="460" w:right="1060" w:firstLine="443"/>
        <w:spacing w:after="0" w:line="268" w:lineRule="auto"/>
        <w:tabs>
          <w:tab w:leader="none" w:pos="1137"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its direct or contingent reimbursement obligations with respect to the face amount of letters of credit pursuant to the applications or reimbursement agreements therefor,</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its obligations for the repayment of outstanding banker’s acceptances, whether matured or unmatured,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Synthetic Lease Obligations,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its obligations under guaranties of any obligations of any other Person described in the foregoing clauses (a) through (g).</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except to the extent that such Indebtedness is expressly made non-recourse to such Person. The amount of any Capital Lease or Synthetic Lease Obligation as of any date shall be deemed to be the amount of Attributable Indebtedness in respect thereof as of such date.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Taxes other than Excluded Taxes.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11.04(b)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11.07</w:t>
      </w:r>
      <w:r>
        <w:rPr>
          <w:rFonts w:ascii="Arial" w:cs="Arial" w:eastAsia="Arial" w:hAnsi="Arial"/>
          <w:sz w:val="18"/>
          <w:szCs w:val="18"/>
          <w:color w:val="auto"/>
        </w:rPr>
        <w:t>.</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Pro Forma Forecasts</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financial projections and forecasts prepared by or at the direction of PAA and delivered by the Company to the Administrative Agent for the second half of the fiscal year ending December 31, 2011 and for the fiscal years ending December 31, 2012 and December 31, 2013.</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Act (Canada)</w:t>
      </w:r>
      <w:r>
        <w:rPr>
          <w:rFonts w:ascii="Arial" w:cs="Arial" w:eastAsia="Arial" w:hAnsi="Arial"/>
          <w:sz w:val="16"/>
          <w:szCs w:val="16"/>
          <w:color w:val="auto"/>
        </w:rPr>
        <w:t xml:space="preserve">” means the </w:t>
      </w:r>
      <w:r>
        <w:rPr>
          <w:rFonts w:ascii="Arial" w:cs="Arial" w:eastAsia="Arial" w:hAnsi="Arial"/>
          <w:sz w:val="16"/>
          <w:szCs w:val="16"/>
          <w:i w:val="1"/>
          <w:iCs w:val="1"/>
          <w:color w:val="auto"/>
        </w:rPr>
        <w:t>Interest Act</w:t>
      </w:r>
      <w:r>
        <w:rPr>
          <w:rFonts w:ascii="Arial" w:cs="Arial" w:eastAsia="Arial" w:hAnsi="Arial"/>
          <w:sz w:val="16"/>
          <w:szCs w:val="16"/>
          <w:color w:val="auto"/>
        </w:rPr>
        <w:t>, R.S.C. 1985, c. I-15, including the regulations made and, from time to time, in force under that Act.</w:t>
      </w:r>
    </w:p>
    <w:p>
      <w:pPr>
        <w:spacing w:after="0" w:line="19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xml:space="preserve">” means, (a) as to any Loan other than a Base Rate Loan or a Canadian Prime Rate Loan, the last day of each Interest Period applicable to such Loan and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Interest Period for a Eurocurrency Rate Loan exceeds three months, the respective dates that fall every three months after the beginning of such Interest Period shall also be Interest Payment Dates; and (b) as to any Base Rate Loan or Canadian Prime Rate Loan (including a Swing Line Loan), the last Business Day of each March, June, September and December and the Maturity Date.</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as to each Eurocurrency Rate Loan, the period commencing on the date of such Borrowing or the date such Eurocurrency Rate Loan is converted to or continued as a Eurocurrency Rate Loan and ending on the date one month, two months, three months or six months (or seven or fourteen days) thereafter, as selected by the Company in its Committed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59" w:name="page60"/>
    <w:bookmarkEnd w:id="59"/>
    <w:p>
      <w:pPr>
        <w:ind w:left="460" w:right="40" w:firstLine="443"/>
        <w:spacing w:after="0" w:line="259" w:lineRule="auto"/>
        <w:tabs>
          <w:tab w:leader="none" w:pos="1108"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Interest Period that would otherwise end on a day that is not a Business Day shall be extended to the next succeeding Business Day unless, in the case of a Eurocurrency Rate Loan, such Business Day falls in another calendar month, in which case such Interest Period shall end on the next preceding Business Day;</w:t>
      </w:r>
    </w:p>
    <w:p>
      <w:pPr>
        <w:spacing w:after="0" w:line="59" w:lineRule="exact"/>
        <w:rPr>
          <w:rFonts w:ascii="Arial" w:cs="Arial" w:eastAsia="Arial" w:hAnsi="Arial"/>
          <w:sz w:val="18"/>
          <w:szCs w:val="18"/>
          <w:color w:val="auto"/>
        </w:rPr>
      </w:pPr>
    </w:p>
    <w:p>
      <w:pPr>
        <w:ind w:left="460" w:right="40" w:firstLine="443"/>
        <w:spacing w:after="0" w:line="259" w:lineRule="auto"/>
        <w:tabs>
          <w:tab w:leader="none" w:pos="115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Interest Period pertaining to a Eurocurrency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59" w:lineRule="exact"/>
        <w:rPr>
          <w:rFonts w:ascii="Arial" w:cs="Arial" w:eastAsia="Arial" w:hAnsi="Arial"/>
          <w:sz w:val="18"/>
          <w:szCs w:val="18"/>
          <w:color w:val="auto"/>
        </w:rPr>
      </w:pPr>
    </w:p>
    <w:p>
      <w:pPr>
        <w:ind w:left="1200" w:hanging="297"/>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32"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Issuer Documents</w:t>
      </w:r>
      <w:r>
        <w:rPr>
          <w:rFonts w:ascii="Arial" w:cs="Arial" w:eastAsia="Arial" w:hAnsi="Arial"/>
          <w:sz w:val="16"/>
          <w:szCs w:val="16"/>
          <w:color w:val="auto"/>
        </w:rPr>
        <w:t>” means with respect to any Letter of Credit, the Letter of Credit Application, and any other document, agreement and instrument entered into by the L/C Issuer and the applicable Borrower (or any Subsidiary) or in favor of the L/C Issuer and relating to such Letter of Credit.</w:t>
      </w:r>
    </w:p>
    <w:p>
      <w:pPr>
        <w:spacing w:after="0" w:line="85"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Laws</w:t>
      </w:r>
      <w:r>
        <w:rPr>
          <w:rFonts w:ascii="Arial" w:cs="Arial" w:eastAsia="Arial" w:hAnsi="Arial"/>
          <w:sz w:val="16"/>
          <w:szCs w:val="16"/>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1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Lender, such Lender’s funding of its participation in any L/C Borrowing in accordance with its Applicable Percentage.</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Borrowing</w:t>
      </w:r>
      <w:r>
        <w:rPr>
          <w:rFonts w:ascii="Arial" w:cs="Arial" w:eastAsia="Arial" w:hAnsi="Arial"/>
          <w:sz w:val="16"/>
          <w:szCs w:val="16"/>
          <w:color w:val="auto"/>
        </w:rPr>
        <w:t xml:space="preserve">” means an extension of credit resulting from a drawing under any Letter of Credit which has not been reimbursed on the date as required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or refinanced as a Committed Borrowing. Unless otherwise agreed by the applicable Borrower and the L/C Issuer, all L/C Borrowings shall be denominated in the currency of the Letter of Credit that was drawn upon that resulted in such L/C Borrowing.</w:t>
      </w:r>
    </w:p>
    <w:p>
      <w:pPr>
        <w:spacing w:after="0" w:line="10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Issuer</w:t>
      </w:r>
      <w:r>
        <w:rPr>
          <w:rFonts w:ascii="Arial" w:cs="Arial" w:eastAsia="Arial" w:hAnsi="Arial"/>
          <w:sz w:val="16"/>
          <w:szCs w:val="16"/>
          <w:color w:val="auto"/>
        </w:rPr>
        <w:t>” means (i) Bank of America in its capacity as issuer of Letters of Credit hereunder, or any successor issuer of Letters of Credit hereunder and</w:t>
      </w:r>
    </w:p>
    <w:p>
      <w:pPr>
        <w:spacing w:after="0" w:line="38" w:lineRule="exact"/>
        <w:rPr>
          <w:sz w:val="20"/>
          <w:szCs w:val="20"/>
          <w:color w:val="auto"/>
        </w:rPr>
      </w:pPr>
    </w:p>
    <w:p>
      <w:pPr>
        <w:ind w:right="220" w:firstLine="8"/>
        <w:spacing w:after="0" w:line="302" w:lineRule="auto"/>
        <w:tabs>
          <w:tab w:leader="none" w:pos="258"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other Lender appointed as a replacement or additional “L/C Issuer” pursuant to the immediately succeeding sentence. The Administrative Agent may, with the consent of the Company and the Lender in question, or the Company may, with the consent of the Lender in question and notice to the Administrative Agent, appoint such Lender hereunder as an L/C Issuer in place of or in addition to Bank of America.</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60" w:name="page61"/>
    <w:bookmarkEnd w:id="60"/>
    <w:p>
      <w:pPr>
        <w:ind w:right="6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L/C Obligations</w:t>
      </w:r>
      <w:r>
        <w:rPr>
          <w:rFonts w:ascii="Arial" w:cs="Arial" w:eastAsia="Arial" w:hAnsi="Arial"/>
          <w:sz w:val="16"/>
          <w:szCs w:val="16"/>
          <w:color w:val="auto"/>
        </w:rPr>
        <w:t xml:space="preserve">” means, as at any date of determination, the aggregate amount available to be drawn under all outstanding Letters of Credit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aggregate of all Unreimbursed Amounts, including (without duplication) all L/C Borrowings. For purposes of computing the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1.07</w:t>
      </w:r>
      <w:r>
        <w:rPr>
          <w:rFonts w:ascii="Arial" w:cs="Arial" w:eastAsia="Arial" w:hAnsi="Arial"/>
          <w:sz w:val="16"/>
          <w:szCs w:val="16"/>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has the meaning specified in the introductory paragraph hereto and, as the context requires, includes the Swing Line Lender.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Parties</w:t>
      </w:r>
      <w:r>
        <w:rPr>
          <w:rFonts w:ascii="Arial" w:cs="Arial" w:eastAsia="Arial" w:hAnsi="Arial"/>
          <w:sz w:val="18"/>
          <w:szCs w:val="18"/>
          <w:color w:val="auto"/>
        </w:rPr>
        <w:t>” means the Administrative Agent, L/C Issuer and all Lenders.</w:t>
      </w:r>
    </w:p>
    <w:p>
      <w:pPr>
        <w:spacing w:after="0" w:line="17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Lending Office</w:t>
      </w:r>
      <w:r>
        <w:rPr>
          <w:rFonts w:ascii="Arial" w:cs="Arial" w:eastAsia="Arial" w:hAnsi="Arial"/>
          <w:sz w:val="16"/>
          <w:szCs w:val="16"/>
          <w:color w:val="auto"/>
        </w:rPr>
        <w:t>” means, as to any Lender, the office or offices of such Lender described as such in such Lender’s Administrative Questionnaire, or such other office or offices as a Lender may from time to time notify the Company and the Administrative Agent in accordance with the terms hereof.</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xml:space="preserve">” means any letter of credit issued hereunder at the request of any Borrower providing for the payment of cash upon the honoring of a drawing thereunder and shall include the Existing Letters of Credit. A Letter of Credit may be a commercial letter of credit or a standby letter of credit;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commercial letter of credit issued hereunder shall provide solely for cash payment upon presentation of a sight draft, unless otherwise agreed to</w:t>
      </w:r>
      <w:r>
        <w:rPr>
          <w:rFonts w:ascii="Arial" w:cs="Arial" w:eastAsia="Arial" w:hAnsi="Arial"/>
          <w:sz w:val="18"/>
          <w:szCs w:val="18"/>
          <w:i w:val="1"/>
          <w:iCs w:val="1"/>
          <w:color w:val="auto"/>
        </w:rPr>
        <w:t xml:space="preserve"> </w:t>
      </w:r>
      <w:r>
        <w:rPr>
          <w:rFonts w:ascii="Arial" w:cs="Arial" w:eastAsia="Arial" w:hAnsi="Arial"/>
          <w:sz w:val="18"/>
          <w:szCs w:val="18"/>
          <w:color w:val="auto"/>
        </w:rPr>
        <w:t>by the L/C Issuer issuing such letter of credit.</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L/C Issuer.</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Expiration Date</w:t>
      </w:r>
      <w:r>
        <w:rPr>
          <w:rFonts w:ascii="Arial" w:cs="Arial" w:eastAsia="Arial" w:hAnsi="Arial"/>
          <w:sz w:val="18"/>
          <w:szCs w:val="18"/>
          <w:color w:val="auto"/>
        </w:rPr>
        <w:t>” means the day that is seven days prior to the Maturity Date then in effect (or, if such day is not a Business Day, the next preceding Business Day).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2.03(h)</w:t>
      </w:r>
      <w:r>
        <w:rPr>
          <w:rFonts w:ascii="Arial" w:cs="Arial" w:eastAsia="Arial" w:hAnsi="Arial"/>
          <w:sz w:val="18"/>
          <w:szCs w:val="18"/>
          <w:color w:val="auto"/>
        </w:rPr>
        <w:t>.</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an amount equal to $400,000,000. The Letter of Credit Sublimit is part of, and not in addition to, the Aggregate Commitments.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61" w:name="page62"/>
    <w:bookmarkEnd w:id="6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means an extension of credit by a Lender to a Borrower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 the form of a Committed Loan or a Swing Line Loan.</w:t>
      </w:r>
    </w:p>
    <w:p>
      <w:pPr>
        <w:spacing w:after="0" w:line="171"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this Agreement, each Note, each Issuer Document, each Canadian BA, each Collateral Document, any agreement creating or perfecting rights in Cash Collateral pursuant to the provisions of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of this Agreement, Fee Letters and any guaranty of the Obligations delivered in connection herewith.</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Party</w:t>
      </w:r>
      <w:r>
        <w:rPr>
          <w:rFonts w:ascii="Arial" w:cs="Arial" w:eastAsia="Arial" w:hAnsi="Arial"/>
          <w:sz w:val="18"/>
          <w:szCs w:val="18"/>
          <w:color w:val="auto"/>
        </w:rPr>
        <w:t>” means each of (i) the Company, (ii) PMCULC and (iii) PAA.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Agreement</w:t>
      </w:r>
      <w:r>
        <w:rPr>
          <w:rFonts w:ascii="Arial" w:cs="Arial" w:eastAsia="Arial" w:hAnsi="Arial"/>
          <w:sz w:val="18"/>
          <w:szCs w:val="18"/>
          <w:color w:val="auto"/>
        </w:rPr>
        <w:t>” has the meaning specified in the definition of “Swap Contract”.</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a material adverse change in, or a material adverse effect upon, the operations, properties or financial condition of the Company and its Subsidiaries taken as a whole; (b) a material adverse effect on the ability of any Loan Party to pay its obligations under any Loan Document to which it is a party; or (c) a material adverse effect on the enforceability against any Loan Party of any material terms of any Loan Document to which it is a party.</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the later of (a) August 19, 2014 and (b) if the Maturity Date then in effect is extended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such extended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date does not satisfy clause (a) of the definition of “Business Day,” the Maturity Date shall be the next preceding Business Day.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Merrill Lynch</w:t>
      </w:r>
      <w:r>
        <w:rPr>
          <w:rFonts w:ascii="Arial" w:cs="Arial" w:eastAsia="Arial" w:hAnsi="Arial"/>
          <w:sz w:val="18"/>
          <w:szCs w:val="18"/>
          <w:color w:val="auto"/>
        </w:rPr>
        <w:t>” means Merrill Lynch, Pierce, Fenner &amp; Smith Incorporated.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 Service, Inc. and any successor to the ratings agency business thereof.</w:t>
      </w:r>
    </w:p>
    <w:p>
      <w:pPr>
        <w:spacing w:after="0" w:line="171"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employee benefit plan of the type described in Section 4001(a)(3) of ERISA, to which the Company or any ERISA Affiliate makes or is obligated to make contributions, or during the preceding five plan years, has made or been obligated to make contributions.</w:t>
      </w:r>
    </w:p>
    <w:p>
      <w:pPr>
        <w:spacing w:after="0" w:line="85"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Multiple Employer Plan</w:t>
      </w:r>
      <w:r>
        <w:rPr>
          <w:rFonts w:ascii="Arial" w:cs="Arial" w:eastAsia="Arial" w:hAnsi="Arial"/>
          <w:sz w:val="16"/>
          <w:szCs w:val="16"/>
          <w:color w:val="auto"/>
        </w:rPr>
        <w:t>” means a Plan which has two or more contributing sponsors (including the Company or any ERISA Affiliate) at least two of whom are not under common control at such times and meeting the requirements of such a plan as described in Section 4064 of ERISA.</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means, collectively, the Committed Loan Notes and the Swing Line Note.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NYMEX</w:t>
      </w:r>
      <w:r>
        <w:rPr>
          <w:rFonts w:ascii="Arial" w:cs="Arial" w:eastAsia="Arial" w:hAnsi="Arial"/>
          <w:sz w:val="18"/>
          <w:szCs w:val="18"/>
          <w:color w:val="auto"/>
        </w:rPr>
        <w:t>” means the New York Mercantile Exchange.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62" w:name="page63"/>
    <w:bookmarkEnd w:id="62"/>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advances to, and debts, liabilities, obligations, covenants and duties of, any Loan Party arising under any Loan Document or otherwise with respect to any Loan, Letter of Credit or Canadian BA, whether direct or indirect (including those acquired by assumption), absolute or contingent, due or to become due, now existing or hereafter arising and including interest and fees that accrue after the commencement by or against any Loan Party or any of its Affiliates of any proceeding under any Debtor Relief Laws naming such Person as the debtor in such proceeding, regardless of whether such interest and fees are allowed claims in such proceeding.</w:t>
      </w:r>
    </w:p>
    <w:p>
      <w:pPr>
        <w:spacing w:after="0" w:line="143" w:lineRule="exact"/>
        <w:rPr>
          <w:sz w:val="20"/>
          <w:szCs w:val="20"/>
          <w:color w:val="auto"/>
        </w:rPr>
      </w:pPr>
    </w:p>
    <w:p>
      <w:pPr>
        <w:jc w:val="both"/>
        <w:ind w:right="200"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Operating Lease</w:t>
      </w:r>
      <w:r>
        <w:rPr>
          <w:rFonts w:ascii="Arial" w:cs="Arial" w:eastAsia="Arial" w:hAnsi="Arial"/>
          <w:sz w:val="15"/>
          <w:szCs w:val="15"/>
          <w:color w:val="auto"/>
        </w:rPr>
        <w:t>” means (i) an operating lease under GAAP, (ii) any lease that was treated as an operating lease under GAAP at the time it was entered into that later becomes a capital lease as a result of a change in GAAP during the life of such lease, including any renewals, and (iii) any lease entered into after the date of this Agreement that would have been considered an operating lease under the provisions of GAAP in effect as of December 31, 2010.</w:t>
      </w:r>
    </w:p>
    <w:p>
      <w:pPr>
        <w:spacing w:after="0" w:line="8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 Documents</w:t>
      </w:r>
      <w:r>
        <w:rPr>
          <w:rFonts w:ascii="Arial" w:cs="Arial" w:eastAsia="Arial" w:hAnsi="Arial"/>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4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or documentary taxes or any other excise or property taxes, charges or similar levies arising from any payment made hereunder or under any other Loan Document or from the execution, delivery or enforcement of, or otherwise with respect to, this Agreement or any other Loan Document.</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Amount</w:t>
      </w:r>
      <w:r>
        <w:rPr>
          <w:rFonts w:ascii="Arial" w:cs="Arial" w:eastAsia="Arial" w:hAnsi="Arial"/>
          <w:sz w:val="16"/>
          <w:szCs w:val="16"/>
          <w:color w:val="auto"/>
        </w:rPr>
        <w:t>” means (i) with respect to Committed Loans and Swing Line Loans on any date, the Dollar Equivalent amount of the aggregate outstanding principal amount thereof after giving effect to any borrowings and prepayments or repayments of Committed Loans and Swing Line Loans, as the case may be, occurring on such date; (ii) with respect to any L/C Obligations on any date, the Dollar Equivalent amount of the amount of such L/C Obligations on such date after giving effect to any L/C Credit Extension occurring on such date and any other changes in the aggregate amount of the L/C Obligations as of such date, including as a result of any reimbursements by the Company of Unreimbursed Amounts, and (iii) with respect to any Canadian BA on any date, the Dollar Equivalent amount of the unpaid portion of the face amount thereof on such date.</w:t>
      </w:r>
    </w:p>
    <w:p>
      <w:pPr>
        <w:spacing w:after="0" w:line="12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Overnight Rate</w:t>
      </w:r>
      <w:r>
        <w:rPr>
          <w:rFonts w:ascii="Arial" w:cs="Arial" w:eastAsia="Arial" w:hAnsi="Arial"/>
          <w:sz w:val="16"/>
          <w:szCs w:val="16"/>
          <w:color w:val="auto"/>
        </w:rPr>
        <w:t>” means, for any day, (a) with respect to any amount denominated in Dollars, the greater of (i) the Federal Funds Rate and (ii) an overnight rate determined by the Administrative Agent, the L/C Issuer, or the Swing Line Lender, as the case may be, in accordance with relevant banking industry rules on interbank compensation for major banks in the United States interbank market, and (b) with respect to any amount denominated in Canadian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63" w:name="page64"/>
    <w:bookmarkEnd w:id="63"/>
    <w:p>
      <w:pPr>
        <w:jc w:val="both"/>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Dollars, the rate of interest per annum at which overnight deposits in Canadian Dollars, in an amount approximately equal to the amount with respect to which such rate is being determined, would be offered for such day by a branch or Affiliate of Bank of America in the applicable offshore interbank market for such currency to major banks in such interbank market.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PAA</w:t>
      </w:r>
      <w:r>
        <w:rPr>
          <w:rFonts w:ascii="Arial" w:cs="Arial" w:eastAsia="Arial" w:hAnsi="Arial"/>
          <w:sz w:val="18"/>
          <w:szCs w:val="18"/>
          <w:color w:val="auto"/>
        </w:rPr>
        <w:t>” has the meaning specified in the introductory paragraph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PAA Consolidated Leverage Ratio</w:t>
      </w:r>
      <w:r>
        <w:rPr>
          <w:rFonts w:ascii="Arial" w:cs="Arial" w:eastAsia="Arial" w:hAnsi="Arial"/>
          <w:sz w:val="18"/>
          <w:szCs w:val="18"/>
          <w:color w:val="auto"/>
        </w:rPr>
        <w:t>” means the “Consolidated Leverage Ratio” as defined in the PAA Credit Agreement.</w:t>
      </w:r>
    </w:p>
    <w:p>
      <w:pPr>
        <w:spacing w:after="0" w:line="171"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PAA Credit Agreement</w:t>
      </w:r>
      <w:r>
        <w:rPr>
          <w:rFonts w:ascii="Arial" w:cs="Arial" w:eastAsia="Arial" w:hAnsi="Arial"/>
          <w:sz w:val="18"/>
          <w:szCs w:val="18"/>
          <w:color w:val="auto"/>
        </w:rPr>
        <w:t>” means that certain Credit Agreement dated as of August 19. 2011 among PAA, PMCULC, Bank of America, N.A., as administrative agent, and the lenders named therein.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PAA Debt Rating</w:t>
      </w:r>
      <w:r>
        <w:rPr>
          <w:rFonts w:ascii="Arial" w:cs="Arial" w:eastAsia="Arial" w:hAnsi="Arial"/>
          <w:sz w:val="18"/>
          <w:szCs w:val="18"/>
          <w:color w:val="auto"/>
        </w:rPr>
        <w:t>” has the meaning specified in the definition of “Applicable Rate”.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PAA Guaranty</w:t>
      </w:r>
      <w:r>
        <w:rPr>
          <w:rFonts w:ascii="Arial" w:cs="Arial" w:eastAsia="Arial" w:hAnsi="Arial"/>
          <w:sz w:val="16"/>
          <w:szCs w:val="16"/>
          <w:color w:val="auto"/>
        </w:rPr>
        <w:t xml:space="preserve">” means the Guaranty of the payment Obligations of each of the Borrowers made by PAA under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in favor of the Lender Parties.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Act</w:t>
      </w:r>
      <w:r>
        <w:rPr>
          <w:rFonts w:ascii="Arial" w:cs="Arial" w:eastAsia="Arial" w:hAnsi="Arial"/>
          <w:sz w:val="18"/>
          <w:szCs w:val="18"/>
          <w:color w:val="auto"/>
        </w:rPr>
        <w:t>” means the Pension Protection Act of 2006.</w:t>
      </w:r>
    </w:p>
    <w:p>
      <w:pPr>
        <w:spacing w:after="0" w:line="171"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Pension Funding Rules</w:t>
      </w:r>
      <w:r>
        <w:rPr>
          <w:rFonts w:ascii="Arial" w:cs="Arial" w:eastAsia="Arial" w:hAnsi="Arial"/>
          <w:sz w:val="15"/>
          <w:szCs w:val="15"/>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88"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the Company and any ERISA Affiliate and is either covered by Title IV of ERISA or is subject to the minimum funding standards under Section 412 of the Code.</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Inventory Liens</w:t>
      </w:r>
      <w:r>
        <w:rPr>
          <w:rFonts w:ascii="Arial" w:cs="Arial" w:eastAsia="Arial" w:hAnsi="Arial"/>
          <w:sz w:val="16"/>
          <w:szCs w:val="16"/>
          <w:color w:val="auto"/>
        </w:rPr>
        <w:t>” means (i) any Lien, and the amount of any liability secured thereby, on Petroleum Products inventory imposed by any governmental authority for taxes, assessments or charges not yet due or the validity of which is being contested in good faith and by appropriate proceedings, if necessary, for which adequate reserves are maintained on the books of the applicable Borrower in accordance with GAAP or other applicable accounting principles and standards, as applicable (so long as such Lien is inchoate) or (ii) carriers’, warehousemen’s, mechanics’, materialmen’s, repairmen’s, landlord’s, or other like Liens (including, without limitation, Liens on property of any Borrower in the possession of storage facilities, pipelines or barges) arising in the ordinary course of business for amounts which are not more than 60 days past due or the validity of which is being contested in good faith and by appropriate proceedings, if necessary, and for which adequate reserves are maintained on the books of Borrower in accordance with GAAP.</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280" w:right="319" w:bottom="1440" w:gutter="0" w:footer="0" w:header="0"/>
        </w:sectPr>
      </w:pPr>
    </w:p>
    <w:bookmarkStart w:id="64" w:name="page65"/>
    <w:bookmarkEnd w:id="64"/>
    <w:p>
      <w:pPr>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Petroleum Products</w:t>
      </w:r>
      <w:r>
        <w:rPr>
          <w:rFonts w:ascii="Arial" w:cs="Arial" w:eastAsia="Arial" w:hAnsi="Arial"/>
          <w:sz w:val="18"/>
          <w:szCs w:val="18"/>
          <w:color w:val="auto"/>
        </w:rPr>
        <w:t>” means crude oil, condensate, natural gas, natural gas liquids (NGL’s), liquefied petroleum gases (LPG’s), refined petroleum products or any blend thereof.</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Plains Terminal</w:t>
      </w:r>
      <w:r>
        <w:rPr>
          <w:rFonts w:ascii="Arial" w:cs="Arial" w:eastAsia="Arial" w:hAnsi="Arial"/>
          <w:sz w:val="18"/>
          <w:szCs w:val="18"/>
          <w:color w:val="auto"/>
        </w:rPr>
        <w:t>” means any storage terminal, tankage or facility owned by (i) any Borrower or PAA, or (ii) by any Affiliate of the Company or PAA that has executed and delivered a bailee letter in form and substance reasonably acceptable to Administrative Agent with respect to any Collateral stored at such terminal, tankage or facility.</w:t>
      </w:r>
    </w:p>
    <w:p>
      <w:pPr>
        <w:spacing w:after="0" w:line="14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any employee benefit plan within the meaning of Section 3(3) of ERISA (including a Pension Plan), maintained for employees of the Company or any ERISA Affiliate or any such Plan to which the Company or any ERISA Affiliate is required to contribute on behalf of any of its employees.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PMCULC</w:t>
      </w:r>
      <w:r>
        <w:rPr>
          <w:rFonts w:ascii="Arial" w:cs="Arial" w:eastAsia="Arial" w:hAnsi="Arial"/>
          <w:sz w:val="18"/>
          <w:szCs w:val="18"/>
          <w:color w:val="auto"/>
        </w:rPr>
        <w:t>” has the meaning specified in the introductory paragraph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Security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11.06(c)</w:t>
      </w:r>
      <w:r>
        <w:rPr>
          <w:rFonts w:ascii="Arial" w:cs="Arial" w:eastAsia="Arial" w:hAnsi="Arial"/>
          <w:sz w:val="18"/>
          <w:szCs w:val="18"/>
          <w:color w:val="auto"/>
        </w:rPr>
        <w:t>.</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advisors of such Person and of such Person’s Affiliates.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Reportable Event</w:t>
      </w:r>
      <w:r>
        <w:rPr>
          <w:rFonts w:ascii="Arial" w:cs="Arial" w:eastAsia="Arial" w:hAnsi="Arial"/>
          <w:sz w:val="16"/>
          <w:szCs w:val="16"/>
          <w:color w:val="auto"/>
        </w:rPr>
        <w:t>” means any of the events set forth in Section 4043(c) of ERISA, other than events for which the 30 day notice period has been waived.</w:t>
      </w:r>
    </w:p>
    <w:p>
      <w:pPr>
        <w:spacing w:after="0" w:line="19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(a) with respect to a Borrowing (including Canadian BA’s), conversion or continuation of Committed Loans, a Committed Loan Notice, (b) with respect to an L/C Credit Extension, a Letter of Credit Application, and (c) with respect to a Swing Line Loan, a Swing Line Loan Notice.</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as of any date of determination, Lenders having more than 50% of the Aggregate Commitments or, if the commitment of each Lender to make Loans and the obligation of the L/C Issuer to make L/C Credit Extensions have been terminated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Lenders holding in the aggregate more than 50% of the Total Outstandings (with the aggregate amount of each Lender’s risk participation and funded participation in L/C Obligations and Swing Line Loans being deemed “held” by such Lender for purposes of this definition);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Commitment of, and the portion of the Total Outstandings held or deemed held by, any Defaulting Lender shall be excluded for purposes of making a determination of Required Lenders.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280" w:right="299" w:bottom="1440" w:gutter="0" w:footer="0" w:header="0"/>
        </w:sectPr>
      </w:pPr>
    </w:p>
    <w:bookmarkStart w:id="65" w:name="page66"/>
    <w:bookmarkEnd w:id="65"/>
    <w:p>
      <w:pPr>
        <w:ind w:right="20"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xml:space="preserve">” means the chief executive officer, president, vice president, chief financial officer, treasurer, assistant treasurer or controller of a Loan Party, or any general partner thereof or any general partner of any such general partner or any sole member thereof, as the case may be, solely for purposes of the delivery of incumbency certificates and other certificates in respect of certain documents to be attached thereto pursuant to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4.01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4.02</w:t>
      </w:r>
      <w:r>
        <w:rPr>
          <w:rFonts w:ascii="Arial" w:cs="Arial" w:eastAsia="Arial" w:hAnsi="Arial"/>
          <w:sz w:val="16"/>
          <w:szCs w:val="16"/>
          <w:color w:val="auto"/>
        </w:rPr>
        <w:t xml:space="preserve">, the secretary or any assistant secretary of such Loan Party, or any general partner thereof or any general partner of any such general partner or any sole member thereof, as the case may be, and solely for purposes of notices given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any other officer or employee of the Company, or any general partner thereof or any general partner of any such general partner or any sole member thereof, as the case may be, designated by any of the foregoing officers in a notice to the Administrative Agent. Any document delivered hereunder that is signed by a Responsible Officer of a Loan Party, or any general partner thereof or any general partner of any such general partner or any sole member thereof, as the case may be, shall be conclusively presumed to have been authorized by all necessary corporate, partnership or other equivalent action on the part of such Loan Party, and such Responsible Officer shall be conclusively presumed to have acted on behalf of such Loan Party.</w:t>
      </w:r>
    </w:p>
    <w:p>
      <w:pPr>
        <w:spacing w:after="0" w:line="12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or other property, but excluding dividends or other distributions payable in Equity Interests in any Borrower) with respect to any Equity Interest of any Borrower, or any payment (whether in cash or other property, but excluding dividends or other distributions payable in Equity Interests in any Borrower), including any sinking fund or similar deposit, on account of the purchase, redemption, retirement, acquisition, cancellation or termination for value of any Equity Interest of any Borrower, or on account of any return of capital to holders of any Equity Interests of any Borrower.</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Restriction Exception</w:t>
      </w:r>
      <w:r>
        <w:rPr>
          <w:rFonts w:ascii="Arial" w:cs="Arial" w:eastAsia="Arial" w:hAnsi="Arial"/>
          <w:sz w:val="16"/>
          <w:szCs w:val="16"/>
          <w:color w:val="auto"/>
        </w:rPr>
        <w:t xml:space="preserve">” means (a) any applicable Law or any instrument governing Indebtedness or Equity Interests, or any applicable Law or any other agreement relating to any property, assets or operations of a Person whose Equity Interests are acquired, in whole or part, by any Borrower pursuant to an acquisition (whether by merger, consolidation, amalgamation or otherwise), as such instrument or agreement is in effect at the time of such acquisition (except with respect to Indebtedness incurred in connection with, or in contemplation of, such acquisition), or such applicable Law is then or thereafter in effect (as applicable), which is not applicable to such Borrower, or the property, assets or operations of such Borrower, other than the acquired Person, or the property, assets or operations of such acquired Person or such acquired Person’s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Indebtedness, the incurrence of such Indebtedness is not prohibited hereunder, (b) provisions with respect to the disposition or distribution of assets in joint venture agreements or other similar agreements entered into in the ordinary course of business, (c) (i) a lease, license or similar contract, which restricts in a customary manner the subletting, assignment, encumbrance or transfer of any property or asset that is subject thereto or the assignment, encumbrance or transfer of any such lease, license or other contract, (ii) mortgages, deeds of trust, pledges or other security instruments, the entry into which does not result in a Default, securing Indebtedness of any Borrower, which restricts the transfer of the property subject to such mortgages, deeds of trust, pledges or other security instruments, or (iii) customary provisions restricting disposition of, or encumbrances on, real property interests set forth in any reciprocal easements of any Borrower, (d) restrictions imposed pursuant to this Agreement and the other Loan Documents, (e) restrictions on the transfer 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66" w:name="page67"/>
    <w:bookmarkEnd w:id="66"/>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encumbrance of property or assets which are imposed by the holder of Liens on property or assets of any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the incurrence of such Lien nor any related Indebtedness results in a Default, (f) any agreement to, directly or indirectly, sell or otherwise dispose of assets or Equity Interests to any Person pending the closing of such sale,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sale is consummated in compliance with any applicable provisions of this Agreement, (g) net worth provisions in leases and other agreements entered into by any Borrower in the ordinary course of business, (h) an agreement governing Indebtedness incurred to refinance the Indebtedness issued, assumed or incurred pursuant to an agreement referred to in clauses (d) and (e)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provisions relating to such encumbrance or restriction contained in any such Indebtedness are no less favorable to the applicable Borrower in any material respect as determined by the board of directors of the General Partner in its reasonable and good faith judgment than the provisions relating to such encumbrance or restriction contained in agreements referred to in such clauses (d) and (e); and (i) Hybrid Securities or an indenture, document, agreement or security entered into or issued in connection with a Hybrid Security or otherwise constituting a restriction or condition on the payment of dividends or distributions by an issuer of a Hybrid Security.</w:t>
      </w:r>
    </w:p>
    <w:p>
      <w:pPr>
        <w:spacing w:after="0" w:line="123"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Revaluation Date</w:t>
      </w:r>
      <w:r>
        <w:rPr>
          <w:rFonts w:ascii="Arial" w:cs="Arial" w:eastAsia="Arial" w:hAnsi="Arial"/>
          <w:sz w:val="16"/>
          <w:szCs w:val="16"/>
          <w:color w:val="auto"/>
        </w:rPr>
        <w:t xml:space="preserve">” means (a) with respect to any Loan, each of the following: (i) each date of a Borrowing of a Eurocurrency Rate Loan denominated in Canadian Dollars, (ii) each date of a continuation of a Eurocurrency Rate Loan denominated in Canadian Dollars pursuant to </w:t>
      </w:r>
      <w:r>
        <w:rPr>
          <w:rFonts w:ascii="Arial" w:cs="Arial" w:eastAsia="Arial" w:hAnsi="Arial"/>
          <w:sz w:val="16"/>
          <w:szCs w:val="16"/>
          <w:u w:val="single" w:color="auto"/>
          <w:color w:val="auto"/>
        </w:rPr>
        <w:t>Section 2.02</w:t>
      </w:r>
      <w:r>
        <w:rPr>
          <w:rFonts w:ascii="Arial" w:cs="Arial" w:eastAsia="Arial" w:hAnsi="Arial"/>
          <w:sz w:val="16"/>
          <w:szCs w:val="16"/>
          <w:color w:val="auto"/>
        </w:rPr>
        <w:t>, and (iii) such additional dates as the Administrative Agent shall determine or the Required Lenders shall require; (b) with respect to any Letter of Credit, each of the following:</w:t>
      </w:r>
    </w:p>
    <w:p>
      <w:pPr>
        <w:spacing w:after="0" w:line="1" w:lineRule="exact"/>
        <w:rPr>
          <w:sz w:val="20"/>
          <w:szCs w:val="20"/>
          <w:color w:val="auto"/>
        </w:rPr>
      </w:pPr>
    </w:p>
    <w:p>
      <w:pPr>
        <w:ind w:firstLine="8"/>
        <w:spacing w:after="0" w:line="252" w:lineRule="auto"/>
        <w:tabs>
          <w:tab w:leader="none" w:pos="21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each date of issuance of a Letter of Credit denominated in Canadian Dollars, (ii) each date of an amendment of any such Letter of Credit having the effect of increasing the amount thereof (solely with respect to the increased amount), (iii) each date of any payment by the L/C Issuer under any Letter of Credit denominated in Canadian Dollars, (iv) in the case of the Existing Letters of Credit, the Closing Date, and (v) such additional dates as the Administrative Agent or the L/C Issuer shall determine or the Required Lenders shall require; (c) with respect to Loans and Letters of Credit, each date on which a Borrower would otherwise be required to make a prepayment or Cash Collateralize payment Obligations pursuant to </w:t>
      </w:r>
      <w:r>
        <w:rPr>
          <w:rFonts w:ascii="Arial" w:cs="Arial" w:eastAsia="Arial" w:hAnsi="Arial"/>
          <w:sz w:val="18"/>
          <w:szCs w:val="18"/>
          <w:u w:val="single" w:color="auto"/>
          <w:color w:val="auto"/>
        </w:rPr>
        <w:t>Section 2.05(d)</w:t>
      </w:r>
      <w:r>
        <w:rPr>
          <w:rFonts w:ascii="Arial" w:cs="Arial" w:eastAsia="Arial" w:hAnsi="Arial"/>
          <w:sz w:val="18"/>
          <w:szCs w:val="18"/>
          <w:color w:val="auto"/>
        </w:rPr>
        <w:t>; and (d) with respect to any Canadian BA, each of the following: (i) each date of the funding of such Canadian BA and (ii) such additional dates as the Administrative Agent shall determine or the Required Lenders shall require.</w:t>
      </w:r>
    </w:p>
    <w:p>
      <w:pPr>
        <w:spacing w:after="0" w:line="14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division of The McGraw-Hill Companies, Inc. and any successor to the ratings agency business thereof.</w:t>
      </w:r>
    </w:p>
    <w:p>
      <w:pPr>
        <w:spacing w:after="0" w:line="132"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Sale Value</w:t>
      </w:r>
      <w:r>
        <w:rPr>
          <w:rFonts w:ascii="Arial" w:cs="Arial" w:eastAsia="Arial" w:hAnsi="Arial"/>
          <w:sz w:val="16"/>
          <w:szCs w:val="16"/>
          <w:color w:val="auto"/>
        </w:rPr>
        <w:t xml:space="preserve">” means, as to Hedged Eligible Inventory subject to sales contracts and such corresponding sales contracts with respect thereto, an amount equal to the volumes of such Hedged Eligible Inventory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sale price with respect to which Lenders are financing the Cash and Carry Purchase (or refinancing the storage) thereof, minus all related storage, transportation and other applicable costs, as set forth therein.</w:t>
      </w:r>
    </w:p>
    <w:p>
      <w:pPr>
        <w:spacing w:after="0" w:line="10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Same Day Funds</w:t>
      </w:r>
      <w:r>
        <w:rPr>
          <w:rFonts w:ascii="Arial" w:cs="Arial" w:eastAsia="Arial" w:hAnsi="Arial"/>
          <w:sz w:val="16"/>
          <w:szCs w:val="16"/>
          <w:color w:val="auto"/>
        </w:rPr>
        <w:t>” means (a) with respect to disbursements and payments in Dollars, immediately available funds, and (b) with respect to disbursements and payments in Canadian Dollars, same day funds as may be determined by the Administrative Agent or the L/C Issuer, as the case may be, to be customary in the place of disbursement or payment for the settlement of international banking transactions in Canadian Dollars.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67" w:name="page68"/>
    <w:bookmarkEnd w:id="6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xml:space="preserve">” means, collectively, the Administrative Agent, the Lenders, the L/C Issuer, each co-agent or sub-agent appointed by the Administrative Agent from time to time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 and the other Persons a Borrower’s Obligations owing to which are or are purported to be secured by the Collateral under the terms of the Collateral Documents.</w:t>
      </w:r>
    </w:p>
    <w:p>
      <w:pPr>
        <w:spacing w:after="0" w:line="140" w:lineRule="exact"/>
        <w:rPr>
          <w:sz w:val="20"/>
          <w:szCs w:val="20"/>
          <w:color w:val="auto"/>
        </w:rPr>
      </w:pPr>
    </w:p>
    <w:p>
      <w:pPr>
        <w:ind w:left="180" w:firstLine="28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4.01(a)(iii)</w:t>
      </w:r>
      <w:r>
        <w:rPr>
          <w:rFonts w:ascii="Arial" w:cs="Arial" w:eastAsia="Arial" w:hAnsi="Arial"/>
          <w:sz w:val="18"/>
          <w:szCs w:val="18"/>
          <w:color w:val="auto"/>
        </w:rPr>
        <w:t>, as amended and restated by Amended and Restated Security Agreement dated June , 2012 by Borrowers in favor of Administrative Agent.</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Spot Rate</w:t>
      </w:r>
      <w:r>
        <w:rPr>
          <w:rFonts w:ascii="Arial" w:cs="Arial" w:eastAsia="Arial" w:hAnsi="Arial"/>
          <w:sz w:val="16"/>
          <w:szCs w:val="16"/>
          <w:color w:val="auto"/>
        </w:rPr>
        <w:t xml:space="preserve">” for a currency means the rate determined by the Administrative Agent or the L/C Issuer, as applicable, to be the rate quoted by the Person acting in such capacity as the spot rate for the purchase by such Person of such currency with another currency through its principal foreign exchange trading office at approximately 12:00 p.m. on the Business Day immediately preceding the date as of which the foreign exchange computation is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or the L/C Issuer, as the case may be, may obtain such spot rate from another comparable and major financial institution reasonably designated by the Administrative Agent or the L/C Issuer, as the case may be, if the Person acting in such capacity does not have as of the date of determination a spot buying rate available to it for any such currency;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L/C Issuer may use such spot rate quoted on the date as of which the foreign exchange computation is made in the case of any Letter of Credit denominated in Canadian Dollars.</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of a Person means a corporation, partnership, joint venture, limited liability company, unlimited liability company, unlimited liability corporation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Company.</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Supermajority Lenders</w:t>
      </w:r>
      <w:r>
        <w:rPr>
          <w:rFonts w:ascii="Arial" w:cs="Arial" w:eastAsia="Arial" w:hAnsi="Arial"/>
          <w:sz w:val="16"/>
          <w:szCs w:val="16"/>
          <w:color w:val="auto"/>
        </w:rPr>
        <w:t xml:space="preserve">” means, as of any date of determination, Lenders (or as the context may require, Lenders directly affected thereby) having more than 75% of the Aggregate Commitments (or, with respect to Lenders directly affected thereby, the aggregate Commitments of such Lenders) or, if the commitment of each Lender to make Loans and the obligation of the L/C Issuer to make L/C Credit Extensions have been terminated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Lenders (or Lenders directly affected thereby) holding in the aggregate more than 75% of the Total Outstandings (or, with respect to Lenders directly affected thereby, the aggregate Outstanding Amount of such Lenders) (with the aggregate amount of each Lender’s risk participation and funded participation in L/C Obligations and Swing Line Loans being deemed “held” by such Lender for purposes of this definition);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Commitment of, and the portion of the Total Outstandings held or deemed held by, any Defaulting Lender shall be excluded for purposes of making a determination of Supermajority Lenders.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80" w:right="279" w:bottom="1440" w:gutter="0" w:footer="0" w:header="0"/>
        </w:sectPr>
      </w:pPr>
    </w:p>
    <w:bookmarkStart w:id="68" w:name="page69"/>
    <w:bookmarkEnd w:id="68"/>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Swap Contract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u w:val="single" w:color="auto"/>
          <w:color w:val="auto"/>
        </w:rPr>
        <w:t>Master Agreement</w:t>
      </w:r>
      <w:r>
        <w:rPr>
          <w:rFonts w:ascii="Arial" w:cs="Arial" w:eastAsia="Arial" w:hAnsi="Arial"/>
          <w:sz w:val="16"/>
          <w:szCs w:val="16"/>
          <w:color w:val="auto"/>
        </w:rPr>
        <w:t>”), including any such obligations or liabilities under any Master Agreement; provided, however, that “Swap Contract” shall not include any physical sales or purchase contract.</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Termination Value</w:t>
      </w:r>
      <w:r>
        <w:rPr>
          <w:rFonts w:ascii="Arial" w:cs="Arial" w:eastAsia="Arial" w:hAnsi="Arial"/>
          <w:sz w:val="16"/>
          <w:szCs w:val="16"/>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Borrowing</w:t>
      </w:r>
      <w:r>
        <w:rPr>
          <w:rFonts w:ascii="Arial" w:cs="Arial" w:eastAsia="Arial" w:hAnsi="Arial"/>
          <w:sz w:val="18"/>
          <w:szCs w:val="18"/>
          <w:color w:val="auto"/>
        </w:rPr>
        <w:t xml:space="preserve">” means a borrowing of a Swing Line Loan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 Line Lender</w:t>
      </w:r>
      <w:r>
        <w:rPr>
          <w:rFonts w:ascii="Arial" w:cs="Arial" w:eastAsia="Arial" w:hAnsi="Arial"/>
          <w:sz w:val="16"/>
          <w:szCs w:val="16"/>
          <w:color w:val="auto"/>
        </w:rPr>
        <w:t>” means Bank of America in its capacity as provider of Swing Line Loans, or any successor swing line lender hereunder.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 Notice</w:t>
      </w:r>
      <w:r>
        <w:rPr>
          <w:rFonts w:ascii="Arial" w:cs="Arial" w:eastAsia="Arial" w:hAnsi="Arial"/>
          <w:sz w:val="18"/>
          <w:szCs w:val="18"/>
          <w:color w:val="auto"/>
        </w:rPr>
        <w:t xml:space="preserve">” means a notice of a Swing Line Borrowing pursuant to </w:t>
      </w:r>
      <w:r>
        <w:rPr>
          <w:rFonts w:ascii="Arial" w:cs="Arial" w:eastAsia="Arial" w:hAnsi="Arial"/>
          <w:sz w:val="18"/>
          <w:szCs w:val="18"/>
          <w:u w:val="single" w:color="auto"/>
          <w:color w:val="auto"/>
        </w:rPr>
        <w:t>Section 2.04(b)</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Note</w:t>
      </w:r>
      <w:r>
        <w:rPr>
          <w:rFonts w:ascii="Arial" w:cs="Arial" w:eastAsia="Arial" w:hAnsi="Arial"/>
          <w:sz w:val="18"/>
          <w:szCs w:val="18"/>
          <w:color w:val="auto"/>
        </w:rPr>
        <w:t xml:space="preserve">” means a promissory note made by a Borrower in favor of the Swing Line Lender evidencing Swing Line Loans made by the Swing Line Lender to such Borrower, substantially in the form of </w:t>
      </w:r>
      <w:r>
        <w:rPr>
          <w:rFonts w:ascii="Arial" w:cs="Arial" w:eastAsia="Arial" w:hAnsi="Arial"/>
          <w:sz w:val="18"/>
          <w:szCs w:val="18"/>
          <w:u w:val="single" w:color="auto"/>
          <w:color w:val="auto"/>
        </w:rPr>
        <w:t>Exhibit C-2</w:t>
      </w:r>
      <w:r>
        <w:rPr>
          <w:rFonts w:ascii="Arial" w:cs="Arial" w:eastAsia="Arial" w:hAnsi="Arial"/>
          <w:sz w:val="18"/>
          <w:szCs w:val="18"/>
          <w:color w:val="auto"/>
        </w:rPr>
        <w:t>.</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means an amount equal to the lesser of (a) $75,000,000 and (b) the Aggregate Commitments. The Swing Line Sublimit is part of, and not in addition to, the Aggregate Commitments.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69" w:name="page70"/>
    <w:bookmarkEnd w:id="69"/>
    <w:p>
      <w:pPr>
        <w:ind w:right="1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Syndication Agent</w:t>
      </w:r>
      <w:r>
        <w:rPr>
          <w:rFonts w:ascii="Arial" w:cs="Arial" w:eastAsia="Arial" w:hAnsi="Arial"/>
          <w:sz w:val="18"/>
          <w:szCs w:val="18"/>
          <w:color w:val="auto"/>
        </w:rPr>
        <w:t>” means each Person from time to time and at each relevant time acting in the capacity as a syndication agent, co-syndication agent, joint-syndication agent or similar syndication agent capacity in connection with this Agreement, and in connection with the First Amendment, Société Générale and Citibank, N.A. are acting in the capacity as co-syndication agents.</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w:t>
      </w:r>
      <w:r>
        <w:rPr>
          <w:rFonts w:ascii="Arial" w:cs="Arial" w:eastAsia="Arial" w:hAnsi="Arial"/>
          <w:sz w:val="16"/>
          <w:szCs w:val="16"/>
          <w:color w:val="auto"/>
        </w:rPr>
        <w:t xml:space="preserve">”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to the extent included in the foregoing, Operating Leases entered into in the ordinary course of business are excluded therefrom.</w:t>
      </w:r>
    </w:p>
    <w:p>
      <w:pPr>
        <w:spacing w:after="0" w:line="11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$50,000,000.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Outstandings</w:t>
      </w:r>
      <w:r>
        <w:rPr>
          <w:rFonts w:ascii="Arial" w:cs="Arial" w:eastAsia="Arial" w:hAnsi="Arial"/>
          <w:sz w:val="18"/>
          <w:szCs w:val="18"/>
          <w:color w:val="auto"/>
        </w:rPr>
        <w:t>” means the aggregate Outstanding Amount of all Loans, all L/C Obligations and all Canadian BA’s.</w:t>
      </w:r>
    </w:p>
    <w:p>
      <w:pPr>
        <w:spacing w:after="0" w:line="171"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Tri-Party Agreement</w:t>
      </w:r>
      <w:r>
        <w:rPr>
          <w:rFonts w:ascii="Arial" w:cs="Arial" w:eastAsia="Arial" w:hAnsi="Arial"/>
          <w:sz w:val="16"/>
          <w:szCs w:val="16"/>
          <w:color w:val="auto"/>
        </w:rPr>
        <w:t>” means (i) that certain Security Agreement and Assignment of Hedging Account and Agency Agreement dated April 20, 2004 among the Company, Administrative Agent (fka Fleet National Bank), and BNP Paribas Commodity Futures, Inc., (ii) that certain Security Agreement and Assignment of Hedging Account and Agency Agreement dated September 3, 2009 among the Company, Administrative Agent and Barclays Capital Inc., and (iii) each other security agreement and assignment of hedging account and agency agreement with and satisfactory to Administrative Agent.</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Committed Loan or a Swing Line Loan, its character as a Base Rate Loan, a Canadian Prime Rate Loan or a Eurocurrency Rate Loan.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1.02 Other Interpretive Provisions. </w:t>
      </w:r>
      <w:r>
        <w:rPr>
          <w:rFonts w:ascii="Arial" w:cs="Arial" w:eastAsia="Arial" w:hAnsi="Arial"/>
          <w:sz w:val="16"/>
          <w:szCs w:val="16"/>
          <w:color w:val="auto"/>
        </w:rPr>
        <w:t>With reference to this Agreement and each other Loan Document, unless otherwise specified herein or in such other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Loan Document:</w:t>
      </w:r>
    </w:p>
    <w:p>
      <w:pPr>
        <w:spacing w:after="0" w:line="165" w:lineRule="exact"/>
        <w:rPr>
          <w:sz w:val="20"/>
          <w:szCs w:val="20"/>
          <w:color w:val="auto"/>
        </w:rPr>
      </w:pPr>
    </w:p>
    <w:p>
      <w:pPr>
        <w:ind w:firstLine="464"/>
        <w:spacing w:after="0" w:line="255" w:lineRule="auto"/>
        <w:tabs>
          <w:tab w:leader="none" w:pos="6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definitions of terms herein shall apply equally to the singular and plural forms of the terms defined. Whenever the context may require, any pronoun shall include the corresponding masculine, feminine and neuter forms. The word “</w:t>
      </w:r>
      <w:r>
        <w:rPr>
          <w:rFonts w:ascii="Arial" w:cs="Arial" w:eastAsia="Arial" w:hAnsi="Arial"/>
          <w:sz w:val="18"/>
          <w:szCs w:val="18"/>
          <w:u w:val="single" w:color="auto"/>
          <w:color w:val="auto"/>
        </w:rPr>
        <w:t>or</w:t>
      </w:r>
      <w:r>
        <w:rPr>
          <w:rFonts w:ascii="Arial" w:cs="Arial" w:eastAsia="Arial" w:hAnsi="Arial"/>
          <w:sz w:val="18"/>
          <w:szCs w:val="18"/>
          <w:color w:val="auto"/>
        </w:rPr>
        <w:t>” is not exclusive and the words “</w:t>
      </w:r>
      <w:r>
        <w:rPr>
          <w:rFonts w:ascii="Arial" w:cs="Arial" w:eastAsia="Arial" w:hAnsi="Arial"/>
          <w:sz w:val="18"/>
          <w:szCs w:val="18"/>
          <w:u w:val="single" w:color="auto"/>
          <w:color w:val="auto"/>
        </w:rPr>
        <w:t>include</w:t>
      </w:r>
      <w:r>
        <w:rPr>
          <w:rFonts w:ascii="Arial" w:cs="Arial" w:eastAsia="Arial" w:hAnsi="Arial"/>
          <w:sz w:val="18"/>
          <w:szCs w:val="18"/>
          <w:color w:val="auto"/>
        </w:rPr>
        <w:t>,” “</w:t>
      </w:r>
      <w:r>
        <w:rPr>
          <w:rFonts w:ascii="Arial" w:cs="Arial" w:eastAsia="Arial" w:hAnsi="Arial"/>
          <w:sz w:val="18"/>
          <w:szCs w:val="18"/>
          <w:u w:val="single" w:color="auto"/>
          <w:color w:val="auto"/>
        </w:rPr>
        <w:t>includes</w:t>
      </w:r>
      <w:r>
        <w:rPr>
          <w:rFonts w:ascii="Arial" w:cs="Arial" w:eastAsia="Arial" w:hAnsi="Arial"/>
          <w:sz w:val="18"/>
          <w:szCs w:val="18"/>
          <w:color w:val="auto"/>
        </w:rPr>
        <w:t>” and “</w:t>
      </w:r>
      <w:r>
        <w:rPr>
          <w:rFonts w:ascii="Arial" w:cs="Arial" w:eastAsia="Arial" w:hAnsi="Arial"/>
          <w:sz w:val="18"/>
          <w:szCs w:val="18"/>
          <w:u w:val="single" w:color="auto"/>
          <w:color w:val="auto"/>
        </w:rPr>
        <w:t>including</w:t>
      </w:r>
      <w:r>
        <w:rPr>
          <w:rFonts w:ascii="Arial" w:cs="Arial" w:eastAsia="Arial" w:hAnsi="Arial"/>
          <w:sz w:val="18"/>
          <w:szCs w:val="18"/>
          <w:color w:val="auto"/>
        </w:rPr>
        <w:t>” shall be deemed to be followed by the phrase “without limitation.” The word “</w:t>
      </w:r>
      <w:r>
        <w:rPr>
          <w:rFonts w:ascii="Arial" w:cs="Arial" w:eastAsia="Arial" w:hAnsi="Arial"/>
          <w:sz w:val="18"/>
          <w:szCs w:val="18"/>
          <w:u w:val="single" w:color="auto"/>
          <w:color w:val="auto"/>
        </w:rPr>
        <w:t>will</w:t>
      </w:r>
      <w:r>
        <w:rPr>
          <w:rFonts w:ascii="Arial" w:cs="Arial" w:eastAsia="Arial" w:hAnsi="Arial"/>
          <w:sz w:val="18"/>
          <w:szCs w:val="18"/>
          <w:color w:val="auto"/>
        </w:rPr>
        <w:t>” shall be construed to have the same meaning and effect as the word “</w:t>
      </w:r>
      <w:r>
        <w:rPr>
          <w:rFonts w:ascii="Arial" w:cs="Arial" w:eastAsia="Arial" w:hAnsi="Arial"/>
          <w:sz w:val="18"/>
          <w:szCs w:val="18"/>
          <w:u w:val="single" w:color="auto"/>
          <w:color w:val="auto"/>
        </w:rPr>
        <w:t>shall</w:t>
      </w:r>
      <w:r>
        <w:rPr>
          <w:rFonts w:ascii="Arial" w:cs="Arial" w:eastAsia="Arial" w:hAnsi="Arial"/>
          <w:sz w:val="18"/>
          <w:szCs w:val="18"/>
          <w:color w:val="auto"/>
        </w:rPr>
        <w:t>.” Unless the context requires otherwise, (i) any definition of or reference to any agreement, instrument or other document (including any Organization Document) shall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70" w:name="page71"/>
    <w:bookmarkEnd w:id="70"/>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permitted assigns, (iii) the words “</w:t>
      </w:r>
      <w:r>
        <w:rPr>
          <w:rFonts w:ascii="Arial" w:cs="Arial" w:eastAsia="Arial" w:hAnsi="Arial"/>
          <w:sz w:val="16"/>
          <w:szCs w:val="16"/>
          <w:u w:val="single" w:color="auto"/>
          <w:color w:val="auto"/>
        </w:rPr>
        <w:t>hereto</w:t>
      </w:r>
      <w:r>
        <w:rPr>
          <w:rFonts w:ascii="Arial" w:cs="Arial" w:eastAsia="Arial" w:hAnsi="Arial"/>
          <w:sz w:val="16"/>
          <w:szCs w:val="16"/>
          <w:color w:val="auto"/>
        </w:rPr>
        <w:t>,” “</w:t>
      </w:r>
      <w:r>
        <w:rPr>
          <w:rFonts w:ascii="Arial" w:cs="Arial" w:eastAsia="Arial" w:hAnsi="Arial"/>
          <w:sz w:val="16"/>
          <w:szCs w:val="16"/>
          <w:u w:val="single" w:color="auto"/>
          <w:color w:val="auto"/>
        </w:rPr>
        <w:t>herein</w:t>
      </w:r>
      <w:r>
        <w:rPr>
          <w:rFonts w:ascii="Arial" w:cs="Arial" w:eastAsia="Arial" w:hAnsi="Arial"/>
          <w:sz w:val="16"/>
          <w:szCs w:val="16"/>
          <w:color w:val="auto"/>
        </w:rPr>
        <w:t>,” “</w:t>
      </w:r>
      <w:r>
        <w:rPr>
          <w:rFonts w:ascii="Arial" w:cs="Arial" w:eastAsia="Arial" w:hAnsi="Arial"/>
          <w:sz w:val="16"/>
          <w:szCs w:val="16"/>
          <w:u w:val="single" w:color="auto"/>
          <w:color w:val="auto"/>
        </w:rPr>
        <w:t>hereof</w:t>
      </w:r>
      <w:r>
        <w:rPr>
          <w:rFonts w:ascii="Arial" w:cs="Arial" w:eastAsia="Arial" w:hAnsi="Arial"/>
          <w:sz w:val="16"/>
          <w:szCs w:val="16"/>
          <w:color w:val="auto"/>
        </w:rPr>
        <w:t>” and “</w:t>
      </w:r>
      <w:r>
        <w:rPr>
          <w:rFonts w:ascii="Arial" w:cs="Arial" w:eastAsia="Arial" w:hAnsi="Arial"/>
          <w:sz w:val="16"/>
          <w:szCs w:val="16"/>
          <w:u w:val="single" w:color="auto"/>
          <w:color w:val="auto"/>
        </w:rPr>
        <w:t>hereunder</w:t>
      </w:r>
      <w:r>
        <w:rPr>
          <w:rFonts w:ascii="Arial" w:cs="Arial" w:eastAsia="Arial" w:hAnsi="Arial"/>
          <w:sz w:val="16"/>
          <w:szCs w:val="16"/>
          <w:color w:val="auto"/>
        </w:rPr>
        <w:t>,” and words of similar import when used in any Loan Document, shall be construed to refer to such Loan Document in its entirety and not to any particular provision thereof, unless expressly so limited,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6"/>
          <w:szCs w:val="16"/>
          <w:u w:val="single" w:color="auto"/>
          <w:color w:val="auto"/>
        </w:rPr>
        <w:t>asset</w:t>
      </w:r>
      <w:r>
        <w:rPr>
          <w:rFonts w:ascii="Arial" w:cs="Arial" w:eastAsia="Arial" w:hAnsi="Arial"/>
          <w:sz w:val="16"/>
          <w:szCs w:val="16"/>
          <w:color w:val="auto"/>
        </w:rPr>
        <w:t>” and “</w:t>
      </w:r>
      <w:r>
        <w:rPr>
          <w:rFonts w:ascii="Arial" w:cs="Arial" w:eastAsia="Arial" w:hAnsi="Arial"/>
          <w:sz w:val="16"/>
          <w:szCs w:val="16"/>
          <w:u w:val="single" w:color="auto"/>
          <w:color w:val="auto"/>
        </w:rPr>
        <w:t>property</w:t>
      </w:r>
      <w:r>
        <w:rPr>
          <w:rFonts w:ascii="Arial" w:cs="Arial" w:eastAsia="Arial" w:hAnsi="Arial"/>
          <w:sz w:val="16"/>
          <w:szCs w:val="16"/>
          <w:color w:val="auto"/>
        </w:rPr>
        <w:t>” shall be construed to have the same meaning and effect and to refer to any and all tangible and intangible assets and properties, including cash, securities, accounts and contract rights.</w:t>
      </w:r>
    </w:p>
    <w:p>
      <w:pPr>
        <w:spacing w:after="0" w:line="120" w:lineRule="exact"/>
        <w:rPr>
          <w:sz w:val="20"/>
          <w:szCs w:val="20"/>
          <w:color w:val="auto"/>
        </w:rPr>
      </w:pPr>
    </w:p>
    <w:p>
      <w:pPr>
        <w:ind w:right="160" w:firstLine="464"/>
        <w:spacing w:after="0" w:line="268"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180" w:firstLine="464"/>
        <w:spacing w:after="0" w:line="268"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1.03 Accounting Terms.</w:t>
      </w:r>
    </w:p>
    <w:p>
      <w:pPr>
        <w:spacing w:after="0" w:line="177" w:lineRule="exact"/>
        <w:rPr>
          <w:sz w:val="20"/>
          <w:szCs w:val="20"/>
          <w:color w:val="auto"/>
        </w:rPr>
      </w:pPr>
    </w:p>
    <w:p>
      <w:pPr>
        <w:jc w:val="both"/>
        <w:ind w:right="160" w:firstLine="464"/>
        <w:spacing w:after="0" w:line="256"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as otherwise specifically prescribed herein.</w:t>
      </w:r>
    </w:p>
    <w:p>
      <w:pPr>
        <w:spacing w:after="0" w:line="143" w:lineRule="exact"/>
        <w:rPr>
          <w:rFonts w:ascii="Arial" w:cs="Arial" w:eastAsia="Arial" w:hAnsi="Arial"/>
          <w:sz w:val="18"/>
          <w:szCs w:val="18"/>
          <w:color w:val="auto"/>
        </w:rPr>
      </w:pPr>
    </w:p>
    <w:p>
      <w:pPr>
        <w:ind w:firstLine="464"/>
        <w:spacing w:after="0" w:line="291" w:lineRule="auto"/>
        <w:tabs>
          <w:tab w:leader="none" w:pos="705"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Changes in GAAP</w:t>
      </w:r>
      <w:r>
        <w:rPr>
          <w:rFonts w:ascii="Arial" w:cs="Arial" w:eastAsia="Arial" w:hAnsi="Arial"/>
          <w:sz w:val="16"/>
          <w:szCs w:val="16"/>
          <w:color w:val="auto"/>
        </w:rPr>
        <w:t xml:space="preserve">. If at any time any change in GAAP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Arial" w:cs="Arial" w:eastAsia="Arial" w:hAnsi="Arial"/>
          <w:sz w:val="16"/>
          <w:szCs w:val="16"/>
          <w:u w:val="single" w:color="auto"/>
          <w:color w:val="auto"/>
        </w:rPr>
        <w:t>provided that</w:t>
      </w:r>
      <w:r>
        <w:rPr>
          <w:rFonts w:ascii="Arial" w:cs="Arial" w:eastAsia="Arial" w:hAnsi="Arial"/>
          <w:sz w:val="16"/>
          <w:szCs w:val="16"/>
          <w:color w:val="auto"/>
        </w:rPr>
        <w:t>, until so amended, (i) such ratio or requirement shall continue to be computed in accordance with GAAP prior to such change therein and (ii) the Company shall provide to the Administrative Agent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80" w:right="279" w:bottom="1440" w:gutter="0" w:footer="0" w:header="0"/>
        </w:sectPr>
      </w:pPr>
    </w:p>
    <w:bookmarkStart w:id="71" w:name="page72"/>
    <w:bookmarkEnd w:id="71"/>
    <w:p>
      <w:pPr>
        <w:ind w:right="80"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1.04 Rounding</w:t>
      </w:r>
      <w:r>
        <w:rPr>
          <w:rFonts w:ascii="Arial" w:cs="Arial" w:eastAsia="Arial" w:hAnsi="Arial"/>
          <w:sz w:val="18"/>
          <w:szCs w:val="18"/>
          <w:color w:val="auto"/>
        </w:rPr>
        <w:t>. Any financial ratios required to be maintained by the Company pursuant to this Agreement shall be calculated by dividing the appropriate</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32" w:lineRule="exact"/>
        <w:rPr>
          <w:sz w:val="20"/>
          <w:szCs w:val="20"/>
          <w:color w:val="auto"/>
        </w:rPr>
      </w:pPr>
    </w:p>
    <w:p>
      <w:pPr>
        <w:ind w:right="840" w:firstLine="456"/>
        <w:spacing w:after="0" w:line="275" w:lineRule="auto"/>
        <w:rPr>
          <w:sz w:val="20"/>
          <w:szCs w:val="20"/>
          <w:color w:val="auto"/>
        </w:rPr>
      </w:pPr>
      <w:r>
        <w:rPr>
          <w:rFonts w:ascii="Arial" w:cs="Arial" w:eastAsia="Arial" w:hAnsi="Arial"/>
          <w:sz w:val="18"/>
          <w:szCs w:val="18"/>
          <w:b w:val="1"/>
          <w:bCs w:val="1"/>
          <w:color w:val="auto"/>
        </w:rPr>
        <w:t xml:space="preserve">1.05 Times of Day. </w:t>
      </w:r>
      <w:r>
        <w:rPr>
          <w:rFonts w:ascii="Arial" w:cs="Arial" w:eastAsia="Arial" w:hAnsi="Arial"/>
          <w:sz w:val="18"/>
          <w:szCs w:val="18"/>
          <w:color w:val="auto"/>
        </w:rPr>
        <w:t>Unless otherwise specified, all references herein to times of day shall be references to Eastern time (daylight or standard,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1.06 Exchange Rates; Currency Equivalents. </w:t>
      </w:r>
      <w:r>
        <w:rPr>
          <w:rFonts w:ascii="Arial" w:cs="Arial" w:eastAsia="Arial" w:hAnsi="Arial"/>
          <w:sz w:val="16"/>
          <w:szCs w:val="16"/>
          <w:color w:val="auto"/>
        </w:rPr>
        <w:t>(a) The Administrative Agent or the L/C Issuer, as applicable, shall determine the Spot Rates as of each</w:t>
      </w:r>
      <w:r>
        <w:rPr>
          <w:rFonts w:ascii="Arial" w:cs="Arial" w:eastAsia="Arial" w:hAnsi="Arial"/>
          <w:sz w:val="16"/>
          <w:szCs w:val="16"/>
          <w:b w:val="1"/>
          <w:bCs w:val="1"/>
          <w:color w:val="auto"/>
        </w:rPr>
        <w:t xml:space="preserve"> </w:t>
      </w:r>
      <w:r>
        <w:rPr>
          <w:rFonts w:ascii="Arial" w:cs="Arial" w:eastAsia="Arial" w:hAnsi="Arial"/>
          <w:sz w:val="16"/>
          <w:szCs w:val="16"/>
          <w:color w:val="auto"/>
        </w:rPr>
        <w:t>Revaluation Date to be used for calculating Dollar Equivalent amounts of Credit Extensions and Outstanding Amounts denominated in Canadian Dollars. Such Spot Rates shall become effective as of such Revaluation Date and shall be the Spot Rates employed in converting any amounts between the applicable currencies until the next Revaluation Date to occur. The Administrative Agent or the L/C Issuer, as applicable, shall notify the Company from time to time upon request of the Spot Rate in effect at such time and the determination thereof.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L/C Issuer, as applicable.</w:t>
      </w:r>
    </w:p>
    <w:p>
      <w:pPr>
        <w:spacing w:after="0" w:line="119" w:lineRule="exact"/>
        <w:rPr>
          <w:sz w:val="20"/>
          <w:szCs w:val="20"/>
          <w:color w:val="auto"/>
        </w:rPr>
      </w:pPr>
    </w:p>
    <w:p>
      <w:pPr>
        <w:ind w:right="40" w:firstLine="464"/>
        <w:spacing w:after="0" w:line="255" w:lineRule="auto"/>
        <w:tabs>
          <w:tab w:leader="none" w:pos="7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Wherever in this Agreement in connection with a Committed Borrowing, conversion, continuation or prepayment of a Eurocurrency Rate Loan or the issuance, amendment or extension of a Letter of Credit, an amount, such as a required minimum or multiple amount, is expressed in Dollars, but such Committed Borrowing, Eurocurrency Rate Loan or Letter of Credit is denominated in Canadian Dollars, such amount shall be the Canadian Dollar Equivalent of such Dollar amount (rounded to the nearest unit of Canadian Dollars, with 0.5 of a unit being rounded upward), as determined by the Administrative Agent or the L/C Issuer, as the case may be.</w:t>
      </w:r>
    </w:p>
    <w:p>
      <w:pPr>
        <w:spacing w:after="0" w:line="13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1.07 Letter of Credit Amounts. </w:t>
      </w:r>
      <w:r>
        <w:rPr>
          <w:rFonts w:ascii="Arial" w:cs="Arial" w:eastAsia="Arial" w:hAnsi="Arial"/>
          <w:sz w:val="16"/>
          <w:szCs w:val="16"/>
          <w:color w:val="auto"/>
        </w:rPr>
        <w:t>Unless otherwise specified herein, the amount of a Letter of Credit at any time shall be deemed to be the Dollar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Equivalent of the stated amount of such Letter of Credit in effect at such time; provided, however,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with respect to any Letter of Credit that, by its terms or the terms of any Issuer Document related thereto, provides for one or more automatic reductions in the stated amount thereof, the amount of such Letter of Credit shall be deemed to be the Dollar Equivalent of the amount available to be drawn under such Letter of Credit at such time.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 THE COMMITMENTS AND CREDIT EXTENSIONS</w:t>
      </w:r>
    </w:p>
    <w:p>
      <w:pPr>
        <w:spacing w:after="0" w:line="17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color w:val="auto"/>
        </w:rPr>
        <w:t xml:space="preserve">2.01 Committed Loans. </w:t>
      </w:r>
      <w:r>
        <w:rPr>
          <w:rFonts w:ascii="Arial" w:cs="Arial" w:eastAsia="Arial" w:hAnsi="Arial"/>
          <w:sz w:val="16"/>
          <w:szCs w:val="16"/>
          <w:color w:val="auto"/>
        </w:rPr>
        <w:t>Subject to the terms and conditions set forth herein, each Lender severally agrees to make loans to finance Hedged Eligible</w:t>
      </w:r>
      <w:r>
        <w:rPr>
          <w:rFonts w:ascii="Arial" w:cs="Arial" w:eastAsia="Arial" w:hAnsi="Arial"/>
          <w:sz w:val="16"/>
          <w:szCs w:val="16"/>
          <w:b w:val="1"/>
          <w:bCs w:val="1"/>
          <w:color w:val="auto"/>
        </w:rPr>
        <w:t xml:space="preserve"> </w:t>
      </w:r>
      <w:r>
        <w:rPr>
          <w:rFonts w:ascii="Arial" w:cs="Arial" w:eastAsia="Arial" w:hAnsi="Arial"/>
          <w:sz w:val="16"/>
          <w:szCs w:val="16"/>
          <w:color w:val="auto"/>
        </w:rPr>
        <w:t>Inventory (each such loan, a “</w:t>
      </w:r>
      <w:r>
        <w:rPr>
          <w:rFonts w:ascii="Arial" w:cs="Arial" w:eastAsia="Arial" w:hAnsi="Arial"/>
          <w:sz w:val="16"/>
          <w:szCs w:val="16"/>
          <w:u w:val="single" w:color="auto"/>
          <w:color w:val="auto"/>
        </w:rPr>
        <w:t>Committed Loan</w:t>
      </w:r>
      <w:r>
        <w:rPr>
          <w:rFonts w:ascii="Arial" w:cs="Arial" w:eastAsia="Arial" w:hAnsi="Arial"/>
          <w:sz w:val="16"/>
          <w:szCs w:val="16"/>
          <w:color w:val="auto"/>
        </w:rPr>
        <w:t xml:space="preserve">”) to each requesting Borrower in Dollars or in Canadian Dollars, as so requested, from time to time, and accept drafts of Canadian Bankers’ Acceptances issued under this Agreement by PMCULC, in each case, on a several basis, on any Business Day during the Availability Period, in an aggregate principal amount not to exceed at any time outstanding the amount of such Lender’s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immediately after giving effect to any Committed Borrowing and determined as of the date on which such Committed Loans are made, (i) the Total Outstandings shall not exceed the Aggregate Commitments, (ii) the Outstanding Amount of all Loans, all L/C Obligations and all Canadian BA’s of any Borrower does not exceed such Borrower’s Collateral Value, and (iii) the aggregate Outstanding Amount of the Committed Loans of any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Applicable Percentage of the Outstanding Amount of all L/C Obligations,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Applicable Percentage of the Outstanding Amount of all Swing Line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Canadian BA’s (or Canadian BA Equivalent Loans) accepted from PMCULC shall not exceed such Lender’s Commitment. Within the limits of each Lender’s Commitment, and subject to the other terms and conditions hereof, each requesting Borrower may borrow under this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prepay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reborrow under this </w:t>
      </w:r>
      <w:r>
        <w:rPr>
          <w:rFonts w:ascii="Arial" w:cs="Arial" w:eastAsia="Arial" w:hAnsi="Arial"/>
          <w:sz w:val="16"/>
          <w:szCs w:val="16"/>
          <w:u w:val="single" w:color="auto"/>
          <w:color w:val="auto"/>
        </w:rPr>
        <w:t>Section 2.01</w:t>
      </w:r>
      <w:r>
        <w:rPr>
          <w:rFonts w:ascii="Arial" w:cs="Arial" w:eastAsia="Arial" w:hAnsi="Arial"/>
          <w:sz w:val="16"/>
          <w:szCs w:val="16"/>
          <w:color w:val="auto"/>
        </w:rPr>
        <w:t>. Committed Loans may be Base Rate Loans (with respect to Loans denominated in Dollars) or Eurocurrency Rate Loans, as further provided herein.</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 Borrowings, Conversions and Continuations of Committed Loans.</w:t>
      </w:r>
    </w:p>
    <w:p>
      <w:pPr>
        <w:spacing w:after="0" w:line="96" w:lineRule="exact"/>
        <w:rPr>
          <w:sz w:val="20"/>
          <w:szCs w:val="20"/>
          <w:color w:val="auto"/>
        </w:rPr>
      </w:pPr>
    </w:p>
    <w:p>
      <w:pPr>
        <w:ind w:firstLine="464"/>
        <w:spacing w:after="0" w:line="286" w:lineRule="auto"/>
        <w:tabs>
          <w:tab w:leader="none" w:pos="695"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Each Committed Borrowing, each conversion of Committed Loans from one Type to the other, and each continuation of Eurocurrency Rate Committed Loans shall be made upon a Borrower’s irrevocable (subject to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notice to the Administrative Agent, which may be given by telephone. Each such notice must be received by the Administrative Agent not later than 12:00 p.m. (i) three Business Days prior to the requested date of (A) any Borrowing of Eurocurrency Rate Committed Loans (as to Canadian Dollars), (B) any continuation of Eurocurrency Rate Committed Loans (as to Canadian Dollars) or (C) any Borrowing of Canadian BA’s, (ii) two Business Days prior to the requested date of (A) any Borrowing of Eurocurrency Rate Committed Loans (with respect to Loans denominated in Dollars), or (B) any conversion to or continuation of Eurocurrency Rate Committed Loans (with respect to Loans denominated in Dollars), and (iii) on the requested date of any Borrowing of or conversion to Base Rate Committed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Borrower wishes to request Eurocurrency Rate Committed Loans (with respect to Loans denominated in Dollars) having an Interest Period other than seven days, fourteen days, one month, two months, three months or six months in duration as provided in the definition of “Interest Period,” the applicable notice must be received by the Administrative Agent not later than 12:00 p.m. three Business Days prior to the requested date of such Borrowing, conversion or continuation, whereupon the Administrative Agent (x) shall give prompt notice to the Lenders of such request and determine whether the requested Interest Period is acceptable to all such Lenders and (y) not later than 12:00 p.m., two Business Days before the requested date of such Borrowing, conversion or continuation, shall notify such Borrower (which notice may be by telephone) whether or not the requested Interest Period has been consented to by all the Lenders.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73" w:name="page74"/>
    <w:bookmarkEnd w:id="7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Each telephonic notice by a Borrower pursuant to this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must be confirmed promptly by delivery to the Administrative Agent of a written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Committed Loan Notice, appropriately completed and signed by a Responsible Officer of such Borrower. Each Borrowing of, conversion to or continuation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Eurocurrency Rate Committed Loans shall be (A) with respect to Loans denominated in Dollars, in a principal amount of $1,000,000 or a whole multiple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$100,000 in excess thereof and (B) with respect to Loans denominated in Canadian Dollars, in a principal amount of C$1,000,000 or a whole multiple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C$100,000 in excess thereof. Except as provided in </w:t>
      </w:r>
      <w:r>
        <w:rPr>
          <w:rFonts w:ascii="Arial" w:cs="Arial" w:eastAsia="Arial" w:hAnsi="Arial"/>
          <w:sz w:val="16"/>
          <w:szCs w:val="16"/>
          <w:u w:val="single" w:color="auto"/>
          <w:color w:val="auto"/>
        </w:rPr>
        <w:t>Sections 2.03(c)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2.04(c)</w:t>
      </w:r>
      <w:r>
        <w:rPr>
          <w:rFonts w:ascii="Arial" w:cs="Arial" w:eastAsia="Arial" w:hAnsi="Arial"/>
          <w:sz w:val="16"/>
          <w:szCs w:val="16"/>
          <w:color w:val="auto"/>
        </w:rPr>
        <w:t>, each Borrowing of or conversion to Base Rate Committed Loans shall be in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of $1,000,000 or a whole multiple of $100,000 in excess thereof.</w:t>
      </w:r>
    </w:p>
    <w:p>
      <w:pPr>
        <w:spacing w:after="0" w:line="16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Each Committed Loan Notice (whether telephonic or written) shall specify (i) whether such Borrower is requesting a Committed Borrowing, a conversion of Committed Loans from one Type to the other, or a continuation of Eurocurrency Rate Committed Loans, (ii) the requested date of the Borrowing, conversion or continuation, as the case may be (which shall be a Business Day), (iii) the principal amount of Committed Loans to be borrowed, converted or continued (or the aggregate face amount of the Canadian BA’s to be accepted, if applicable), (iv) the Type of Committed Loans to be borrowed or to which existing Committed Loans are to be converted, (v) if applicable, the duration of the Interest Period with respect thereto (or the maturity of the Canadian BA’s, if applicable), (vi) the currency of the Committed Loans to be borrowed and (vii) the applicable Borrower. If a Borrower fails to specify a currency in a Committed Loan Notice requesting a Borrowing, then the Committed Loans so requested shall be made in Dollars. If a Borrower fails to specify a Type of Committed Loan in a Committed Loan Notice or if a Borrower fails to give a timely notice requesting a conversion or continuation, then the applicable Committed Loans shall be made as, or converted to Base Rate Loans (with respect to Loans denominated in Dollars);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a failure to timely request a continuation of Committed Loans denominated in Canadian Dollars, such Loans shall be continued as Eurocurrency Rate Loans in their original currency with an Interest Period of one month. Any such automatic conversion to Base Rate Loans shall be effective as of the last day of the Interest Period then in effect with respect to the applicable Eurocurrency Rate Committed Loans. If a Borrower requests a Borrowing of, conversion to, or continuation of Eurocurrency Rate Committed Loans in any such Committed Loan Notice, but fails to specify an Interest Period, it will be deemed to have specified an Interest Period of one month. No Committed Loan may be converted into or continued as a Committed Loan denominated in a different currency, but instead must be prepaid in the original currency of such Committed Loan and reborrowed in the other currency.</w:t>
      </w:r>
    </w:p>
    <w:p>
      <w:pPr>
        <w:spacing w:after="0" w:line="126" w:lineRule="exact"/>
        <w:rPr>
          <w:sz w:val="20"/>
          <w:szCs w:val="20"/>
          <w:color w:val="auto"/>
        </w:rPr>
      </w:pPr>
    </w:p>
    <w:p>
      <w:pPr>
        <w:ind w:right="20" w:firstLine="464"/>
        <w:spacing w:after="0" w:line="290" w:lineRule="auto"/>
        <w:tabs>
          <w:tab w:leader="none" w:pos="705"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Following receipt of a Committed Loan Notice, the Administrative Agent shall promptly notify each Lender of the amount (and currency) of its Applicable Percentage of the applicable Committed Loans or Canadian BA’s, and if no timely notice of a conversion or continuation is provided by the Company, the Administrative Agent shall notify each Lender of the details of any automatic conversion to Base Rate Loans described in the preceding subsection. In the case of a Committed Borrowing, each Lender shall make the amount of its Committed Loan available to the Administrative Agent in Same Day Funds at the Administrative Agent’s Office for the applicable currency not later than 2:00 p.m., in the case of any Committed Loan denominated in Dollars, and not later than the Applicable Time specified by the Administrative Agent in the case of any Committed Loan in Canadian Dollars (or, in the case of Canadian BA’s, such amount with respect thereto in accordance with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2.01A)</w:t>
      </w:r>
      <w:r>
        <w:rPr>
          <w:rFonts w:ascii="Arial" w:cs="Arial" w:eastAsia="Arial" w:hAnsi="Arial"/>
          <w:sz w:val="16"/>
          <w:szCs w:val="16"/>
          <w:color w:val="auto"/>
        </w:rPr>
        <w:t>, in each case on the Business Day specified in the applicable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74" w:name="page75"/>
    <w:bookmarkEnd w:id="74"/>
    <w:p>
      <w:pPr>
        <w:ind w:right="3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Committed Loan Notice. Upon satisfaction of the applicable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(and, if such Borrowing is the initial Credit Extension, </w:t>
      </w:r>
      <w:r>
        <w:rPr>
          <w:rFonts w:ascii="Arial" w:cs="Arial" w:eastAsia="Arial" w:hAnsi="Arial"/>
          <w:sz w:val="16"/>
          <w:szCs w:val="16"/>
          <w:u w:val="single" w:color="auto"/>
          <w:color w:val="auto"/>
        </w:rPr>
        <w:t>Section 4.01</w:t>
      </w:r>
      <w:r>
        <w:rPr>
          <w:rFonts w:ascii="Arial" w:cs="Arial" w:eastAsia="Arial" w:hAnsi="Arial"/>
          <w:sz w:val="16"/>
          <w:szCs w:val="16"/>
          <w:color w:val="auto"/>
        </w:rPr>
        <w:t>), the Administrative Agent shall make all funds so received available to the applicable Borrower in like funds as received by the Administrative Agent, at the Company’s election, either by (i) crediting the account of such Borrower on the books of Bank of America with the amount of such funds or</w:t>
      </w:r>
    </w:p>
    <w:p>
      <w:pPr>
        <w:spacing w:after="0" w:line="1" w:lineRule="exact"/>
        <w:rPr>
          <w:sz w:val="20"/>
          <w:szCs w:val="20"/>
          <w:color w:val="auto"/>
        </w:rPr>
      </w:pPr>
    </w:p>
    <w:p>
      <w:pPr>
        <w:ind w:firstLine="8"/>
        <w:spacing w:after="0" w:line="295" w:lineRule="auto"/>
        <w:tabs>
          <w:tab w:leader="none" w:pos="258"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wire transfer of such funds, in each case in accordance with instructions provided to the Administrative Agent by the Company as set forth in the Committed Loan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immediately prior to delivery by the applicable Borrower of the Committed Loan Notice with respect to such Borrowing, there are L/C Borrowings in such currency outstanding, then the proceeds of such Borrowing,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shall be applied to the payment in full of any such L/C Borrowings, and </w:t>
      </w:r>
      <w:r>
        <w:rPr>
          <w:rFonts w:ascii="Arial" w:cs="Arial" w:eastAsia="Arial" w:hAnsi="Arial"/>
          <w:sz w:val="16"/>
          <w:szCs w:val="16"/>
          <w:u w:val="single" w:color="auto"/>
          <w:color w:val="auto"/>
        </w:rPr>
        <w:t>second</w:t>
      </w:r>
      <w:r>
        <w:rPr>
          <w:rFonts w:ascii="Arial" w:cs="Arial" w:eastAsia="Arial" w:hAnsi="Arial"/>
          <w:sz w:val="16"/>
          <w:szCs w:val="16"/>
          <w:color w:val="auto"/>
        </w:rPr>
        <w:t>, shall be made available to the applicable Borrower as provided above.</w:t>
      </w:r>
    </w:p>
    <w:p>
      <w:pPr>
        <w:spacing w:after="0" w:line="115" w:lineRule="exact"/>
        <w:rPr>
          <w:rFonts w:ascii="Arial" w:cs="Arial" w:eastAsia="Arial" w:hAnsi="Arial"/>
          <w:sz w:val="16"/>
          <w:szCs w:val="16"/>
          <w:color w:val="auto"/>
        </w:rPr>
      </w:pPr>
    </w:p>
    <w:p>
      <w:pPr>
        <w:ind w:firstLine="464"/>
        <w:spacing w:after="0" w:line="294" w:lineRule="auto"/>
        <w:tabs>
          <w:tab w:leader="none" w:pos="695" w:val="left"/>
        </w:tabs>
        <w:numPr>
          <w:ilvl w:val="1"/>
          <w:numId w:val="33"/>
        </w:numPr>
        <w:rPr>
          <w:rFonts w:ascii="Arial" w:cs="Arial" w:eastAsia="Arial" w:hAnsi="Arial"/>
          <w:sz w:val="16"/>
          <w:szCs w:val="16"/>
          <w:color w:val="auto"/>
        </w:rPr>
      </w:pPr>
      <w:r>
        <w:rPr>
          <w:rFonts w:ascii="Arial" w:cs="Arial" w:eastAsia="Arial" w:hAnsi="Arial"/>
          <w:sz w:val="16"/>
          <w:szCs w:val="16"/>
          <w:color w:val="auto"/>
        </w:rPr>
        <w:t>Except as otherwise provided herein, a Eurocurrency Rate Committed Loan may be continued or converted only on the last day of an Interest Period for such Eurocurrency Rate Committed Loan. Upon the occurrence and during the continuation of an Event of Default, no Loans may be requested as, converted to or continued as Eurocurrency Rate Committed Loans (whether in Dollars or Canadian Dollars) without the consent of the Required Lenders, and the Required Lenders may demand that any or all of the then outstanding Eurocurrency Rate Loans denominated in Canadian Dollars be prepaid, or redenominated into Dollars in the amount of the Dollar Equivalent thereof, in each case, on the last day of the then current Interest Period with respect thereto.</w:t>
      </w:r>
    </w:p>
    <w:p>
      <w:pPr>
        <w:spacing w:after="0" w:line="115" w:lineRule="exact"/>
        <w:rPr>
          <w:rFonts w:ascii="Arial" w:cs="Arial" w:eastAsia="Arial" w:hAnsi="Arial"/>
          <w:sz w:val="16"/>
          <w:szCs w:val="16"/>
          <w:color w:val="auto"/>
        </w:rPr>
      </w:pPr>
    </w:p>
    <w:p>
      <w:pPr>
        <w:ind w:firstLine="464"/>
        <w:spacing w:after="0" w:line="256" w:lineRule="auto"/>
        <w:tabs>
          <w:tab w:leader="none" w:pos="705"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Company and the Lenders of the interest rate applicable to any Interest Period for Eurocurrency Rate Committed Loans upon determination of such interest rate. At any time that Base Rate Loans are outstanding, the Administrative Agent shall notify the Company and the Lenders of any change in Bank of America’s prime rate used in determining the Base Rate and the effective date thereof promptly following the public announcement of such change.</w:t>
      </w:r>
    </w:p>
    <w:p>
      <w:pPr>
        <w:spacing w:after="0" w:line="143" w:lineRule="exact"/>
        <w:rPr>
          <w:rFonts w:ascii="Arial" w:cs="Arial" w:eastAsia="Arial" w:hAnsi="Arial"/>
          <w:sz w:val="18"/>
          <w:szCs w:val="18"/>
          <w:color w:val="auto"/>
        </w:rPr>
      </w:pPr>
    </w:p>
    <w:p>
      <w:pPr>
        <w:ind w:right="160" w:firstLine="464"/>
        <w:spacing w:after="0" w:line="332" w:lineRule="auto"/>
        <w:tabs>
          <w:tab w:leader="none" w:pos="695" w:val="left"/>
        </w:tabs>
        <w:numPr>
          <w:ilvl w:val="1"/>
          <w:numId w:val="33"/>
        </w:numPr>
        <w:rPr>
          <w:rFonts w:ascii="Arial" w:cs="Arial" w:eastAsia="Arial" w:hAnsi="Arial"/>
          <w:sz w:val="16"/>
          <w:szCs w:val="16"/>
          <w:color w:val="auto"/>
        </w:rPr>
      </w:pPr>
      <w:r>
        <w:rPr>
          <w:rFonts w:ascii="Arial" w:cs="Arial" w:eastAsia="Arial" w:hAnsi="Arial"/>
          <w:sz w:val="16"/>
          <w:szCs w:val="16"/>
          <w:color w:val="auto"/>
        </w:rPr>
        <w:t>After giving effect to all Committed Borrowings, all conversions of Committed Loans from one Type to the other, and all continuations of Committed Loans as the same Type, there shall not be more than ten Interest Periods in effect at any one time with respect to Committed Loans.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2.03 Letters of Credit.</w:t>
      </w:r>
    </w:p>
    <w:p>
      <w:pPr>
        <w:spacing w:after="0" w:line="96" w:lineRule="exact"/>
        <w:rPr>
          <w:sz w:val="20"/>
          <w:szCs w:val="20"/>
          <w:color w:val="auto"/>
        </w:rPr>
      </w:pPr>
    </w:p>
    <w:p>
      <w:pPr>
        <w:ind w:left="700" w:hanging="23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40" w:firstLine="443"/>
        <w:spacing w:after="0" w:line="294" w:lineRule="auto"/>
        <w:tabs>
          <w:tab w:leader="none" w:pos="1108"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(A) the L/C Issuer agrees, in reliance upon the agreements of the Lenders set forth in this </w:t>
      </w:r>
      <w:r>
        <w:rPr>
          <w:rFonts w:ascii="Arial" w:cs="Arial" w:eastAsia="Arial" w:hAnsi="Arial"/>
          <w:sz w:val="16"/>
          <w:szCs w:val="16"/>
          <w:u w:val="single" w:color="auto"/>
          <w:color w:val="auto"/>
        </w:rPr>
        <w:t>Section 2.03</w:t>
      </w:r>
      <w:r>
        <w:rPr>
          <w:rFonts w:ascii="Arial" w:cs="Arial" w:eastAsia="Arial" w:hAnsi="Arial"/>
          <w:sz w:val="16"/>
          <w:szCs w:val="16"/>
          <w:color w:val="auto"/>
        </w:rPr>
        <w:t>, (1) from time to time on any Business Day during the period from the Closing Date until the Letter of Credit Expiration Date, to issue Letters of Credit denominated in Dollars or in Canadian Dollars (unless the L/C Issuer shall have notified the Company that the L/C Issuer does not as of such requested issuance date issue Letters of Credit in Canadian Dollars) for the account of the Company or PMCULC in favor of sellers of Financed Hedged Eligible Inventory, as beneficiaries, to secure purchases of Financed Hedged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75" w:name="page76"/>
    <w:bookmarkEnd w:id="75"/>
    <w:p>
      <w:pPr>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Eligible Inventory, and to amend or extend Letters of Credit previously issued by it, in accordance with subsection (b) below, and (2) to honor drawings under the Letters of Credit; and (B) the Lenders severally agree to participate in Letters of Credit issued for the account of the Company or PMCULC, for its use and the use of any of its Subsidiaries and any drawings thereunder;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after giving effect to any L/C Credit Extension with respect to any Letter of Credit, (x) the Total Outstandings shall not exceed the Aggregate Commitments, (y) the aggregate Outstanding Amount of the Committed Loans of any Lender,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such Lender’s Applicable Percentage of the Outstanding Amount of all L/C Obligations,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such Lender’s Applicable Percentage of the Outstanding Amount of all Swing Line Loans,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such Lender’s Canadian BA’s (or Canadian BA Equivalent Loans) accepted and purchased from PMCULC shall not exceed such Lender’s Commitment, and (z) the Outstanding Amount of all L/C Obligations shall not exceed the Letter of Credit Sublimit. Each request by a Borrower for the issuance or amendment of a Letter of Credit shall be deemed to be a representation by the Company that the L/C Credit Extension so requested complies with the conditions set forth in the proviso to the preceding sentence, based on the Company’s reasonable determination of the Dollar Equivalent of any such Obligations denominated in Canadian Dollars. Within the foregoing limits, and subject to the terms and conditions hereof, the Borrowers’ ability to obtain Letters of Credit shall be fully revolving, and accordingly a Borrower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spacing w:after="0" w:line="31" w:lineRule="exact"/>
        <w:rPr>
          <w:sz w:val="20"/>
          <w:szCs w:val="20"/>
          <w:color w:val="auto"/>
        </w:rPr>
      </w:pPr>
    </w:p>
    <w:p>
      <w:pPr>
        <w:ind w:left="700" w:hanging="257"/>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L/C Issuer shall not issue any Letter of Credit, if:</w:t>
      </w:r>
    </w:p>
    <w:p>
      <w:pPr>
        <w:spacing w:after="0" w:line="90" w:lineRule="exact"/>
        <w:rPr>
          <w:rFonts w:ascii="Arial" w:cs="Arial" w:eastAsia="Arial" w:hAnsi="Arial"/>
          <w:sz w:val="18"/>
          <w:szCs w:val="18"/>
          <w:color w:val="auto"/>
        </w:rPr>
      </w:pPr>
    </w:p>
    <w:p>
      <w:pPr>
        <w:ind w:left="460" w:firstLine="421"/>
        <w:spacing w:after="0" w:line="255" w:lineRule="auto"/>
        <w:tabs>
          <w:tab w:leader="none" w:pos="1167"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2.03(b)(iii)</w:t>
      </w:r>
      <w:r>
        <w:rPr>
          <w:rFonts w:ascii="Arial" w:cs="Arial" w:eastAsia="Arial" w:hAnsi="Arial"/>
          <w:sz w:val="18"/>
          <w:szCs w:val="18"/>
          <w:color w:val="auto"/>
        </w:rPr>
        <w:t>, the expiry date of the requested Letter of Credit would occur more than 70 days after (or, if after giving effect to the L/C Credit Extension with respect to such Letter of Credit, the face amount of all outstanding Letters of Credit with an expiry date more than 70 days after the date of such Letter of Credit’s issuance would not be in excess of $50,000,000 in the aggregate, the expiry date of the requested Letter of Credit would occur more than twelve months after) the date of issuance or last extension, unless the Required Lenders have approved such expiry date; or</w:t>
      </w:r>
    </w:p>
    <w:p>
      <w:pPr>
        <w:spacing w:after="0" w:line="61" w:lineRule="exact"/>
        <w:rPr>
          <w:rFonts w:ascii="Arial" w:cs="Arial" w:eastAsia="Arial" w:hAnsi="Arial"/>
          <w:sz w:val="18"/>
          <w:szCs w:val="18"/>
          <w:color w:val="auto"/>
        </w:rPr>
      </w:pPr>
    </w:p>
    <w:p>
      <w:pPr>
        <w:ind w:left="460" w:right="560" w:firstLine="421"/>
        <w:spacing w:after="0" w:line="268" w:lineRule="auto"/>
        <w:tabs>
          <w:tab w:leader="none" w:pos="1158"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expiry date of the requested Letter of Credit would occur after the Letter of Credit Expiration Date, unless all the Lenders have approved such expiry date.</w:t>
      </w:r>
    </w:p>
    <w:p>
      <w:pPr>
        <w:spacing w:after="0" w:line="50" w:lineRule="exact"/>
        <w:rPr>
          <w:rFonts w:ascii="Arial" w:cs="Arial" w:eastAsia="Arial" w:hAnsi="Arial"/>
          <w:sz w:val="18"/>
          <w:szCs w:val="18"/>
          <w:color w:val="auto"/>
        </w:rPr>
      </w:pPr>
    </w:p>
    <w:p>
      <w:pPr>
        <w:ind w:left="740" w:hanging="297"/>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L/C Issuer shall not be under any obligation to issue any Letter of Credit if:</w:t>
      </w:r>
    </w:p>
    <w:p>
      <w:pPr>
        <w:spacing w:after="0" w:line="90" w:lineRule="exact"/>
        <w:rPr>
          <w:rFonts w:ascii="Arial" w:cs="Arial" w:eastAsia="Arial" w:hAnsi="Arial"/>
          <w:sz w:val="18"/>
          <w:szCs w:val="18"/>
          <w:color w:val="auto"/>
        </w:rPr>
      </w:pPr>
    </w:p>
    <w:p>
      <w:pPr>
        <w:jc w:val="both"/>
        <w:ind w:left="460" w:right="160" w:firstLine="421"/>
        <w:spacing w:after="0" w:line="259" w:lineRule="auto"/>
        <w:tabs>
          <w:tab w:leader="none" w:pos="1167"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purport to enjoin or restrain the L/C Issuer from issuing the Letter of Credit, or any Law applicable to the L/C Issuer or any request or directive (whether or not having the force of law) from any</w:t>
      </w:r>
    </w:p>
    <w:p>
      <w:pPr>
        <w:spacing w:after="0" w:line="1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00"/>
          </w:cols>
          <w:pgMar w:left="700" w:top="280" w:right="299" w:bottom="1440" w:gutter="0" w:footer="0" w:header="0"/>
        </w:sectPr>
      </w:pPr>
    </w:p>
    <w:bookmarkStart w:id="76" w:name="page77"/>
    <w:bookmarkEnd w:id="76"/>
    <w:p>
      <w:pPr>
        <w:ind w:left="460"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Governmental Authority with jurisdiction over the L/C Issuer shall prohibit, or request that the L/C Issuer refrain from, the issuance of letters of credit generally or the Letter of Credit in particular or shall impose upon the L/C Issuer with respect to the Letter of Credit any restriction, reserve or capital requirement (for which the L/C Issuer is entitled to be, but is not so, compensated hereunder) not in effect on the Closing Date, or shall impose upon the L/C Issuer any loss, cost or expense which was not applicable on the Closing Date and which the L/C Issuer in good faith deems material to it (for which the L/C Issuer is entitled to be, but is not so, reimbursed hereunder);</w:t>
      </w:r>
    </w:p>
    <w:p>
      <w:pPr>
        <w:spacing w:after="0" w:line="35" w:lineRule="exact"/>
        <w:rPr>
          <w:sz w:val="20"/>
          <w:szCs w:val="20"/>
          <w:color w:val="auto"/>
        </w:rPr>
      </w:pPr>
    </w:p>
    <w:p>
      <w:pPr>
        <w:ind w:left="460" w:right="160" w:firstLine="421"/>
        <w:spacing w:after="0" w:line="332" w:lineRule="auto"/>
        <w:tabs>
          <w:tab w:leader="none" w:pos="1158"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the issuance of the Letter of Credit would violate one or more policies of the L/C Issuer applicable to letters of credit generally;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request of the applicable Borrower, the L/C Issuer shall provide to such Borrower a reasonably detailed description thereof;</w:t>
      </w:r>
    </w:p>
    <w:p>
      <w:pPr>
        <w:spacing w:after="0" w:line="4" w:lineRule="exact"/>
        <w:rPr>
          <w:rFonts w:ascii="Arial" w:cs="Arial" w:eastAsia="Arial" w:hAnsi="Arial"/>
          <w:sz w:val="16"/>
          <w:szCs w:val="16"/>
          <w:color w:val="auto"/>
        </w:rPr>
      </w:pPr>
    </w:p>
    <w:p>
      <w:pPr>
        <w:ind w:left="1160" w:hanging="279"/>
        <w:spacing w:after="0"/>
        <w:tabs>
          <w:tab w:leader="none" w:pos="1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except as otherwise agreed by the Administrative Agent and the L/C Issuer, the Letter of Credit is in an initial stated amount less than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$100,000;</w:t>
      </w:r>
    </w:p>
    <w:p>
      <w:pPr>
        <w:spacing w:after="0" w:line="84" w:lineRule="exact"/>
        <w:rPr>
          <w:sz w:val="20"/>
          <w:szCs w:val="20"/>
          <w:color w:val="auto"/>
        </w:rPr>
      </w:pPr>
    </w:p>
    <w:p>
      <w:pPr>
        <w:ind w:left="1160" w:hanging="279"/>
        <w:spacing w:after="0"/>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Letter of Credit is to be denominated in a currency other than Dollars or Canadian Dollars;</w:t>
      </w:r>
    </w:p>
    <w:p>
      <w:pPr>
        <w:spacing w:after="0" w:line="90" w:lineRule="exact"/>
        <w:rPr>
          <w:rFonts w:ascii="Arial" w:cs="Arial" w:eastAsia="Arial" w:hAnsi="Arial"/>
          <w:sz w:val="18"/>
          <w:szCs w:val="18"/>
          <w:color w:val="auto"/>
        </w:rPr>
      </w:pPr>
    </w:p>
    <w:p>
      <w:pPr>
        <w:ind w:left="1140" w:hanging="259"/>
        <w:spacing w:after="0"/>
        <w:tabs>
          <w:tab w:leader="none" w:pos="114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L/C Issuer does not as of the issuance date of such requested Letter of Credit issue Letters of Credit in the requested currency;</w:t>
      </w:r>
    </w:p>
    <w:p>
      <w:pPr>
        <w:spacing w:after="0" w:line="113" w:lineRule="exact"/>
        <w:rPr>
          <w:rFonts w:ascii="Arial" w:cs="Arial" w:eastAsia="Arial" w:hAnsi="Arial"/>
          <w:sz w:val="16"/>
          <w:szCs w:val="16"/>
          <w:color w:val="auto"/>
        </w:rPr>
      </w:pPr>
    </w:p>
    <w:p>
      <w:pPr>
        <w:ind w:left="460" w:firstLine="421"/>
        <w:spacing w:after="0" w:line="314" w:lineRule="auto"/>
        <w:tabs>
          <w:tab w:leader="none" w:pos="1138" w:val="left"/>
        </w:tabs>
        <w:numPr>
          <w:ilvl w:val="1"/>
          <w:numId w:val="37"/>
        </w:numPr>
        <w:rPr>
          <w:rFonts w:ascii="Arial" w:cs="Arial" w:eastAsia="Arial" w:hAnsi="Arial"/>
          <w:sz w:val="15"/>
          <w:szCs w:val="15"/>
          <w:color w:val="auto"/>
        </w:rPr>
      </w:pPr>
      <w:r>
        <w:rPr>
          <w:rFonts w:ascii="Arial" w:cs="Arial" w:eastAsia="Arial" w:hAnsi="Arial"/>
          <w:sz w:val="15"/>
          <w:szCs w:val="15"/>
          <w:color w:val="auto"/>
        </w:rPr>
        <w:t xml:space="preserve">any Lender is at that time a Defaulting Lender, unless either (1) the requesting Borrower has delivered to the Administrative Agent Cash Collateral in an amount equal to such L/C Issuer’s actual Fronting Exposure (after giving effect to </w:t>
      </w:r>
      <w:r>
        <w:rPr>
          <w:rFonts w:ascii="Arial" w:cs="Arial" w:eastAsia="Arial" w:hAnsi="Arial"/>
          <w:sz w:val="15"/>
          <w:szCs w:val="15"/>
          <w:u w:val="single" w:color="auto"/>
          <w:color w:val="auto"/>
        </w:rPr>
        <w:t>Section 2.17(a)(iv)</w:t>
      </w:r>
      <w:r>
        <w:rPr>
          <w:rFonts w:ascii="Arial" w:cs="Arial" w:eastAsia="Arial" w:hAnsi="Arial"/>
          <w:sz w:val="15"/>
          <w:szCs w:val="15"/>
          <w:color w:val="auto"/>
        </w:rPr>
        <w:t xml:space="preserve"> and any other Cash Collateral provided by the Defaulting Lender) with respect to the Defaulting Lender or (2) such L/C Issuer has otherwise entered into arrangements satisfactory to such L/C Issuer (in its sole discretion) with the Company or such Lender to eliminate such L/C Issuer’s Fronting Exposure (after giving effect to </w:t>
      </w:r>
      <w:r>
        <w:rPr>
          <w:rFonts w:ascii="Arial" w:cs="Arial" w:eastAsia="Arial" w:hAnsi="Arial"/>
          <w:sz w:val="15"/>
          <w:szCs w:val="15"/>
          <w:u w:val="single" w:color="auto"/>
          <w:color w:val="auto"/>
        </w:rPr>
        <w:t>Section 2.17(a)(iv</w:t>
      </w:r>
      <w:r>
        <w:rPr>
          <w:rFonts w:ascii="Arial" w:cs="Arial" w:eastAsia="Arial" w:hAnsi="Arial"/>
          <w:sz w:val="15"/>
          <w:szCs w:val="15"/>
          <w:color w:val="auto"/>
        </w:rPr>
        <w:t>)) with respect to the Defaulting Lender, in either case, arising from either the Letter of Credit then proposed to be issued or that Letter of Credit and all other L/C Obligations as to which such L/C Issuer has Fronting Exposure, as it may elect in its sole discretion; or</w:t>
      </w:r>
    </w:p>
    <w:p>
      <w:pPr>
        <w:spacing w:after="0" w:line="23" w:lineRule="exact"/>
        <w:rPr>
          <w:rFonts w:ascii="Arial" w:cs="Arial" w:eastAsia="Arial" w:hAnsi="Arial"/>
          <w:sz w:val="15"/>
          <w:szCs w:val="15"/>
          <w:color w:val="auto"/>
        </w:rPr>
      </w:pPr>
    </w:p>
    <w:p>
      <w:pPr>
        <w:ind w:left="1160" w:hanging="279"/>
        <w:spacing w:after="0"/>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Letter of Credit contains any provisions for automatic reinstatement of the stated amount after any drawing thereunder.</w:t>
      </w:r>
    </w:p>
    <w:p>
      <w:pPr>
        <w:spacing w:after="0" w:line="90" w:lineRule="exact"/>
        <w:rPr>
          <w:rFonts w:ascii="Arial" w:cs="Arial" w:eastAsia="Arial" w:hAnsi="Arial"/>
          <w:sz w:val="18"/>
          <w:szCs w:val="18"/>
          <w:color w:val="auto"/>
        </w:rPr>
      </w:pPr>
    </w:p>
    <w:p>
      <w:pPr>
        <w:ind w:right="440" w:firstLine="443"/>
        <w:spacing w:after="0" w:line="268" w:lineRule="auto"/>
        <w:tabs>
          <w:tab w:leader="none" w:pos="73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L/C Issuer shall not amend any Letter of Credit if the L/C Issuer would not be permitted at such time to issue the Letter of Credit in its amended form under the terms hereof.</w:t>
      </w:r>
    </w:p>
    <w:p>
      <w:pPr>
        <w:spacing w:after="0" w:line="50" w:lineRule="exact"/>
        <w:rPr>
          <w:rFonts w:ascii="Arial" w:cs="Arial" w:eastAsia="Arial" w:hAnsi="Arial"/>
          <w:sz w:val="18"/>
          <w:szCs w:val="18"/>
          <w:color w:val="auto"/>
        </w:rPr>
      </w:pPr>
    </w:p>
    <w:p>
      <w:pPr>
        <w:ind w:right="20" w:firstLine="443"/>
        <w:spacing w:after="0" w:line="259" w:lineRule="auto"/>
        <w:tabs>
          <w:tab w:leader="none" w:pos="68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L/C Issuer shall be under no obligation to amend any Letter of Credit if (A) the L/C Issuer would have no obligation at such time to issue the Letter of Credit in its amended form under the terms hereof, or (B) the beneficiary of the Letter of Credit does not accept the proposed amendment to the Letter of Credit.</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40"/>
          </w:cols>
          <w:pgMar w:left="700" w:top="280" w:right="259" w:bottom="1440" w:gutter="0" w:footer="0" w:header="0"/>
        </w:sectPr>
      </w:pPr>
    </w:p>
    <w:bookmarkStart w:id="77" w:name="page78"/>
    <w:bookmarkEnd w:id="77"/>
    <w:p>
      <w:pPr>
        <w:ind w:right="80" w:firstLine="443"/>
        <w:spacing w:after="0" w:line="294" w:lineRule="auto"/>
        <w:tabs>
          <w:tab w:leader="none" w:pos="736" w:val="left"/>
        </w:tabs>
        <w:numPr>
          <w:ilvl w:val="1"/>
          <w:numId w:val="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L/C Issuer shall act on behalf of the Lenders with respect to any Letters of Credit issued by it and the documents associated therewith, and the L/C Issuer shall have all of the benefits and immunities (A) to the extent provided to the Administrative Agent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included the L/C Issuer with respect to such acts or omissions, and (B) as additionally provided herein with respect to the L/C Issuer.</w:t>
      </w:r>
    </w:p>
    <w:p>
      <w:pPr>
        <w:spacing w:after="0" w:line="115" w:lineRule="exact"/>
        <w:rPr>
          <w:rFonts w:ascii="Arial" w:cs="Arial" w:eastAsia="Arial" w:hAnsi="Arial"/>
          <w:sz w:val="16"/>
          <w:szCs w:val="16"/>
          <w:color w:val="auto"/>
        </w:rPr>
      </w:pPr>
    </w:p>
    <w:p>
      <w:pPr>
        <w:ind w:left="260" w:hanging="256"/>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Procedures for Issuance and Amendment of Letters of Credit; Auto-Extension Letters of Credit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0" w:firstLine="443"/>
        <w:spacing w:after="0" w:line="283" w:lineRule="auto"/>
        <w:tabs>
          <w:tab w:leader="none" w:pos="648" w:val="left"/>
        </w:tabs>
        <w:numPr>
          <w:ilvl w:val="1"/>
          <w:numId w:val="40"/>
        </w:numPr>
        <w:rPr>
          <w:rFonts w:ascii="Arial" w:cs="Arial" w:eastAsia="Arial" w:hAnsi="Arial"/>
          <w:sz w:val="16"/>
          <w:szCs w:val="16"/>
          <w:color w:val="auto"/>
        </w:rPr>
      </w:pPr>
      <w:r>
        <w:rPr>
          <w:rFonts w:ascii="Arial" w:cs="Arial" w:eastAsia="Arial" w:hAnsi="Arial"/>
          <w:sz w:val="16"/>
          <w:szCs w:val="16"/>
          <w:color w:val="auto"/>
        </w:rPr>
        <w:t>Each Letter of Credit shall be issued or amended, as the case may be, upon the request of a Borrower delivered to the L/C Issuer (with a copy to the Administrative Agent) in the form of a Letter of Credit Application, appropriately completed and signed by a Responsible Officer of such Borrower. Such Letter of Credit Application must be received by the L/C Issuer and the Administrative Agent not later than 12:00 p.m. at least two Business Days (or such later date and time as the Administrative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L/C Issuer: (A) the proposed issuance date of the requested Letter of Credit (which shall be a Business Day); (B) the amount and currency thereof; (C) the expiry date thereof; (D) the name and address of the beneficiary thereof;</w:t>
      </w:r>
    </w:p>
    <w:p>
      <w:pPr>
        <w:spacing w:after="0" w:line="288" w:lineRule="auto"/>
        <w:rPr>
          <w:rFonts w:ascii="Arial" w:cs="Arial" w:eastAsia="Arial" w:hAnsi="Arial"/>
          <w:sz w:val="16"/>
          <w:szCs w:val="16"/>
          <w:color w:val="auto"/>
        </w:rPr>
      </w:pPr>
      <w:r>
        <w:rPr>
          <w:rFonts w:ascii="Arial" w:cs="Arial" w:eastAsia="Arial" w:hAnsi="Arial"/>
          <w:sz w:val="16"/>
          <w:szCs w:val="16"/>
          <w:color w:val="auto"/>
        </w:rPr>
        <w:t>(E)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reasonably require. In the case of a request for an amendment of any outstanding Letter of Credit, such Letter of Credit Application shall specify in form and detail reasonably satisfactory to the L/C Issuer (A) the Letter of Credit to be amended; (B) the proposed date of amendment thereof (which shall be a Business Day); (C) the nature of the proposed amendment; and (D) such other matters as the L/C Issuer may reasonably require. Additionally, the applicable Borrower shall furnish to the L/C Issuer and the Administrative Agent such other documents and information pertaining to such requested Letter of Credit issuance or amendment, including any Issuer Documents, as the L/C Issuer or the Administrative Agent may reasonably require.</w:t>
      </w:r>
    </w:p>
    <w:p>
      <w:pPr>
        <w:spacing w:after="0" w:line="41" w:lineRule="exact"/>
        <w:rPr>
          <w:rFonts w:ascii="Arial" w:cs="Arial" w:eastAsia="Arial" w:hAnsi="Arial"/>
          <w:sz w:val="16"/>
          <w:szCs w:val="16"/>
          <w:color w:val="auto"/>
        </w:rPr>
      </w:pPr>
    </w:p>
    <w:p>
      <w:pPr>
        <w:ind w:right="40" w:firstLine="443"/>
        <w:spacing w:after="0" w:line="255" w:lineRule="auto"/>
        <w:tabs>
          <w:tab w:leader="none" w:pos="697" w:val="left"/>
        </w:tabs>
        <w:numPr>
          <w:ilvl w:val="1"/>
          <w:numId w:val="40"/>
        </w:numPr>
        <w:rPr>
          <w:rFonts w:ascii="Arial" w:cs="Arial" w:eastAsia="Arial" w:hAnsi="Arial"/>
          <w:sz w:val="18"/>
          <w:szCs w:val="18"/>
          <w:color w:val="auto"/>
        </w:rPr>
      </w:pPr>
      <w:r>
        <w:rPr>
          <w:rFonts w:ascii="Arial" w:cs="Arial" w:eastAsia="Arial" w:hAnsi="Arial"/>
          <w:sz w:val="18"/>
          <w:szCs w:val="18"/>
          <w:color w:val="auto"/>
        </w:rPr>
        <w:t>Promptly after receipt of any Letter of Credit Application, the L/C Issuer will confirm with the Administrative Agent (by telephone or in writing) that the Administrative Agent has received a copy of such Letter of Credit Application from a Borrower and, if not, the L/C Issuer will provide the Administrative Agent with a copy thereof. Unless the L/C Issuer has received written notice from the Administrative Agent (who hereby agrees to provide contemporaneous notice to such Borrower) or any Loan Party, at least one Business Day prior to the requested date of issuance or amendment of the applicable Letter of Credit, that one or more applicable conditions contained in</w:t>
      </w:r>
    </w:p>
    <w:p>
      <w:pPr>
        <w:spacing w:after="0" w:line="1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0"/>
          </w:cols>
          <w:pgMar w:left="700" w:top="280" w:right="259" w:bottom="1440" w:gutter="0" w:footer="0" w:header="0"/>
        </w:sectPr>
      </w:pPr>
    </w:p>
    <w:bookmarkStart w:id="78" w:name="page79"/>
    <w:bookmarkEnd w:id="78"/>
    <w:p>
      <w:pPr>
        <w:ind w:right="140"/>
        <w:spacing w:after="0" w:line="290"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4.02</w:t>
      </w:r>
      <w:r>
        <w:rPr>
          <w:rFonts w:ascii="Arial" w:cs="Arial" w:eastAsia="Arial" w:hAnsi="Arial"/>
          <w:sz w:val="16"/>
          <w:szCs w:val="16"/>
          <w:color w:val="auto"/>
        </w:rPr>
        <w:t xml:space="preserve"> shall not then be satisfied, specifying in reasonable detail the relevant condition or conditions not then satisfied, and the basis for such assertion, and such condition or conditions, as applicable, remain unsatisfied on such requested date of issuance or amendment, then, subject to the terms and conditions hereof, the L/C Issuer shall, on the requested date, issue a Letter of Credit for the account of the applicable Borrower (or the applicable Subsidiary) or enter into the applicable amendment, as the case may be, in each case in accordance with the L/C Issuer’s usual and customary business practices. Immediately upon the issuance of each Letter of Credit, each Lender shall be deemed to, and hereby irrevocably and unconditionally agrees to, purchase from the L/C Issuer a risk participation in such Letter of Credit in an amount equal to the product of such Lender’s Applicable Percentage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amount of such Letter of Credit.</w:t>
      </w:r>
    </w:p>
    <w:p>
      <w:pPr>
        <w:spacing w:after="0" w:line="37" w:lineRule="exact"/>
        <w:rPr>
          <w:sz w:val="20"/>
          <w:szCs w:val="20"/>
          <w:color w:val="auto"/>
        </w:rPr>
      </w:pPr>
    </w:p>
    <w:p>
      <w:pPr>
        <w:ind w:firstLine="443"/>
        <w:spacing w:after="0" w:line="282" w:lineRule="auto"/>
        <w:tabs>
          <w:tab w:leader="none" w:pos="745" w:val="left"/>
        </w:tabs>
        <w:numPr>
          <w:ilvl w:val="1"/>
          <w:numId w:val="41"/>
        </w:numPr>
        <w:rPr>
          <w:rFonts w:ascii="Arial" w:cs="Arial" w:eastAsia="Arial" w:hAnsi="Arial"/>
          <w:sz w:val="16"/>
          <w:szCs w:val="16"/>
          <w:color w:val="auto"/>
        </w:rPr>
      </w:pPr>
      <w:r>
        <w:rPr>
          <w:rFonts w:ascii="Arial" w:cs="Arial" w:eastAsia="Arial" w:hAnsi="Arial"/>
          <w:sz w:val="16"/>
          <w:szCs w:val="16"/>
          <w:color w:val="auto"/>
        </w:rPr>
        <w:t>If a Borrower so requests in any applicable Letter of Credit Application, the L/C Issuer may, in its sole and absolute discretion, agree to issue a Letter of Credit that has automatic extension provisions (each, an “</w:t>
      </w:r>
      <w:r>
        <w:rPr>
          <w:rFonts w:ascii="Arial" w:cs="Arial" w:eastAsia="Arial" w:hAnsi="Arial"/>
          <w:sz w:val="16"/>
          <w:szCs w:val="16"/>
          <w:u w:val="single" w:color="auto"/>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Auto-Extension Letter of Credit must permit the L/C Issuer to prevent any such extension at least once in each twelve-month period (commencing with the date of issuance of such Letter of Credit) by giving written prior notice to the beneficiary thereof not later than a day (the “</w:t>
      </w:r>
      <w:r>
        <w:rPr>
          <w:rFonts w:ascii="Arial" w:cs="Arial" w:eastAsia="Arial" w:hAnsi="Arial"/>
          <w:sz w:val="16"/>
          <w:szCs w:val="16"/>
          <w:u w:val="single" w:color="auto"/>
          <w:color w:val="auto"/>
        </w:rPr>
        <w:t>Non-Extension Notice Date</w:t>
      </w:r>
      <w:r>
        <w:rPr>
          <w:rFonts w:ascii="Arial" w:cs="Arial" w:eastAsia="Arial" w:hAnsi="Arial"/>
          <w:sz w:val="16"/>
          <w:szCs w:val="16"/>
          <w:color w:val="auto"/>
        </w:rPr>
        <w:t xml:space="preserve">”) in each such twelve-month period to be agreed upon between such Borrower and the L/C Issuer at the time such Letter of Credit is issued. The L/C Issuer of any Auto-Extension Letter of Credit hereby agrees to contemporaneously furnish to the applicable Borrower a copy of any denial of the extension of such Auto-Extension Letter of Credit. Unless otherwise directed by the L/C Issuer, the applicable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Letter of Credit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L/C Issuer shall not permit any such extension if (A) the L/C Issuer has determined that it would not be permitted, or would have no obligation, at such time to issue such Letter of Credit in its revised form (as extended) under the terms hereof (by reason of the provisions of clause (ii) or</w:t>
      </w:r>
    </w:p>
    <w:p>
      <w:pPr>
        <w:spacing w:after="0" w:line="5" w:lineRule="exact"/>
        <w:rPr>
          <w:rFonts w:ascii="Arial" w:cs="Arial" w:eastAsia="Arial" w:hAnsi="Arial"/>
          <w:sz w:val="16"/>
          <w:szCs w:val="16"/>
          <w:color w:val="auto"/>
        </w:rPr>
      </w:pPr>
    </w:p>
    <w:p>
      <w:pPr>
        <w:ind w:right="200" w:firstLine="4"/>
        <w:spacing w:after="0" w:line="290" w:lineRule="auto"/>
        <w:tabs>
          <w:tab w:leader="none" w:pos="307"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of </w:t>
      </w: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or otherwise), or (B) it has received notice (which may be by telephone or in writing) on or before the day that is seven Business Days before the Non-Extension Notice Date (1) from the Administrative Agent (who hereby agrees to provide contemporaneous notice to the requesting Borrower) that the Required Lenders have elected not to permit such extension or (2) from the Administrative Agent (who hereby agrees to provide contemporaneous notice to such Borrower) or such Borrower that one or more of the applicable conditions specified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is not then satisfied, specifying in reasonable detail the relevant condition or conditions not then satisfied, and such condition or conditions, as applicable, are unsatisfied on such extension date, and the basis for such assertion, and in each such case directing the L/C Issuer not to permit such extension.</w:t>
      </w:r>
    </w:p>
    <w:p>
      <w:pPr>
        <w:spacing w:after="0" w:line="37" w:lineRule="exact"/>
        <w:rPr>
          <w:rFonts w:ascii="Arial" w:cs="Arial" w:eastAsia="Arial" w:hAnsi="Arial"/>
          <w:sz w:val="16"/>
          <w:szCs w:val="16"/>
          <w:color w:val="auto"/>
        </w:rPr>
      </w:pPr>
    </w:p>
    <w:p>
      <w:pPr>
        <w:ind w:right="260" w:firstLine="443"/>
        <w:spacing w:after="0" w:line="259" w:lineRule="auto"/>
        <w:tabs>
          <w:tab w:leader="none" w:pos="736" w:val="left"/>
        </w:tabs>
        <w:numPr>
          <w:ilvl w:val="1"/>
          <w:numId w:val="42"/>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L/C Issuer will also deliver to the applicable Borrower and the Administrative Agent a true and complete copy of such Letter of Credit or amendment.</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20"/>
          </w:cols>
          <w:pgMar w:left="700" w:top="280" w:right="279" w:bottom="1440" w:gutter="0" w:footer="0" w:header="0"/>
        </w:sectPr>
      </w:pPr>
    </w:p>
    <w:bookmarkStart w:id="79" w:name="page80"/>
    <w:bookmarkEnd w:id="79"/>
    <w:p>
      <w:pPr>
        <w:ind w:left="240" w:hanging="236"/>
        <w:spacing w:after="0"/>
        <w:tabs>
          <w:tab w:leader="none" w:pos="2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Drawings and Reimbursements; Funding of Participations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443"/>
        <w:spacing w:after="0" w:line="284" w:lineRule="auto"/>
        <w:tabs>
          <w:tab w:leader="none" w:pos="648" w:val="left"/>
        </w:tabs>
        <w:numPr>
          <w:ilvl w:val="1"/>
          <w:numId w:val="43"/>
        </w:numPr>
        <w:rPr>
          <w:rFonts w:ascii="Arial" w:cs="Arial" w:eastAsia="Arial" w:hAnsi="Arial"/>
          <w:sz w:val="16"/>
          <w:szCs w:val="16"/>
          <w:color w:val="auto"/>
        </w:rPr>
      </w:pPr>
      <w:r>
        <w:rPr>
          <w:rFonts w:ascii="Arial" w:cs="Arial" w:eastAsia="Arial" w:hAnsi="Arial"/>
          <w:sz w:val="16"/>
          <w:szCs w:val="16"/>
          <w:color w:val="auto"/>
        </w:rPr>
        <w:t>Upon receipt from the beneficiary of any Letter of Credit of any notice of a drawing under such Letter of Credit, the L/C Issuer shall notify the applicable Borrower and the Administrative Agent thereof. In the case of a Letter of Credit denominated in Canadian Dollars, the applicable Borrower shall reimburse the L/C Issuer in Canadian Dollars, unless such Borrower and the L/C Issuer agree that such Borrower will reimburse the L/C Issuer in Dollars. In the case of any such reimbursement in Dollars of a drawing under a Letter of Credit denominated in Canadian Dollars, the L/C Issuer shall notify the applicable Borrower of the Dollar Equivalent of the amount of the drawing promptly following the determination thereof. If the L/C Issuer shall give notice to the applicable Borrower prior to 12:00 p.m. on the date of any payment by such L/C Issuer under a Letter of Credit to be reimbursed in Dollars, or the Applicable Time on the date of any payment by the L/C Issuer under a Letter of Credit to be reimbursed in Canadian Dollars (each such date, an “</w:t>
      </w:r>
      <w:r>
        <w:rPr>
          <w:rFonts w:ascii="Arial" w:cs="Arial" w:eastAsia="Arial" w:hAnsi="Arial"/>
          <w:sz w:val="16"/>
          <w:szCs w:val="16"/>
          <w:u w:val="single" w:color="auto"/>
          <w:color w:val="auto"/>
        </w:rPr>
        <w:t>Honor</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such Borrower shall reimburse the L/C Issuer through the Administrative Agent in an amount equal to the amount of such drawing and in the applicable currency (and if the L/C Issuer shall give notice to such Borrower at or after such time, such Borrower shall reimburse the L/C Issuer by such time on the following Business Day). If the applicable Borrower fails to so reimburse the L/C Issuer by such time, the Administrative Agent shall promptly notify each Lender of the Honor Date, the amount of the unreimbursed drawing (the “</w:t>
      </w:r>
      <w:r>
        <w:rPr>
          <w:rFonts w:ascii="Arial" w:cs="Arial" w:eastAsia="Arial" w:hAnsi="Arial"/>
          <w:sz w:val="16"/>
          <w:szCs w:val="16"/>
          <w:u w:val="single" w:color="auto"/>
          <w:color w:val="auto"/>
        </w:rPr>
        <w:t>Unreimbursed Amount</w:t>
      </w:r>
      <w:r>
        <w:rPr>
          <w:rFonts w:ascii="Arial" w:cs="Arial" w:eastAsia="Arial" w:hAnsi="Arial"/>
          <w:sz w:val="16"/>
          <w:szCs w:val="16"/>
          <w:color w:val="auto"/>
        </w:rPr>
        <w:t xml:space="preserve">”), and the amount of such Lender’s Applicable Percentage thereof. In such event, the applicable Borrower shall be deemed to have requested a Committed Borrowing of Base Rate Loans (with respect to Letters of Credit denominated in Dollars) or Canadian Prime Rate Loans (with respect to Letters of Credit denominated in Canadian Dollars) to be disbursed on the Honor Date in an amount equal to the Unreimbursed Amount, without regard to the minimum and multiples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for the principal amount of Base Rate Loans or Canadian Prime Rate Loans, but subject to the amount of the unutilized portion of the Aggregate Commitments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the delivery of a Committed Loan Notice and without giving effect to such Borrower’s failure to so reimburse the L/C Issuer as provided in this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Any notice given by the L/C Issuer or the Administrative Agent pursuant to this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may be given by telephone if immediately confirmed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lack of such an immediate confirmation shall not affect the conclusiveness or binding effect of such notice.</w:t>
      </w:r>
    </w:p>
    <w:p>
      <w:pPr>
        <w:spacing w:after="0" w:line="50" w:lineRule="exact"/>
        <w:rPr>
          <w:rFonts w:ascii="Arial" w:cs="Arial" w:eastAsia="Arial" w:hAnsi="Arial"/>
          <w:sz w:val="16"/>
          <w:szCs w:val="16"/>
          <w:color w:val="auto"/>
        </w:rPr>
      </w:pPr>
    </w:p>
    <w:p>
      <w:pPr>
        <w:ind w:right="40" w:firstLine="443"/>
        <w:spacing w:after="0" w:line="255" w:lineRule="auto"/>
        <w:tabs>
          <w:tab w:leader="none" w:pos="697"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Each Lender shall, upon any notice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prior to 12:00 p.m., make funds available (and the Administrative Agent may apply Cash Collateral provided for this purpose) for the account of the L/C Issuer at the Administrative Agent’s Office in an amount equal to its Applicable Percentage of the Unreimbursed Amount not later than 2:00 p.m. on the Business Day specified in such notice by the Administrative Agent (and, if such notice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is at or after 12:00 p.m., each such Lender shall make such funds available not later than 2:00 p.m. on the following Business Day), whereupon, subject to the provisions of</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0"/>
          </w:cols>
          <w:pgMar w:left="700" w:top="280" w:right="239" w:bottom="1440" w:gutter="0" w:footer="0" w:header="0"/>
        </w:sectPr>
      </w:pPr>
    </w:p>
    <w:bookmarkStart w:id="80" w:name="page81"/>
    <w:bookmarkEnd w:id="80"/>
    <w:p>
      <w:pPr>
        <w:ind w:right="140"/>
        <w:spacing w:after="0" w:line="306"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2.03(c)(iii)</w:t>
      </w:r>
      <w:r>
        <w:rPr>
          <w:rFonts w:ascii="Arial" w:cs="Arial" w:eastAsia="Arial" w:hAnsi="Arial"/>
          <w:sz w:val="16"/>
          <w:szCs w:val="16"/>
          <w:color w:val="auto"/>
        </w:rPr>
        <w:t>, each Lender that so makes funds available shall be deemed to have made a Base Rate Committed Loan (with respect to any such Unreimbursed Amount denominated in Dollars) or Canadian Prime Rate Loan (with respect to any such Unreimbursed Amount denominated in Canadian Dollars) to the applicable Borrower in such amount. The Administrative Agent shall remit the funds so received to the L/C Issuer.</w:t>
      </w:r>
    </w:p>
    <w:p>
      <w:pPr>
        <w:spacing w:after="0" w:line="26" w:lineRule="exact"/>
        <w:rPr>
          <w:sz w:val="20"/>
          <w:szCs w:val="20"/>
          <w:color w:val="auto"/>
        </w:rPr>
      </w:pPr>
    </w:p>
    <w:p>
      <w:pPr>
        <w:ind w:right="40" w:firstLine="443"/>
        <w:spacing w:after="0" w:line="287" w:lineRule="auto"/>
        <w:tabs>
          <w:tab w:leader="none" w:pos="745"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With respect to any Unreimbursed Amount that is not fully refinanced by a Committed Borrowing of Base Rate Loans or Canadian Prime Rate Loans because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the delivery of a Committed Loan Notice and without giving effect to such Borrower’s failure to reimburse the L/C Issuer as provided in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cannot be satisfied or because the L/C Issuer’s notice pursuant to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is at or after 12:00 p.m. or for any other reason, the applicable Borrower shall be deemed to have incurred from the L/C Issuer an L/C Borrowing in the amount of the Unreimbursed Amount that is not so refinanced, which L/C Borrowing shall be due and payable on the second Business Day following the corresponding Honor Date (together with interest) and shall bear interest on the amount thereof from time to time outstanding at the Base Rate or Canadian Prime Rate, as applicable, in effect from time to time, and if not repaid by 12:00 p.m. on such second succeeding Business Day, shall thereafter bear interest on the amount thereof from time to time outstanding at the Default Rate. In such event, each Lender’s payment to the Administrative Agent for the account of the L/C Issuer pursuant to </w:t>
      </w:r>
      <w:r>
        <w:rPr>
          <w:rFonts w:ascii="Arial" w:cs="Arial" w:eastAsia="Arial" w:hAnsi="Arial"/>
          <w:sz w:val="16"/>
          <w:szCs w:val="16"/>
          <w:u w:val="single" w:color="auto"/>
          <w:color w:val="auto"/>
        </w:rPr>
        <w:t>Section 2.03(c)(ii)</w:t>
      </w:r>
      <w:r>
        <w:rPr>
          <w:rFonts w:ascii="Arial" w:cs="Arial" w:eastAsia="Arial" w:hAnsi="Arial"/>
          <w:sz w:val="16"/>
          <w:szCs w:val="16"/>
          <w:color w:val="auto"/>
        </w:rPr>
        <w:t xml:space="preserve"> shall be deemed payment in respect of its participation in such L/C Borrowing and shall constitute an L/C Advance from such Lender to such Borrower in satisfaction of its participation obligation under this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41" w:lineRule="exact"/>
        <w:rPr>
          <w:rFonts w:ascii="Arial" w:cs="Arial" w:eastAsia="Arial" w:hAnsi="Arial"/>
          <w:sz w:val="16"/>
          <w:szCs w:val="16"/>
          <w:color w:val="auto"/>
        </w:rPr>
      </w:pPr>
    </w:p>
    <w:p>
      <w:pPr>
        <w:ind w:right="80" w:firstLine="443"/>
        <w:spacing w:after="0" w:line="332" w:lineRule="auto"/>
        <w:tabs>
          <w:tab w:leader="none" w:pos="736"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Until each Lender funds its Committed Loan or L/C Advance pursuant to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to reimburse the L/C Issuer for any amount drawn under any Letter of Credit, interest in respect of such Lender’s Applicable Percentage of such amount shall be solely for the account of the L/C Issuer.</w:t>
      </w:r>
    </w:p>
    <w:p>
      <w:pPr>
        <w:spacing w:after="0" w:line="4" w:lineRule="exact"/>
        <w:rPr>
          <w:rFonts w:ascii="Arial" w:cs="Arial" w:eastAsia="Arial" w:hAnsi="Arial"/>
          <w:sz w:val="16"/>
          <w:szCs w:val="16"/>
          <w:color w:val="auto"/>
        </w:rPr>
      </w:pPr>
    </w:p>
    <w:p>
      <w:pPr>
        <w:ind w:firstLine="443"/>
        <w:spacing w:after="0" w:line="288" w:lineRule="auto"/>
        <w:tabs>
          <w:tab w:leader="none" w:pos="687"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Each Lender’s obligation to make Committed Loans or L/C Advances to reimburse the L/C Issuer for amounts drawn under Letters of Credit, as contemplated by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shall be absolute and unconditional and shall not be affected by any circumstance, including (A) any setoff, counterclaim, recoupment, defense or other right which such Lender may have against the L/C Issuer, the Company, PMCULC or any other Person for any reason whatsoever; (B) the occurrence or continuance of a Default, or (C) any other occurrence, event or condition, whether or not similar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Lender’s obligation to make Committed Loans pursuant to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is subject to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delivery by the applicable Borrower of a Committed Loan Notice and without giving effect to such Borrower’s failure to so reimburse the L/C Issuer as provided in this </w:t>
      </w:r>
      <w:r>
        <w:rPr>
          <w:rFonts w:ascii="Arial" w:cs="Arial" w:eastAsia="Arial" w:hAnsi="Arial"/>
          <w:sz w:val="16"/>
          <w:szCs w:val="16"/>
          <w:u w:val="single" w:color="auto"/>
          <w:color w:val="auto"/>
        </w:rPr>
        <w:t>Section 2.03(c)(i)</w:t>
      </w:r>
      <w:r>
        <w:rPr>
          <w:rFonts w:ascii="Arial" w:cs="Arial" w:eastAsia="Arial" w:hAnsi="Arial"/>
          <w:sz w:val="16"/>
          <w:szCs w:val="16"/>
          <w:color w:val="auto"/>
        </w:rPr>
        <w:t>). No such making of an L/C Advance shall relieve or otherwise impair the obligation of the applicable Borrower to reimburse the L/C Issuer for the amount of any payment made by the L/C Issuer under any Letter of Credit, together with interest as provided herein.</w:t>
      </w:r>
    </w:p>
    <w:p>
      <w:pPr>
        <w:spacing w:after="0" w:line="10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0"/>
          </w:cols>
          <w:pgMar w:left="700" w:top="280" w:right="239" w:bottom="1440" w:gutter="0" w:footer="0" w:header="0"/>
        </w:sectPr>
      </w:pPr>
    </w:p>
    <w:bookmarkStart w:id="81" w:name="page82"/>
    <w:bookmarkEnd w:id="81"/>
    <w:p>
      <w:pPr>
        <w:ind w:left="440" w:right="20" w:firstLine="443"/>
        <w:spacing w:after="0" w:line="287" w:lineRule="auto"/>
        <w:tabs>
          <w:tab w:leader="none" w:pos="1176" w:val="left"/>
        </w:tabs>
        <w:numPr>
          <w:ilvl w:val="1"/>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any Lender fails to make available to the Administrative Agent for the account of the L/C Issuer any amount required to be paid by such Lender pursuant to the foregoing provisions of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by the time specified in </w:t>
      </w:r>
      <w:r>
        <w:rPr>
          <w:rFonts w:ascii="Arial" w:cs="Arial" w:eastAsia="Arial" w:hAnsi="Arial"/>
          <w:sz w:val="16"/>
          <w:szCs w:val="16"/>
          <w:u w:val="single" w:color="auto"/>
          <w:color w:val="auto"/>
        </w:rPr>
        <w:t>Section 2.03(c)(ii)</w:t>
      </w:r>
      <w:r>
        <w:rPr>
          <w:rFonts w:ascii="Arial" w:cs="Arial" w:eastAsia="Arial" w:hAnsi="Arial"/>
          <w:sz w:val="16"/>
          <w:szCs w:val="16"/>
          <w:color w:val="auto"/>
        </w:rPr>
        <w:t>,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greater of the applicable Overnight Rate from time to time in effect and a rate determined by the L/C Issuer in accordance with banking industry rules on interbank compensation, plus any administrative, processing or similar fees customarily charged by the L/C Issuer in connection with the foregoing. If such Lender pays such amount (with interest and fees as aforesaid), the portion thereof equal to such Lender’s Applicable Percentage of the Unreimbursed Amount shall constitute such Lender’s Committed Loan included in the relevant Committed Borrowing or L/C Advance in respect of the relevant L/C Borrowing, as the case may be. A certificate of the L/C Issuer submitted to any Lender (through the Administrative Agent) with respect to any amounts owing under this clause (vi) shall be conclusive absent manifest error.</w:t>
      </w:r>
    </w:p>
    <w:p>
      <w:pPr>
        <w:spacing w:after="0" w:line="122" w:lineRule="exact"/>
        <w:rPr>
          <w:rFonts w:ascii="Arial" w:cs="Arial" w:eastAsia="Arial" w:hAnsi="Arial"/>
          <w:sz w:val="16"/>
          <w:szCs w:val="16"/>
          <w:color w:val="auto"/>
        </w:rPr>
      </w:pPr>
    </w:p>
    <w:p>
      <w:pPr>
        <w:ind w:left="700" w:hanging="25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40" w:firstLine="443"/>
        <w:spacing w:after="0" w:line="254" w:lineRule="auto"/>
        <w:tabs>
          <w:tab w:leader="none" w:pos="1088"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At any time after the L/C Issuer has made a payment under any Letter of Credit and has received from any Lender such Lender’s L/C Advance in respect of such payment in accordance with </w:t>
      </w:r>
      <w:r>
        <w:rPr>
          <w:rFonts w:ascii="Arial" w:cs="Arial" w:eastAsia="Arial" w:hAnsi="Arial"/>
          <w:sz w:val="18"/>
          <w:szCs w:val="18"/>
          <w:u w:val="single" w:color="auto"/>
          <w:color w:val="auto"/>
        </w:rPr>
        <w:t>Section 2.03(c)</w:t>
      </w:r>
      <w:r>
        <w:rPr>
          <w:rFonts w:ascii="Arial" w:cs="Arial" w:eastAsia="Arial" w:hAnsi="Arial"/>
          <w:sz w:val="18"/>
          <w:szCs w:val="18"/>
          <w:color w:val="auto"/>
        </w:rPr>
        <w:t>, if the Administrative Agent receives for the account of the L/C Issuer any payment in respect of the related Unreimbursed Amount or interest thereon (whether directly from the applicable Borrower or otherwise, including proceeds of Cash Collateral applied thereto by the Administrative Agent), the Administrative Agent will distribute to such Lender its Applicable Percentage thereof (appropriately adjusted, in the case of interest payments, to reflect the period of time during which such Lender’s L/C Advance was outstanding) in the same funds as those received by the Administrative Agent.</w:t>
      </w:r>
    </w:p>
    <w:p>
      <w:pPr>
        <w:spacing w:after="0" w:line="63" w:lineRule="exact"/>
        <w:rPr>
          <w:rFonts w:ascii="Arial" w:cs="Arial" w:eastAsia="Arial" w:hAnsi="Arial"/>
          <w:sz w:val="18"/>
          <w:szCs w:val="18"/>
          <w:color w:val="auto"/>
        </w:rPr>
      </w:pPr>
    </w:p>
    <w:p>
      <w:pPr>
        <w:ind w:left="440" w:right="200" w:firstLine="443"/>
        <w:spacing w:after="0" w:line="254" w:lineRule="auto"/>
        <w:tabs>
          <w:tab w:leader="none" w:pos="1137"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If any payment received by the Administrative Agent for the account of the L/C Issuer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is required to be returned under any of the circumstances described in </w:t>
      </w: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(including pursuant to any settlement entered into by the L/C Issuer in its discretion), each Lender shall pay to the Administrative Agent for the account of the L/C Issuer its Applicable Percentage thereof on demand of the Administrative Agent, plus interest thereon from the date of such demand to the date such amount is returned by such Lender, at a rate per annum equal to the applicable Overnight Rate from time to time in effect. The obligations of the Lenders under this clause shall survive the payment in full of the payment Obligations and the termination of this Agreement.</w:t>
      </w:r>
    </w:p>
    <w:p>
      <w:pPr>
        <w:spacing w:after="0" w:line="144" w:lineRule="exact"/>
        <w:rPr>
          <w:rFonts w:ascii="Arial" w:cs="Arial" w:eastAsia="Arial" w:hAnsi="Arial"/>
          <w:sz w:val="18"/>
          <w:szCs w:val="18"/>
          <w:color w:val="auto"/>
        </w:rPr>
      </w:pPr>
    </w:p>
    <w:p>
      <w:pPr>
        <w:ind w:left="-20" w:right="120" w:firstLine="464"/>
        <w:spacing w:after="0" w:line="259" w:lineRule="auto"/>
        <w:tabs>
          <w:tab w:leader="none" w:pos="675"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the applicable Borrower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59" w:lineRule="exact"/>
        <w:rPr>
          <w:rFonts w:ascii="Arial" w:cs="Arial" w:eastAsia="Arial" w:hAnsi="Arial"/>
          <w:sz w:val="18"/>
          <w:szCs w:val="18"/>
          <w:color w:val="auto"/>
        </w:rPr>
      </w:pPr>
    </w:p>
    <w:p>
      <w:pPr>
        <w:ind w:left="1100" w:hanging="217"/>
        <w:spacing w:after="0"/>
        <w:tabs>
          <w:tab w:leader="none" w:pos="11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60" w:top="280" w:right="239" w:bottom="1440" w:gutter="0" w:footer="0" w:header="0"/>
        </w:sectPr>
      </w:pPr>
    </w:p>
    <w:bookmarkStart w:id="82" w:name="page83"/>
    <w:bookmarkEnd w:id="82"/>
    <w:p>
      <w:pPr>
        <w:ind w:left="460" w:firstLine="443"/>
        <w:spacing w:after="0" w:line="256" w:lineRule="auto"/>
        <w:tabs>
          <w:tab w:leader="none" w:pos="1157"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existence of any claim, counterclaim, setoff, defense or other right that the Company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62" w:lineRule="exact"/>
        <w:rPr>
          <w:rFonts w:ascii="Arial" w:cs="Arial" w:eastAsia="Arial" w:hAnsi="Arial"/>
          <w:sz w:val="18"/>
          <w:szCs w:val="18"/>
          <w:color w:val="auto"/>
        </w:rPr>
      </w:pPr>
    </w:p>
    <w:p>
      <w:pPr>
        <w:ind w:left="460" w:right="80" w:firstLine="443"/>
        <w:spacing w:after="0" w:line="259" w:lineRule="auto"/>
        <w:tabs>
          <w:tab w:leader="none" w:pos="12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59" w:lineRule="exact"/>
        <w:rPr>
          <w:rFonts w:ascii="Arial" w:cs="Arial" w:eastAsia="Arial" w:hAnsi="Arial"/>
          <w:sz w:val="18"/>
          <w:szCs w:val="18"/>
          <w:color w:val="auto"/>
        </w:rPr>
      </w:pPr>
    </w:p>
    <w:p>
      <w:pPr>
        <w:ind w:left="460" w:right="80" w:firstLine="443"/>
        <w:spacing w:after="0" w:line="298" w:lineRule="auto"/>
        <w:tabs>
          <w:tab w:leader="none" w:pos="1196"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31" w:lineRule="exact"/>
        <w:rPr>
          <w:rFonts w:ascii="Arial" w:cs="Arial" w:eastAsia="Arial" w:hAnsi="Arial"/>
          <w:sz w:val="16"/>
          <w:szCs w:val="16"/>
          <w:color w:val="auto"/>
        </w:rPr>
      </w:pPr>
    </w:p>
    <w:p>
      <w:pPr>
        <w:ind w:left="460" w:right="160" w:firstLine="443"/>
        <w:spacing w:after="0" w:line="268" w:lineRule="auto"/>
        <w:tabs>
          <w:tab w:leader="none" w:pos="11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adverse change in the relevant exchange rates or in the availability of Canadian Dollars to the Company or any Subsidiary or in the relevant currency markets generally; or</w:t>
      </w:r>
    </w:p>
    <w:p>
      <w:pPr>
        <w:spacing w:after="0" w:line="50" w:lineRule="exact"/>
        <w:rPr>
          <w:rFonts w:ascii="Arial" w:cs="Arial" w:eastAsia="Arial" w:hAnsi="Arial"/>
          <w:sz w:val="18"/>
          <w:szCs w:val="18"/>
          <w:color w:val="auto"/>
        </w:rPr>
      </w:pPr>
    </w:p>
    <w:p>
      <w:pPr>
        <w:ind w:left="460" w:right="300" w:firstLine="443"/>
        <w:spacing w:after="0" w:line="268" w:lineRule="auto"/>
        <w:tabs>
          <w:tab w:leader="none" w:pos="1196"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Company or any Subsidiary.</w:t>
      </w:r>
    </w:p>
    <w:p>
      <w:pPr>
        <w:spacing w:after="0" w:line="132"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Each Borrower shall promptly examine a copy of each Letter of Credit requested by it and each amendment thereto that is delivered to it and, in the event of any claim of noncompliance with such Borrower’s instructions or other irregularity, such Borrower will promptly notify the L/C Issuer and the L/C Issuer will correct such claim in conformity with such Borrower’s instructions or as otherwise agreed between such Borrower and the L/C Issuer, subject to the terms hereof. Each Borrower shall be conclusively deemed to have waived any such claim against the L/C Issuer and its correspondents unless such notice is given as aforesaid.</w:t>
      </w:r>
    </w:p>
    <w:p>
      <w:pPr>
        <w:spacing w:after="0" w:line="98" w:lineRule="exact"/>
        <w:rPr>
          <w:sz w:val="20"/>
          <w:szCs w:val="20"/>
          <w:color w:val="auto"/>
        </w:rPr>
      </w:pPr>
    </w:p>
    <w:p>
      <w:pPr>
        <w:ind w:right="80" w:firstLine="464"/>
        <w:spacing w:after="0" w:line="255" w:lineRule="auto"/>
        <w:tabs>
          <w:tab w:leader="none" w:pos="676"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Role of L/C Issuer</w:t>
      </w:r>
      <w:r>
        <w:rPr>
          <w:rFonts w:ascii="Arial" w:cs="Arial" w:eastAsia="Arial" w:hAnsi="Arial"/>
          <w:sz w:val="18"/>
          <w:szCs w:val="18"/>
          <w:color w:val="auto"/>
        </w:rPr>
        <w:t>. Each Lender and each Borrower agree that, in paying any drawing under a Letter of Credit requested by such Borrower,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83" w:name="page84"/>
    <w:bookmarkEnd w:id="8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 for (i) any action taken or omitted in connection herewith at the request or with the approval of the Lenders or the Required Lenders, as applicable;</w:t>
      </w:r>
    </w:p>
    <w:p>
      <w:pPr>
        <w:spacing w:after="0" w:line="38" w:lineRule="exact"/>
        <w:rPr>
          <w:sz w:val="20"/>
          <w:szCs w:val="20"/>
          <w:color w:val="auto"/>
        </w:rPr>
      </w:pPr>
    </w:p>
    <w:p>
      <w:pPr>
        <w:ind w:right="20" w:firstLine="8"/>
        <w:spacing w:after="0" w:line="284" w:lineRule="auto"/>
        <w:tabs>
          <w:tab w:leader="none" w:pos="258"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any action taken or omitted in the absence of gross negligence or willful misconduct; or (iii) the due execution, effectiveness, validity or enforceability of any document or instrument related to any Letter of Credit or Issuer Document. Each Borrower hereby assumes all risks of the acts or omissions of any beneficiary or transferee with respect to its use of any Letter of Credit, requested by such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assumption is not intended to, and shall not, preclude such Borrower’s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clauses (i) through (vi) of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anything in such clauses to the contrary notwithstanding, a Borrower may have a claim against the L/C Issuer, and the L/C Issuer may be liable to such Borrower, to the extent, but only to the extent, of any direct, as opposed to consequential or exemplary, damages suffered by such Borrower which such Borrower proves were caused by the L/C Issuer’s willful misconduct, gross negligence or the material breach of any of its obligations hereunder or under any Issuer Document or under any Letter of Credit issued on such Borrower’s behalf or the L/C Issuer’s willful failure to pay under any Letter of Credit, requested by such Borrower after the presentation to it by the beneficiary of a sight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31" w:lineRule="exact"/>
        <w:rPr>
          <w:rFonts w:ascii="Arial" w:cs="Arial" w:eastAsia="Arial" w:hAnsi="Arial"/>
          <w:sz w:val="16"/>
          <w:szCs w:val="16"/>
          <w:color w:val="auto"/>
        </w:rPr>
      </w:pPr>
    </w:p>
    <w:p>
      <w:pPr>
        <w:ind w:right="100" w:firstLine="464"/>
        <w:spacing w:after="0" w:line="256" w:lineRule="auto"/>
        <w:tabs>
          <w:tab w:leader="none" w:pos="705"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Applicability of ISP and UCP</w:t>
      </w:r>
      <w:r>
        <w:rPr>
          <w:rFonts w:ascii="Arial" w:cs="Arial" w:eastAsia="Arial" w:hAnsi="Arial"/>
          <w:sz w:val="18"/>
          <w:szCs w:val="18"/>
          <w:color w:val="auto"/>
        </w:rPr>
        <w:t>. Unless otherwise expressly agreed by the L/C Issuer and the applicable Borrower when a Letter of Credit is issued, including any such agreement applicable to an Existing Letter of Credit,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w:t>
      </w:r>
    </w:p>
    <w:p>
      <w:pPr>
        <w:spacing w:after="0" w:line="143" w:lineRule="exact"/>
        <w:rPr>
          <w:rFonts w:ascii="Arial" w:cs="Arial" w:eastAsia="Arial" w:hAnsi="Arial"/>
          <w:sz w:val="18"/>
          <w:szCs w:val="18"/>
          <w:color w:val="auto"/>
        </w:rPr>
      </w:pPr>
    </w:p>
    <w:p>
      <w:pPr>
        <w:ind w:firstLine="464"/>
        <w:spacing w:after="0" w:line="289" w:lineRule="auto"/>
        <w:tabs>
          <w:tab w:leader="none" w:pos="705"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The Company shall pay to the Administrative Agent for the account of each Lender in accordance with its Applicable Percentage a Letter of Credit fee (the “</w:t>
      </w:r>
      <w:r>
        <w:rPr>
          <w:rFonts w:ascii="Arial" w:cs="Arial" w:eastAsia="Arial" w:hAnsi="Arial"/>
          <w:sz w:val="16"/>
          <w:szCs w:val="16"/>
          <w:u w:val="single" w:color="auto"/>
          <w:color w:val="auto"/>
        </w:rPr>
        <w:t>Letter of Credit Fee</w:t>
      </w:r>
      <w:r>
        <w:rPr>
          <w:rFonts w:ascii="Arial" w:cs="Arial" w:eastAsia="Arial" w:hAnsi="Arial"/>
          <w:sz w:val="16"/>
          <w:szCs w:val="16"/>
          <w:color w:val="auto"/>
        </w:rPr>
        <w:t xml:space="preserve">”) for each commercial or standby Letter of Credit equal to the Applicable Rate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daily amount available to be drawn under such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any Letter of Credit Fees otherwise payable for the account of a Defaulting Lender with respect to any Letter of Credit as to which such Defaulting Lender or the Company has not provided Cash Collateral satisfactory to the L/C Issuer pursuant to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shall be payable, to the maximum extent permitted by applicable Law, to the other Lenders in accordance with the upward adjustments in their respective Applicable Percentages allocable to such Letter of Credit pursuant to </w:t>
      </w:r>
      <w:r>
        <w:rPr>
          <w:rFonts w:ascii="Arial" w:cs="Arial" w:eastAsia="Arial" w:hAnsi="Arial"/>
          <w:sz w:val="16"/>
          <w:szCs w:val="16"/>
          <w:u w:val="single" w:color="auto"/>
          <w:color w:val="auto"/>
        </w:rPr>
        <w:t>Section 2.17(a)(iv)</w:t>
      </w:r>
      <w:r>
        <w:rPr>
          <w:rFonts w:ascii="Arial" w:cs="Arial" w:eastAsia="Arial" w:hAnsi="Arial"/>
          <w:sz w:val="16"/>
          <w:szCs w:val="16"/>
          <w:color w:val="auto"/>
        </w:rPr>
        <w:t xml:space="preserve">, with the balance of such fee, if any, payable to the L/C Issuer for its own account.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1.07</w:t>
      </w:r>
      <w:r>
        <w:rPr>
          <w:rFonts w:ascii="Arial" w:cs="Arial" w:eastAsia="Arial" w:hAnsi="Arial"/>
          <w:sz w:val="16"/>
          <w:szCs w:val="16"/>
          <w:color w:val="auto"/>
        </w:rPr>
        <w:t>. Such Letter of Credit Fees shall be (i) due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84" w:name="page85"/>
    <w:bookmarkEnd w:id="84"/>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payable on the first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standby Letter of Credit shall be computed and multiplied by the Applicable Rate separately for each period during such quarter that such Applicable Rate was in effect.</w:t>
      </w:r>
    </w:p>
    <w:p>
      <w:pPr>
        <w:spacing w:after="0" w:line="113" w:lineRule="exact"/>
        <w:rPr>
          <w:sz w:val="20"/>
          <w:szCs w:val="20"/>
          <w:color w:val="auto"/>
        </w:rPr>
      </w:pPr>
    </w:p>
    <w:p>
      <w:pPr>
        <w:ind w:firstLine="464"/>
        <w:spacing w:after="0" w:line="286" w:lineRule="auto"/>
        <w:tabs>
          <w:tab w:leader="none" w:pos="666"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Fronting Fee and Documentary and Processing Charges Payable to L/C Issuer</w:t>
      </w:r>
      <w:r>
        <w:rPr>
          <w:rFonts w:ascii="Arial" w:cs="Arial" w:eastAsia="Arial" w:hAnsi="Arial"/>
          <w:sz w:val="16"/>
          <w:szCs w:val="16"/>
          <w:color w:val="auto"/>
        </w:rPr>
        <w:t xml:space="preserve">. The Company shall pay directly to the L/C Issuer for its own account a fronting fee (i) with respect to each commercial Letter of Credit, at the rate specified in the Fee Letter among the Company, the Administrative Agent, and Merrill Lynch, computed on the Dollar Equivalent of the amount of such Letter of Credit, and payable upon the issuance thereof, and (ii) with respect to each standby Letter of Credit, at the rate per annum specified in the Fee Letter among the Company, the Administrative Agent and Merrill Lynch, computed on the Dollar Equivalent of the daily amount available to be drawn under such Letter of Credit on a quarterly basis in arrears. Such fronting fee with respect to standby Letters of Credit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1.07</w:t>
      </w:r>
      <w:r>
        <w:rPr>
          <w:rFonts w:ascii="Arial" w:cs="Arial" w:eastAsia="Arial" w:hAnsi="Arial"/>
          <w:sz w:val="16"/>
          <w:szCs w:val="16"/>
          <w:color w:val="auto"/>
        </w:rPr>
        <w:t>. In addition, the Company shall pay directly to the L/C Issuer for its own account in Dollars the customary issuance, presentation, amendment and other processing fees, and other standard costs and charges, of the L/C Issuer relating to letters of credit as from time to time in effect, effective schedules of which will be provided to the Company upon its request. Such customary fees and standard costs and charges are due and payable quarterly in arrears on the first Business Day after the end of each March, June, September and December and are nonrefundable.</w:t>
      </w:r>
    </w:p>
    <w:p>
      <w:pPr>
        <w:spacing w:after="0" w:line="120" w:lineRule="exact"/>
        <w:rPr>
          <w:rFonts w:ascii="Arial" w:cs="Arial" w:eastAsia="Arial" w:hAnsi="Arial"/>
          <w:sz w:val="16"/>
          <w:szCs w:val="16"/>
          <w:color w:val="auto"/>
        </w:rPr>
      </w:pPr>
    </w:p>
    <w:p>
      <w:pPr>
        <w:ind w:left="680" w:hanging="216"/>
        <w:spacing w:after="0"/>
        <w:tabs>
          <w:tab w:leader="none" w:pos="680"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Conflict with Issuer Documents</w:t>
      </w:r>
      <w:r>
        <w:rPr>
          <w:rFonts w:ascii="Arial" w:cs="Arial" w:eastAsia="Arial" w:hAnsi="Arial"/>
          <w:sz w:val="16"/>
          <w:szCs w:val="16"/>
          <w:color w:val="auto"/>
        </w:rPr>
        <w:t>. In the event of any conflict between the terms hereof and the terms of any Issuer Document, the terms hereof shall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control.</w:t>
      </w:r>
    </w:p>
    <w:p>
      <w:pPr>
        <w:spacing w:after="0" w:line="164" w:lineRule="exact"/>
        <w:rPr>
          <w:rFonts w:ascii="Arial" w:cs="Arial" w:eastAsia="Arial" w:hAnsi="Arial"/>
          <w:sz w:val="16"/>
          <w:szCs w:val="16"/>
          <w:color w:val="auto"/>
        </w:rPr>
      </w:pPr>
    </w:p>
    <w:p>
      <w:pPr>
        <w:ind w:right="80" w:firstLine="464"/>
        <w:spacing w:after="0" w:line="255" w:lineRule="auto"/>
        <w:tabs>
          <w:tab w:leader="none" w:pos="70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Letters of Credit Issued for Subsidiaries</w:t>
      </w:r>
      <w:r>
        <w:rPr>
          <w:rFonts w:ascii="Arial" w:cs="Arial" w:eastAsia="Arial" w:hAnsi="Arial"/>
          <w:sz w:val="18"/>
          <w:szCs w:val="18"/>
          <w:color w:val="auto"/>
        </w:rPr>
        <w:t>. Notwithstanding that a Letter of Credit is issued or outstanding hereunder is in support of any obligations of a Subsidiary, the applicable Borrower (and not any such Subsidiary) that requested such Letter of Credit shall be obligated to reimburse the L/C Issuer hereunder for any and all drawings under such Letter of Credit requested by it. Each Borrower hereby acknowledges that the issuance of Letters of Credit requested by it in support of the obligations of any of its Subsidiaries inures to the benefit of such Borrower, and that such Borrower’s business derives benefits from the business of such Subsidiary.</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2.04 Swing Line Loans.</w:t>
      </w:r>
    </w:p>
    <w:p>
      <w:pPr>
        <w:spacing w:after="0" w:line="96" w:lineRule="exact"/>
        <w:rPr>
          <w:sz w:val="20"/>
          <w:szCs w:val="20"/>
          <w:color w:val="auto"/>
        </w:rPr>
      </w:pPr>
    </w:p>
    <w:p>
      <w:pPr>
        <w:ind w:right="540" w:firstLine="464"/>
        <w:spacing w:after="0" w:line="332" w:lineRule="auto"/>
        <w:tabs>
          <w:tab w:leader="none" w:pos="695"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The Swing Line</w:t>
      </w:r>
      <w:r>
        <w:rPr>
          <w:rFonts w:ascii="Arial" w:cs="Arial" w:eastAsia="Arial" w:hAnsi="Arial"/>
          <w:sz w:val="16"/>
          <w:szCs w:val="16"/>
          <w:color w:val="auto"/>
        </w:rPr>
        <w:t xml:space="preserve">. Subject to the terms and conditions set forth herein, the Swing Line Lender agrees, in reliance upon the agreements of the other Lenders set forth in this </w:t>
      </w:r>
      <w:r>
        <w:rPr>
          <w:rFonts w:ascii="Arial" w:cs="Arial" w:eastAsia="Arial" w:hAnsi="Arial"/>
          <w:sz w:val="16"/>
          <w:szCs w:val="16"/>
          <w:u w:val="single" w:color="auto"/>
          <w:color w:val="auto"/>
        </w:rPr>
        <w:t>Section 2.04</w:t>
      </w:r>
      <w:r>
        <w:rPr>
          <w:rFonts w:ascii="Arial" w:cs="Arial" w:eastAsia="Arial" w:hAnsi="Arial"/>
          <w:sz w:val="16"/>
          <w:szCs w:val="16"/>
          <w:color w:val="auto"/>
        </w:rPr>
        <w:t>, to make loans in Dollars and in Canadian Dollars from time to time (each such</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80" w:right="259" w:bottom="1440" w:gutter="0" w:footer="0" w:header="0"/>
        </w:sectPr>
      </w:pPr>
    </w:p>
    <w:bookmarkStart w:id="85" w:name="page86"/>
    <w:bookmarkEnd w:id="8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a “</w:t>
      </w:r>
      <w:r>
        <w:rPr>
          <w:rFonts w:ascii="Arial" w:cs="Arial" w:eastAsia="Arial" w:hAnsi="Arial"/>
          <w:sz w:val="16"/>
          <w:szCs w:val="16"/>
          <w:u w:val="single" w:color="auto"/>
          <w:color w:val="auto"/>
        </w:rPr>
        <w:t>Swing Line Loan</w:t>
      </w:r>
      <w:r>
        <w:rPr>
          <w:rFonts w:ascii="Arial" w:cs="Arial" w:eastAsia="Arial" w:hAnsi="Arial"/>
          <w:sz w:val="16"/>
          <w:szCs w:val="16"/>
          <w:color w:val="auto"/>
        </w:rPr>
        <w:t xml:space="preserve">”) to each requesting Borrower, in each case, on a several basis, from time to time on any Business Day during the Availability Period in an aggregate amount not to exceed at any time outstanding the amount of the Swing Line Sublimit, notwithstanding the fact that such Swing Line Loans, when aggregated with the Applicable Percentage of the Outstanding Amount of Committed Loans and L/C Obligations of the Lender acting as Swing Line Lender, may exceed the amount of such Lender’s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after giving effect to any Swing Line Loan, (i) the Total Outstandings shall not exceed the Aggregate Commitments, and (ii) the aggregate Outstanding Amount of the Committed Loans of any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Applicable Percentage of the Outstanding Amount of all L/C Obligations,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Applicable Percentage of the Outstanding Amount of all Swing Line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Canadian BA’s (or Canadian BA Equivalent Loans) accepted from PMCULC shall not exceed such Lender’s Commitment,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Borrowers shall not use the proceeds of any Swing Line Loan to refinance any outstanding Swing Line Loan. Within the foregoing limits, and subject to the other terms and conditions hereof, each requesting Borrower may borrow under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prepay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reborrow under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Swing Line Loans may be Base Rate Loans, Canadian Prime Rate Loans or Eurocurrency Rate Loans. Immediately upon the making of a Swing Line Loan to a Borrower, each Lender shall be deemed to, and hereby irrevocably and unconditionally agrees to, purchase from the Swing Line Lender a risk participation in such Swing Line Loan in an amount equal to the product of such Lender’s Applicable Percentage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amount of such Swing Line Loan.</w:t>
      </w:r>
    </w:p>
    <w:p>
      <w:pPr>
        <w:spacing w:after="0" w:line="124" w:lineRule="exact"/>
        <w:rPr>
          <w:sz w:val="20"/>
          <w:szCs w:val="20"/>
          <w:color w:val="auto"/>
        </w:rPr>
      </w:pPr>
    </w:p>
    <w:p>
      <w:pPr>
        <w:ind w:firstLine="464"/>
        <w:spacing w:after="0" w:line="283" w:lineRule="auto"/>
        <w:tabs>
          <w:tab w:leader="none" w:pos="705"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Borrowing Procedures</w:t>
      </w:r>
      <w:r>
        <w:rPr>
          <w:rFonts w:ascii="Arial" w:cs="Arial" w:eastAsia="Arial" w:hAnsi="Arial"/>
          <w:sz w:val="16"/>
          <w:szCs w:val="16"/>
          <w:color w:val="auto"/>
        </w:rPr>
        <w:t>. Each Swing Line Borrowing shall be made upon a Borrower’s irrevocable notice to the Swing Line Lender and the Administrative Agent, which may be given by telephone. Each such notice must be received by the Swing Line Lender and the Administrative Agent not later than 1:00 p.m. on the requested borrowing date, and shall specify (i) the amount to be borrowed, which shall be a minimum of $1,000,000 (with respect to Swing Line Loans denominated in Dollars) or C$1,000,000 (with respect to Swing Line Loans denominated in Canadian Dollars), (ii) whether such Swing Line Loan is a Base Rate Loan, a Canadian Prime Rate Loan or a Eurocurrency Rate Loan (and if a Eurocurrency Rate Loan, either (x) the applicable Interest Period thereof or</w:t>
      </w:r>
    </w:p>
    <w:p>
      <w:pPr>
        <w:spacing w:after="0" w:line="2" w:lineRule="exact"/>
        <w:rPr>
          <w:rFonts w:ascii="Arial" w:cs="Arial" w:eastAsia="Arial" w:hAnsi="Arial"/>
          <w:sz w:val="16"/>
          <w:szCs w:val="16"/>
          <w:color w:val="auto"/>
        </w:rPr>
      </w:pPr>
    </w:p>
    <w:p>
      <w:pPr>
        <w:ind w:right="20" w:firstLine="8"/>
        <w:spacing w:after="0" w:line="286" w:lineRule="auto"/>
        <w:tabs>
          <w:tab w:leader="none" w:pos="249"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that the daily floating Eurocurrency Rate provided in clause (b) of the definition thereof shall apply), (iii) the requested borrowing date, which shall be a Business Day and (iv) the currency of the Swing Line Loan to be borrowed. Each such telephonic notice must be confirmed promptly by delivery to the Swing Line Lender and the Administrative Agent of a written Swing Line Loan Notice, appropriately completed and signed by a Responsible Officer of such Borrower.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prior to 2:00 p.m. on the date of the proposed Swing Line Borrowing (A) directing the Swing Line Lender not to make such Swing Line Loan as a result of the limitations set forth in the first proviso to the first sentence of </w:t>
      </w:r>
      <w:r>
        <w:rPr>
          <w:rFonts w:ascii="Arial" w:cs="Arial" w:eastAsia="Arial" w:hAnsi="Arial"/>
          <w:sz w:val="16"/>
          <w:szCs w:val="16"/>
          <w:u w:val="single" w:color="auto"/>
          <w:color w:val="auto"/>
        </w:rPr>
        <w:t>Section 2.04(a)</w:t>
      </w:r>
      <w:r>
        <w:rPr>
          <w:rFonts w:ascii="Arial" w:cs="Arial" w:eastAsia="Arial" w:hAnsi="Arial"/>
          <w:sz w:val="16"/>
          <w:szCs w:val="16"/>
          <w:color w:val="auto"/>
        </w:rPr>
        <w:t xml:space="preserve">, or (B) that it believes in good faith that one or more of the applicable conditions specified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is not then satisfied, specifying in reasonable detail the relevant condition or conditions not then satisfied and the basis for such assertion, and such condition or conditions, as applicable, remain unsatisfied 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86" w:name="page87"/>
    <w:bookmarkEnd w:id="86"/>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requested date of issuance or amendment, then, subject to the terms and conditions hereof, the Swing Line Lender will, not later than 3:00 p.m., in the case of any Swing Line Loan denominated in Dollars, and not later than the Applicable Time specified by the Administrative Agent in the case of any Swing Line Loan in Canadian Dollars, in each case on the borrowing date specified in such Swing Line Loan Notice, make the amount of its Swing Line Loan available to such Borrower, at such Borrower’s election, either by (i) crediting the account of such Borrower on the books of Bank of America with the amount of such funds or (ii) wire transfer of such funds, in each case in accordance with instructions provided to the Administrative Agent by such Borrower as set forth in the Swing Line Loan Notice.</w:t>
      </w:r>
    </w:p>
    <w:p>
      <w:pPr>
        <w:spacing w:after="0" w:line="144" w:lineRule="exact"/>
        <w:rPr>
          <w:sz w:val="20"/>
          <w:szCs w:val="20"/>
          <w:color w:val="auto"/>
        </w:rPr>
      </w:pPr>
    </w:p>
    <w:p>
      <w:pPr>
        <w:ind w:left="700" w:hanging="236"/>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Refinancing of Swing Line Loans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285" w:lineRule="auto"/>
        <w:tabs>
          <w:tab w:leader="none" w:pos="1108"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The Swing Line Lender at any time in its sole discretion may request, on behalf of the applicable Borrower (which hereby irrevocably authorizes the Swing Line Lender to so request on its behalf), that each Lender make a Base Rate Committed Loan (with respect to Swing Line Loans denominated in Dollars) or a Canadian Prime Rate Loan (with respect to Swing Line Loans denominated in Canadian Dollars), in each case, in an amount equal to such Lender’s Applicable Percentage of the amount of Swing Line Loans denominated in such currency then outstanding. Such request shall be made in writing (which written request shall be deemed to be a Committed Loan Notice for purposes hereof) and in accordance with the requirements of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without regard to the minimum and multiples specified therein for the principal amount of Base Rate Loans or Canadian Prime Rate Loans, but subject to the unutilized portion of the Aggregate Commitments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The Swing Line Lender shall furnish the applicable Borrower with a copy of the applicable Committed Loan Notice promptly after delivering such notice to the Administrative Agent. Each Lender shall make an amount equal to its Applicable Percentage of the amount specified in such Committed Loan Notice available to the Administrative Agent in Same Day Funds (and the Administrative Agent may apply Cash Collateral available with respect to the applicable Swing Line Loan) for the account of the Swing Line Lender at the Administrative Agent’s Office not later than 2:00 p.m. on the day specified in such Committed Loan Notice, whereupon, subject to </w:t>
      </w:r>
      <w:r>
        <w:rPr>
          <w:rFonts w:ascii="Arial" w:cs="Arial" w:eastAsia="Arial" w:hAnsi="Arial"/>
          <w:sz w:val="16"/>
          <w:szCs w:val="16"/>
          <w:u w:val="single" w:color="auto"/>
          <w:color w:val="auto"/>
        </w:rPr>
        <w:t>Section 2.04(c)(ii)</w:t>
      </w:r>
      <w:r>
        <w:rPr>
          <w:rFonts w:ascii="Arial" w:cs="Arial" w:eastAsia="Arial" w:hAnsi="Arial"/>
          <w:sz w:val="16"/>
          <w:szCs w:val="16"/>
          <w:color w:val="auto"/>
        </w:rPr>
        <w:t>, each Lender that so makes funds available shall be deemed to have made a Base Rate Committed Loan (with respect Swing Line Loans denominated in Dollars) or Canadian Prime Rate Loan (with respect Swing Line Loans denominated in Canadian Dollars) to the applicable Borrower in such amount. The Administrative Agent shall remit the funds so received to the Swing Line Lender.</w:t>
      </w:r>
    </w:p>
    <w:p>
      <w:pPr>
        <w:spacing w:after="0" w:line="47" w:lineRule="exact"/>
        <w:rPr>
          <w:rFonts w:ascii="Arial" w:cs="Arial" w:eastAsia="Arial" w:hAnsi="Arial"/>
          <w:sz w:val="16"/>
          <w:szCs w:val="16"/>
          <w:color w:val="auto"/>
        </w:rPr>
      </w:pPr>
    </w:p>
    <w:p>
      <w:pPr>
        <w:ind w:left="460" w:firstLine="443"/>
        <w:spacing w:after="0" w:line="294" w:lineRule="auto"/>
        <w:tabs>
          <w:tab w:leader="none" w:pos="1157"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If for any reason any Swing Line Loan cannot be refinanced by such a Committed Borrowing in accordance with </w:t>
      </w:r>
      <w:r>
        <w:rPr>
          <w:rFonts w:ascii="Arial" w:cs="Arial" w:eastAsia="Arial" w:hAnsi="Arial"/>
          <w:sz w:val="16"/>
          <w:szCs w:val="16"/>
          <w:u w:val="single" w:color="auto"/>
          <w:color w:val="auto"/>
        </w:rPr>
        <w:t>Section 2.04(c)(i)</w:t>
      </w:r>
      <w:r>
        <w:rPr>
          <w:rFonts w:ascii="Arial" w:cs="Arial" w:eastAsia="Arial" w:hAnsi="Arial"/>
          <w:sz w:val="16"/>
          <w:szCs w:val="16"/>
          <w:color w:val="auto"/>
        </w:rPr>
        <w:t xml:space="preserve"> or pursuant to a Borrowing requested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as the case may be, the request for Base Rate Committed Loans or Canadian Prime Rate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Arial" w:cs="Arial" w:eastAsia="Arial" w:hAnsi="Arial"/>
          <w:sz w:val="16"/>
          <w:szCs w:val="16"/>
          <w:u w:val="single" w:color="auto"/>
          <w:color w:val="auto"/>
        </w:rPr>
        <w:t>Section 2.04(c)(i)</w:t>
      </w:r>
      <w:r>
        <w:rPr>
          <w:rFonts w:ascii="Arial" w:cs="Arial" w:eastAsia="Arial" w:hAnsi="Arial"/>
          <w:sz w:val="16"/>
          <w:szCs w:val="16"/>
          <w:color w:val="auto"/>
        </w:rPr>
        <w:t xml:space="preserve"> shall be deemed payment in respect of such participation.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87" w:name="page88"/>
    <w:bookmarkEnd w:id="87"/>
    <w:p>
      <w:pPr>
        <w:ind w:right="60" w:firstLine="443"/>
        <w:spacing w:after="0" w:line="287" w:lineRule="auto"/>
        <w:tabs>
          <w:tab w:leader="none" w:pos="745" w:val="left"/>
        </w:tabs>
        <w:numPr>
          <w:ilvl w:val="0"/>
          <w:numId w:val="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any Lender fails to make available to the Administrative Agent for the account of the Swing Line Lender any amount required to be paid by such Lender pursuant to the foregoing provisions of this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by the time specified in </w:t>
      </w:r>
      <w:r>
        <w:rPr>
          <w:rFonts w:ascii="Arial" w:cs="Arial" w:eastAsia="Arial" w:hAnsi="Arial"/>
          <w:sz w:val="16"/>
          <w:szCs w:val="16"/>
          <w:u w:val="single" w:color="auto"/>
          <w:color w:val="auto"/>
        </w:rPr>
        <w:t>Section 2.04(c)(i)</w:t>
      </w:r>
      <w:r>
        <w:rPr>
          <w:rFonts w:ascii="Arial" w:cs="Arial" w:eastAsia="Arial" w:hAnsi="Arial"/>
          <w:sz w:val="16"/>
          <w:szCs w:val="16"/>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applicable Overnight Rate from time to time in effect and a rate determined by the Swing Line Lender in accordance with banking industry rules on interbank compensation, plus any administrative, processing or similar fees customarily charged by the Swing Line Lender in connection with the foregoing. If such Lender pays such amount (with interest and fees as aforesaid), the portion thereof equal to such Lender’s Applicable Percentage of the Outstanding Amount of all Swing Line Loans shall constitute such Lender’s Committed Loan included in the relevant Committed Borrowing or funded participation in the relevant Swing Line Loan, as the case may be. A certificate of the Swing Line Lender submitted to any Lender (through the Administrative Agent) with respect to any amounts owing under this clause (iii) shall be conclusive absent manifest error.</w:t>
      </w:r>
    </w:p>
    <w:p>
      <w:pPr>
        <w:spacing w:after="0" w:line="41" w:lineRule="exact"/>
        <w:rPr>
          <w:rFonts w:ascii="Arial" w:cs="Arial" w:eastAsia="Arial" w:hAnsi="Arial"/>
          <w:sz w:val="16"/>
          <w:szCs w:val="16"/>
          <w:color w:val="auto"/>
        </w:rPr>
      </w:pPr>
    </w:p>
    <w:p>
      <w:pPr>
        <w:ind w:left="740" w:hanging="297"/>
        <w:spacing w:after="0"/>
        <w:tabs>
          <w:tab w:leader="none" w:pos="7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Each Lender’s obligation to make Committed Loans or to purchase and fund risk participations in Swing Line Loans pursuant to this</w:t>
      </w:r>
    </w:p>
    <w:p>
      <w:pPr>
        <w:spacing w:after="0" w:line="3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Lender may have against the Swing Line Lender, the Company, PMCULC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Lender’s obligation to make Committed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No such funding of risk participations shall relieve or otherwise impair the obligation of the Company to repay Swing Line Loans, together with interest as provided herein.</w:t>
      </w:r>
    </w:p>
    <w:p>
      <w:pPr>
        <w:spacing w:after="0" w:line="148" w:lineRule="exact"/>
        <w:rPr>
          <w:sz w:val="20"/>
          <w:szCs w:val="20"/>
          <w:color w:val="auto"/>
        </w:rPr>
      </w:pPr>
    </w:p>
    <w:p>
      <w:pPr>
        <w:ind w:left="260" w:hanging="256"/>
        <w:spacing w:after="0"/>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right="20" w:firstLine="443"/>
        <w:spacing w:after="0" w:line="256" w:lineRule="auto"/>
        <w:tabs>
          <w:tab w:leader="none" w:pos="648" w:val="left"/>
        </w:tabs>
        <w:numPr>
          <w:ilvl w:val="1"/>
          <w:numId w:val="56"/>
        </w:numPr>
        <w:rPr>
          <w:rFonts w:ascii="Arial" w:cs="Arial" w:eastAsia="Arial" w:hAnsi="Arial"/>
          <w:sz w:val="18"/>
          <w:szCs w:val="18"/>
          <w:color w:val="auto"/>
        </w:rPr>
      </w:pPr>
      <w:r>
        <w:rPr>
          <w:rFonts w:ascii="Arial" w:cs="Arial" w:eastAsia="Arial" w:hAnsi="Arial"/>
          <w:sz w:val="18"/>
          <w:szCs w:val="18"/>
          <w:color w:val="auto"/>
        </w:rPr>
        <w:t>At any time after any Lender has purchased and funded a risk participation in a Swing Line Loan, if the Swing Line Lender receives any payment on account of such Swing Line Loan, the Swing Line Lender will distribute to such Lender its Applicable Percentage thereof (appropriately adjusted, in the case of interest payments, to reflect the period of time during which such Lender’s risk participation was funded) in the same funds as those received by the Swing Line Lender.</w:t>
      </w:r>
    </w:p>
    <w:p>
      <w:pPr>
        <w:spacing w:after="0" w:line="62" w:lineRule="exact"/>
        <w:rPr>
          <w:rFonts w:ascii="Arial" w:cs="Arial" w:eastAsia="Arial" w:hAnsi="Arial"/>
          <w:sz w:val="18"/>
          <w:szCs w:val="18"/>
          <w:color w:val="auto"/>
        </w:rPr>
      </w:pPr>
    </w:p>
    <w:p>
      <w:pPr>
        <w:ind w:firstLine="443"/>
        <w:spacing w:after="0" w:line="291" w:lineRule="auto"/>
        <w:tabs>
          <w:tab w:leader="none" w:pos="697" w:val="left"/>
        </w:tabs>
        <w:numPr>
          <w:ilvl w:val="1"/>
          <w:numId w:val="56"/>
        </w:numPr>
        <w:rPr>
          <w:rFonts w:ascii="Arial" w:cs="Arial" w:eastAsia="Arial" w:hAnsi="Arial"/>
          <w:sz w:val="16"/>
          <w:szCs w:val="16"/>
          <w:color w:val="auto"/>
        </w:rPr>
      </w:pPr>
      <w:r>
        <w:rPr>
          <w:rFonts w:ascii="Arial" w:cs="Arial" w:eastAsia="Arial" w:hAnsi="Arial"/>
          <w:sz w:val="16"/>
          <w:szCs w:val="16"/>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(including pursuant to any settlement entered into by the Swing Line Lender in its discretion), each Lender shall pay to the Swing Line Lender its Applicable Percentage thereof on demand of the Administrative Agent, plus interest thereon from the date of such demand to the date such amount is returned, at a rate per annum equal to the applicable Overnight Rate. The Administrative Agent will make such demand upon the request of the Swing Line Lender. The obligations of the Lenders under this clause shall survive the payment in full of the payment Obligations and the termination of this Agreement.</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60"/>
          </w:cols>
          <w:pgMar w:left="700" w:top="280" w:right="239" w:bottom="1440" w:gutter="0" w:footer="0" w:header="0"/>
        </w:sectPr>
      </w:pPr>
    </w:p>
    <w:bookmarkStart w:id="88" w:name="page89"/>
    <w:bookmarkEnd w:id="88"/>
    <w:p>
      <w:pPr>
        <w:jc w:val="both"/>
        <w:ind w:left="-8" w:firstLine="464"/>
        <w:spacing w:after="0" w:line="256" w:lineRule="auto"/>
        <w:tabs>
          <w:tab w:leader="none" w:pos="687"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for Account of Swing Line Lender</w:t>
      </w:r>
      <w:r>
        <w:rPr>
          <w:rFonts w:ascii="Arial" w:cs="Arial" w:eastAsia="Arial" w:hAnsi="Arial"/>
          <w:sz w:val="18"/>
          <w:szCs w:val="18"/>
          <w:color w:val="auto"/>
        </w:rPr>
        <w:t xml:space="preserve">. The Swing Line Lender shall be responsible for invoicing the applicable Borrower for interest on the Swing Line Loans. Until each Lender funds its Base Rate Committed Loan or Canadian Prime Rate Committed Loan or risk participation pursuant to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to refinance such Lender’s Applicable Percentage of any Swing Line Loan, interest in respect of such Applicable Percentage shall be solely for the account of the Swing Line Lender.</w:t>
      </w:r>
    </w:p>
    <w:p>
      <w:pPr>
        <w:spacing w:after="0" w:line="143" w:lineRule="exact"/>
        <w:rPr>
          <w:rFonts w:ascii="Arial" w:cs="Arial" w:eastAsia="Arial" w:hAnsi="Arial"/>
          <w:sz w:val="18"/>
          <w:szCs w:val="18"/>
          <w:color w:val="auto"/>
        </w:rPr>
      </w:pPr>
    </w:p>
    <w:p>
      <w:pPr>
        <w:ind w:left="-8" w:right="60" w:firstLine="464"/>
        <w:spacing w:after="0" w:line="268" w:lineRule="auto"/>
        <w:tabs>
          <w:tab w:leader="none" w:pos="668"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Payments Directly to Swing Line Lender</w:t>
      </w:r>
      <w:r>
        <w:rPr>
          <w:rFonts w:ascii="Arial" w:cs="Arial" w:eastAsia="Arial" w:hAnsi="Arial"/>
          <w:sz w:val="18"/>
          <w:szCs w:val="18"/>
          <w:color w:val="auto"/>
        </w:rPr>
        <w:t>. The applicable Borrower shall make all payments of principal and interest in respect of the Swing Line Loans directly to the Swing Line Lender.</w:t>
      </w:r>
    </w:p>
    <w:p>
      <w:pPr>
        <w:spacing w:after="0" w:line="126"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2.05 Prepayments.</w:t>
      </w:r>
    </w:p>
    <w:p>
      <w:pPr>
        <w:spacing w:after="0" w:line="96" w:lineRule="exact"/>
        <w:rPr>
          <w:sz w:val="20"/>
          <w:szCs w:val="20"/>
          <w:color w:val="auto"/>
        </w:rPr>
      </w:pPr>
    </w:p>
    <w:p>
      <w:pPr>
        <w:ind w:left="-8" w:right="420" w:firstLine="464"/>
        <w:spacing w:after="0" w:line="286" w:lineRule="auto"/>
        <w:tabs>
          <w:tab w:leader="none" w:pos="687" w:val="left"/>
        </w:tabs>
        <w:numPr>
          <w:ilvl w:val="1"/>
          <w:numId w:val="58"/>
        </w:numPr>
        <w:rPr>
          <w:rFonts w:ascii="Arial" w:cs="Arial" w:eastAsia="Arial" w:hAnsi="Arial"/>
          <w:sz w:val="16"/>
          <w:szCs w:val="16"/>
          <w:color w:val="auto"/>
        </w:rPr>
      </w:pPr>
      <w:r>
        <w:rPr>
          <w:rFonts w:ascii="Arial" w:cs="Arial" w:eastAsia="Arial" w:hAnsi="Arial"/>
          <w:sz w:val="16"/>
          <w:szCs w:val="16"/>
          <w:color w:val="auto"/>
        </w:rPr>
        <w:t xml:space="preserve">Each Borrower may, upon notice from such Borrower to the Administrative Agent, at any time or from time to time voluntarily prepay Committed Loans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notice must be received by the Administrative Agent not later than 12:00 p.m.</w:t>
      </w:r>
    </w:p>
    <w:p>
      <w:pPr>
        <w:ind w:left="-8" w:right="20" w:firstLine="8"/>
        <w:spacing w:after="0" w:line="284" w:lineRule="auto"/>
        <w:tabs>
          <w:tab w:leader="none" w:pos="2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three (with respect to Committed Loans denominated in Canadian Dollars) or two (with respect to Committed Loans denominated in Dollars) Business Days prior to any date of prepayment of Eurocurrency Rate Committed Loans and (B) on the date of prepayment of Base Rate Committed Loans or Canadian Prime Rate Loans; (ii) any prepayment of Eurocurrency Rate Committed Loans denominated in Dollars shall be in a principal amount of $2,500,000 or a whole multiple of $250,000 in excess thereof; (iii) any prepayment of Eurocurrency Rate Loans denominated in Canadian Dollars shall be in a minimum principal amount of C$2,500,000 or a whole multiple of C$500,000 in excess thereof, (iv) any prepayment of Base Rate Committed Loans shall be in a principal amount of $250,000 or a whole multiple of $50,000 in excess thereof and (v) any prepayment of Canadian Prime Rate Loans shall be in a principal amount of C$250,000 or a whole multiple of C$50,000 in excess thereof, or, in each case, if less, the entire principal amount thereof then outstanding. Each such notice shall specify the date and amount of such prepayment and the Type(s) of Committed Loans to be prepaid and, if Eurocurrency Rate Committed Loans are to be prepaid, the Interest Period(s) of such Loans. The Administrative Agent will promptly notify each Lender of its receipt of each such notice, and of the amount of such Lender’s Applicable Percentage of such prepayment. If such notice is given by a Borrower, such Borrower shall make such prepayment and the payment amount specified in such notice shall be due and payable on the date specified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prepayment delivered by such Borrower may state that such notice is conditioned upon the effectiveness of other credit facilities or the closing of a securities offering, and the receipt of proceeds thereunder, in which case such notice may be revoked by such Borrower (by notice to the Administrative Agent on or prior to the specified effective date) if such conditions are not satisfied. Any prepayment of a Eurocurrency Rate Loan shall be accompanied by all accrued interest on the amount prepaid, together with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each such prepayment shall be applied to the Committed Loans of the Lenders in accordance with their respective Applicable Percentages. No Canadian BA may be prepaid except by depositing the full face amount of such Canadian BA with the Administrative Agent in accordance with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2.01A</w:t>
      </w:r>
      <w:r>
        <w:rPr>
          <w:rFonts w:ascii="Arial" w:cs="Arial" w:eastAsia="Arial" w:hAnsi="Arial"/>
          <w:sz w:val="16"/>
          <w:szCs w:val="16"/>
          <w:color w:val="auto"/>
        </w:rPr>
        <w:t>.</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12"/>
          </w:cols>
          <w:pgMar w:left="248" w:top="280" w:right="239" w:bottom="1440" w:gutter="0" w:footer="0" w:header="0"/>
        </w:sectPr>
      </w:pPr>
    </w:p>
    <w:bookmarkStart w:id="89" w:name="page90"/>
    <w:bookmarkEnd w:id="89"/>
    <w:p>
      <w:pPr>
        <w:ind w:right="160" w:firstLine="464"/>
        <w:spacing w:after="0" w:line="294" w:lineRule="auto"/>
        <w:tabs>
          <w:tab w:leader="none" w:pos="705" w:val="left"/>
        </w:tabs>
        <w:numPr>
          <w:ilvl w:val="0"/>
          <w:numId w:val="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Each Borrower may, upon notice to the Swing Line Lender (with a copy to the Administrative Agent), at any time or from time to time, voluntarily prepay Swing Line Loans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notice must be received by the Swing Line Lender and the Administrative Agent not later than 2:00 p.m. on the date of the prepayment, and (ii) any such prepayment shall be in a minimum principal amount of $100,000. Each such notice shall specify the date and amount of such prepayment. If such notice is given by a Borrower, such Borrower shall make such prepayment and the payment amount specified in such notice shall be due and payable on the date specified therein.</w:t>
      </w:r>
    </w:p>
    <w:p>
      <w:pPr>
        <w:spacing w:after="0" w:line="115" w:lineRule="exact"/>
        <w:rPr>
          <w:rFonts w:ascii="Arial" w:cs="Arial" w:eastAsia="Arial" w:hAnsi="Arial"/>
          <w:sz w:val="16"/>
          <w:szCs w:val="16"/>
          <w:color w:val="auto"/>
        </w:rPr>
      </w:pPr>
    </w:p>
    <w:p>
      <w:pPr>
        <w:ind w:firstLine="464"/>
        <w:spacing w:after="0" w:line="255" w:lineRule="auto"/>
        <w:tabs>
          <w:tab w:leader="none" w:pos="6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If for any reason the Outstanding Amount of all Loans, all L/C Obligations and all Canadian BA’s of any Borrower at any time exceeds such Borrower’s Collateral Value, such Borrower shall within one Business Day prepay Loans to such Borrower and/or Cash Collateralize the L/C Obligations or Canadian BA’s of such Borrower in an aggregate amount equal to such excess;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Borrower shall not be required to Cash Collateralize the L/C Obligations or Canadian BA’s pursuant to this </w:t>
      </w:r>
      <w:r>
        <w:rPr>
          <w:rFonts w:ascii="Arial" w:cs="Arial" w:eastAsia="Arial" w:hAnsi="Arial"/>
          <w:sz w:val="18"/>
          <w:szCs w:val="18"/>
          <w:u w:val="single" w:color="auto"/>
          <w:color w:val="auto"/>
        </w:rPr>
        <w:t>Section 2.05(c)</w:t>
      </w:r>
      <w:r>
        <w:rPr>
          <w:rFonts w:ascii="Arial" w:cs="Arial" w:eastAsia="Arial" w:hAnsi="Arial"/>
          <w:sz w:val="18"/>
          <w:szCs w:val="18"/>
          <w:color w:val="auto"/>
        </w:rPr>
        <w:t xml:space="preserve"> unless after the prepayment in full of the Committed Loans and Swing Line Loans to such Borrower, the Total Outstandings exceed the Aggregate Commitments then in effect.</w:t>
      </w:r>
    </w:p>
    <w:p>
      <w:pPr>
        <w:spacing w:after="0" w:line="142" w:lineRule="exact"/>
        <w:rPr>
          <w:rFonts w:ascii="Arial" w:cs="Arial" w:eastAsia="Arial" w:hAnsi="Arial"/>
          <w:sz w:val="18"/>
          <w:szCs w:val="18"/>
          <w:color w:val="auto"/>
        </w:rPr>
      </w:pPr>
    </w:p>
    <w:p>
      <w:pPr>
        <w:ind w:right="20" w:firstLine="464"/>
        <w:spacing w:after="0" w:line="254" w:lineRule="auto"/>
        <w:tabs>
          <w:tab w:leader="none" w:pos="705"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If for any reason the Total Outstandings at any time exceed an amount equal to 105% of the Aggregate Commitments then in effect, then each Borrower, as applicable, shall immediately upon demand prepay Loans made to such Borrower denominated in Canadian Dollars and/or Cash Collateralize L/C Obligations of such Borrower in Canadian Dollars and/or Canadian BA’s issued by such Borrower in an aggregate amount for all Borrowers at least equal to such excess;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Borrower shall be required to Cash Collateralize L/C Obligations denominated in Canadian Dollars or Canadian BA’s pursuant to this </w:t>
      </w:r>
      <w:r>
        <w:rPr>
          <w:rFonts w:ascii="Arial" w:cs="Arial" w:eastAsia="Arial" w:hAnsi="Arial"/>
          <w:sz w:val="18"/>
          <w:szCs w:val="18"/>
          <w:u w:val="single" w:color="auto"/>
          <w:color w:val="auto"/>
        </w:rPr>
        <w:t>Section 2.05(d)</w:t>
      </w:r>
      <w:r>
        <w:rPr>
          <w:rFonts w:ascii="Arial" w:cs="Arial" w:eastAsia="Arial" w:hAnsi="Arial"/>
          <w:sz w:val="18"/>
          <w:szCs w:val="18"/>
          <w:color w:val="auto"/>
        </w:rPr>
        <w:t xml:space="preserve"> unless after the prepayment in full of the Committed Loans and Swing Line Loans denominated in Canadian Dollars, the Total Outstandings exceed the Aggregate Commitments.</w:t>
      </w:r>
    </w:p>
    <w:p>
      <w:pPr>
        <w:spacing w:after="0" w:line="13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2.06 Termination or Reduction of Commitments. </w:t>
      </w:r>
      <w:r>
        <w:rPr>
          <w:rFonts w:ascii="Arial" w:cs="Arial" w:eastAsia="Arial" w:hAnsi="Arial"/>
          <w:sz w:val="16"/>
          <w:szCs w:val="16"/>
          <w:color w:val="auto"/>
        </w:rPr>
        <w:t>The Company may, upon notice to the Administrative Agent, terminate the Aggregate Commitments,</w:t>
      </w:r>
      <w:r>
        <w:rPr>
          <w:rFonts w:ascii="Arial" w:cs="Arial" w:eastAsia="Arial" w:hAnsi="Arial"/>
          <w:sz w:val="16"/>
          <w:szCs w:val="16"/>
          <w:b w:val="1"/>
          <w:bCs w:val="1"/>
          <w:color w:val="auto"/>
        </w:rPr>
        <w:t xml:space="preserve"> </w:t>
      </w:r>
      <w:r>
        <w:rPr>
          <w:rFonts w:ascii="Arial" w:cs="Arial" w:eastAsia="Arial" w:hAnsi="Arial"/>
          <w:sz w:val="16"/>
          <w:szCs w:val="16"/>
          <w:color w:val="auto"/>
        </w:rPr>
        <w:t>or from time to time permanently reduce the Aggregate Commitments; provided that (i) any such notice shall be received by the Administrative Agent not later than 12:00 p.m. two Business Days prior to the date of termination or reduction, (ii) any such partial reduction shall be in an aggregate amount of $1,000,000 or any whole multiple of $1,000,000 in excess thereof, (iii) the Company shall not terminate or reduce the Aggregate Commitments if, after giving effect thereto and to any concurrent prepayments hereunder, the Total Outstandings would exceed the Aggregate Commitments, and (iv) if, after giving effect to any reduction of the Aggregate Commitments, the Letter of Credit Sublimit or the Swing Line Sublimit exceeds the amount of the Aggregate Commitments, such Sublimit shall be automatically reduced by the amount of such excess. The Administrative Agent will promptly notify the Lenders of any such notice of termination or reduction of the Aggregate Commitments. The amount of any such Aggregate Commitment reduction shall not be applied to the Letter of Credit Sublimit or the Swing Line Sublimit unless otherwise specified by the Company. Any reduction of the Aggregate Commitments shall be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90" w:name="page91"/>
    <w:bookmarkEnd w:id="90"/>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applied to the Commitment of each Lender according to its Applicable Percentage. All fees accrued until the effective date of any termination of the Aggregate Commitments shall be paid on the effective date of such termination.</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2.07 Repayment of Loans</w:t>
      </w:r>
      <w:r>
        <w:rPr>
          <w:rFonts w:ascii="Arial" w:cs="Arial" w:eastAsia="Arial" w:hAnsi="Arial"/>
          <w:sz w:val="18"/>
          <w:szCs w:val="18"/>
          <w:color w:val="auto"/>
        </w:rPr>
        <w:t>.</w:t>
      </w:r>
    </w:p>
    <w:p>
      <w:pPr>
        <w:spacing w:after="0" w:line="96" w:lineRule="exact"/>
        <w:rPr>
          <w:sz w:val="20"/>
          <w:szCs w:val="20"/>
          <w:color w:val="auto"/>
        </w:rPr>
      </w:pPr>
    </w:p>
    <w:p>
      <w:pPr>
        <w:ind w:right="640" w:firstLine="464"/>
        <w:spacing w:after="0" w:line="268" w:lineRule="auto"/>
        <w:tabs>
          <w:tab w:leader="none" w:pos="6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Each Borrower shall repay to the Lenders on the Maturity Date the aggregate principal amount of Committed Loans made to such Borrower outstanding on such date.</w:t>
      </w:r>
    </w:p>
    <w:p>
      <w:pPr>
        <w:spacing w:after="0" w:line="131" w:lineRule="exact"/>
        <w:rPr>
          <w:rFonts w:ascii="Arial" w:cs="Arial" w:eastAsia="Arial" w:hAnsi="Arial"/>
          <w:sz w:val="18"/>
          <w:szCs w:val="18"/>
          <w:color w:val="auto"/>
        </w:rPr>
      </w:pPr>
    </w:p>
    <w:p>
      <w:pPr>
        <w:ind w:right="300" w:firstLine="464"/>
        <w:spacing w:after="0" w:line="268" w:lineRule="auto"/>
        <w:tabs>
          <w:tab w:leader="none" w:pos="705"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Borrower shall repay each Swing Line Loan made to such Borrower on the earlier to occur of (i) the date ten Business Days after such Loan is made and (ii) the Maturity Date.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2.08 Interest</w:t>
      </w:r>
      <w:r>
        <w:rPr>
          <w:rFonts w:ascii="Arial" w:cs="Arial" w:eastAsia="Arial" w:hAnsi="Arial"/>
          <w:sz w:val="18"/>
          <w:szCs w:val="18"/>
          <w:color w:val="auto"/>
        </w:rPr>
        <w:t>.</w:t>
      </w:r>
    </w:p>
    <w:p>
      <w:pPr>
        <w:spacing w:after="0" w:line="96" w:lineRule="exact"/>
        <w:rPr>
          <w:sz w:val="20"/>
          <w:szCs w:val="20"/>
          <w:color w:val="auto"/>
        </w:rPr>
      </w:pPr>
    </w:p>
    <w:p>
      <w:pPr>
        <w:ind w:firstLine="464"/>
        <w:spacing w:after="0" w:line="287" w:lineRule="auto"/>
        <w:tabs>
          <w:tab w:leader="none" w:pos="695"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(a) Subject to the provisions of subsection (b) below, (i) each Eurocurrency Rate Committed Loan shall bear interest on the outstanding principal amount thereof for each Interest Period at a rate per annum equal to the Eurocurrency Rate for such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(ii) each Base Rate Committed Loan shall bear interest on the outstanding principal amount thereof from the applicable borrowing date at a rate per annum equal to the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(iii) each Canadian Prime Rate Committed Loan shall bear interest on the outstanding principal amount thereof from the applicable borrowing date at a rate per annum equal to the Canadian Prime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(iv) each Eurocurrency Rate Swing Line Loan shall bear interest on the outstanding principal amount thereof for each Interest Period at a rate per annum equal to the daily floating Eurocurrency Rate provided in clause (b) of the definition thereof for such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(v) each Base Rate Swing Line Loan shall bear interest on the outstanding principal amount thereof from the applicable borrowing date at a rate per annum equal to the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and (vi) each Canadian Prime Rate Swing Line Loan shall bear interest on the outstanding principal amount thereof from the applicable borrowing date at a rate per annum equal to the Canadian Prime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w:t>
      </w:r>
    </w:p>
    <w:p>
      <w:pPr>
        <w:spacing w:after="0" w:line="122" w:lineRule="exact"/>
        <w:rPr>
          <w:rFonts w:ascii="Arial" w:cs="Arial" w:eastAsia="Arial" w:hAnsi="Arial"/>
          <w:sz w:val="16"/>
          <w:szCs w:val="16"/>
          <w:color w:val="auto"/>
        </w:rPr>
      </w:pPr>
    </w:p>
    <w:p>
      <w:pPr>
        <w:ind w:right="380" w:firstLine="464"/>
        <w:spacing w:after="0" w:line="259" w:lineRule="auto"/>
        <w:tabs>
          <w:tab w:leader="none" w:pos="705"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59" w:lineRule="exact"/>
        <w:rPr>
          <w:rFonts w:ascii="Arial" w:cs="Arial" w:eastAsia="Arial" w:hAnsi="Arial"/>
          <w:sz w:val="18"/>
          <w:szCs w:val="18"/>
          <w:color w:val="auto"/>
        </w:rPr>
      </w:pPr>
    </w:p>
    <w:p>
      <w:pPr>
        <w:ind w:left="460" w:right="20" w:firstLine="443"/>
        <w:spacing w:after="0" w:line="306" w:lineRule="auto"/>
        <w:tabs>
          <w:tab w:leader="none" w:pos="1157" w:val="left"/>
        </w:tabs>
        <w:numPr>
          <w:ilvl w:val="1"/>
          <w:numId w:val="62"/>
        </w:numPr>
        <w:rPr>
          <w:rFonts w:ascii="Arial" w:cs="Arial" w:eastAsia="Arial" w:hAnsi="Arial"/>
          <w:sz w:val="16"/>
          <w:szCs w:val="16"/>
          <w:color w:val="auto"/>
        </w:rPr>
      </w:pPr>
      <w:r>
        <w:rPr>
          <w:rFonts w:ascii="Arial" w:cs="Arial" w:eastAsia="Arial" w:hAnsi="Arial"/>
          <w:sz w:val="16"/>
          <w:szCs w:val="16"/>
          <w:color w:val="auto"/>
        </w:rPr>
        <w:t>If any amount (other than principal of any Loan) payable by any Borrower under any Loan Document is not paid when due,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91" w:name="page92"/>
    <w:bookmarkEnd w:id="91"/>
    <w:p>
      <w:pPr>
        <w:ind w:left="460" w:right="320" w:firstLine="443"/>
        <w:spacing w:after="0" w:line="332" w:lineRule="auto"/>
        <w:tabs>
          <w:tab w:leader="none" w:pos="1205" w:val="left"/>
        </w:tabs>
        <w:numPr>
          <w:ilvl w:val="1"/>
          <w:numId w:val="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any Default Rate Period, each Borrower shall pay interest on the principal amount of all of its outstanding Obligations hereunder at a fluctuating interest rate per annum at all times equal to the Default Rate to the fullest extent permitted by applicable Laws.</w:t>
      </w:r>
    </w:p>
    <w:p>
      <w:pPr>
        <w:spacing w:after="0" w:line="4" w:lineRule="exact"/>
        <w:rPr>
          <w:rFonts w:ascii="Arial" w:cs="Arial" w:eastAsia="Arial" w:hAnsi="Arial"/>
          <w:sz w:val="16"/>
          <w:szCs w:val="16"/>
          <w:color w:val="auto"/>
        </w:rPr>
      </w:pPr>
    </w:p>
    <w:p>
      <w:pPr>
        <w:ind w:left="1200" w:hanging="297"/>
        <w:spacing w:after="0"/>
        <w:tabs>
          <w:tab w:leader="none" w:pos="12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 upon demand.</w:t>
      </w:r>
    </w:p>
    <w:p>
      <w:pPr>
        <w:spacing w:after="0" w:line="194" w:lineRule="exact"/>
        <w:rPr>
          <w:rFonts w:ascii="Arial" w:cs="Arial" w:eastAsia="Arial" w:hAnsi="Arial"/>
          <w:sz w:val="16"/>
          <w:szCs w:val="16"/>
          <w:color w:val="auto"/>
        </w:rPr>
      </w:pPr>
    </w:p>
    <w:p>
      <w:pPr>
        <w:ind w:right="20" w:firstLine="464"/>
        <w:spacing w:after="0" w:line="259" w:lineRule="auto"/>
        <w:tabs>
          <w:tab w:leader="none" w:pos="6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40" w:lineRule="exact"/>
        <w:rPr>
          <w:rFonts w:ascii="Arial" w:cs="Arial" w:eastAsia="Arial" w:hAnsi="Arial"/>
          <w:sz w:val="18"/>
          <w:szCs w:val="18"/>
          <w:color w:val="auto"/>
        </w:rPr>
      </w:pPr>
    </w:p>
    <w:p>
      <w:pPr>
        <w:ind w:right="260" w:firstLine="464"/>
        <w:spacing w:after="0" w:line="294" w:lineRule="auto"/>
        <w:tabs>
          <w:tab w:leader="none" w:pos="705" w:val="left"/>
        </w:tabs>
        <w:numPr>
          <w:ilvl w:val="0"/>
          <w:numId w:val="64"/>
        </w:numPr>
        <w:rPr>
          <w:rFonts w:ascii="Arial" w:cs="Arial" w:eastAsia="Arial" w:hAnsi="Arial"/>
          <w:sz w:val="16"/>
          <w:szCs w:val="16"/>
          <w:color w:val="auto"/>
        </w:rPr>
      </w:pPr>
      <w:r>
        <w:rPr>
          <w:rFonts w:ascii="Arial" w:cs="Arial" w:eastAsia="Arial" w:hAnsi="Arial"/>
          <w:sz w:val="16"/>
          <w:szCs w:val="16"/>
          <w:color w:val="auto"/>
        </w:rPr>
        <w:t>For the purposes of the Interest Act (Canada), (i) whenever a rate of interest or fee rate hereunder is calculated on the basis of a year (the “deemed year”)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 (iii) the rates of interest stipulated herein are intended to be nominal rates and not effective rates or yields.</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2.09 Fees. </w:t>
      </w:r>
      <w:r>
        <w:rPr>
          <w:rFonts w:ascii="Arial" w:cs="Arial" w:eastAsia="Arial" w:hAnsi="Arial"/>
          <w:sz w:val="18"/>
          <w:szCs w:val="18"/>
          <w:color w:val="auto"/>
        </w:rPr>
        <w:t>In addition to certain fees described in subsections (h) and (i)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77" w:lineRule="exact"/>
        <w:rPr>
          <w:sz w:val="20"/>
          <w:szCs w:val="20"/>
          <w:color w:val="auto"/>
        </w:rPr>
      </w:pPr>
    </w:p>
    <w:p>
      <w:pPr>
        <w:ind w:firstLine="464"/>
        <w:spacing w:after="0" w:line="288" w:lineRule="auto"/>
        <w:tabs>
          <w:tab w:leader="none" w:pos="695"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Commitment Fee</w:t>
      </w:r>
      <w:r>
        <w:rPr>
          <w:rFonts w:ascii="Arial" w:cs="Arial" w:eastAsia="Arial" w:hAnsi="Arial"/>
          <w:sz w:val="16"/>
          <w:szCs w:val="16"/>
          <w:color w:val="auto"/>
        </w:rPr>
        <w:t xml:space="preserve">. Each Borrower shall pay to the Administrative Agent for the account of each Lender in accordance with its Applicable Percentage, a commitment fee in Dollars equal to (A) fifty percent (50%) times (B) (1) the Applicable Rate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(2) the actual daily amount by which the Aggregate Commitments exceed the sum of (i) the Outstanding Amount of all Committed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Outstanding Amount of all L/C Obligations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(iii) the Outstanding Amount of all Canadian Bankers’ Acceptances, subject to adjustment as provided in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The commitment fee shall accrue at all times during the Availability Period, including at any time during the Availability Period during which one or more of the conditions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19" w:lineRule="exact"/>
        <w:rPr>
          <w:rFonts w:ascii="Arial" w:cs="Arial" w:eastAsia="Arial" w:hAnsi="Arial"/>
          <w:sz w:val="16"/>
          <w:szCs w:val="16"/>
          <w:color w:val="auto"/>
        </w:rPr>
      </w:pPr>
    </w:p>
    <w:p>
      <w:pPr>
        <w:jc w:val="both"/>
        <w:ind w:right="120" w:firstLine="464"/>
        <w:spacing w:after="0" w:line="259" w:lineRule="auto"/>
        <w:tabs>
          <w:tab w:leader="none" w:pos="70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(i) The Company shall pay to the Arrangers and the Administrative Agent for their own respective accounts in Dollars fees in the amounts and at the times specified in their respective Fee Letters. Such fees shall be fully earned when paid and shall not be refundable for any reason whatsoever, except as expressly set forth therein.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92" w:name="page93"/>
    <w:bookmarkEnd w:id="92"/>
    <w:p>
      <w:pPr>
        <w:ind w:left="460" w:right="100" w:firstLine="443"/>
        <w:spacing w:after="0" w:line="259" w:lineRule="auto"/>
        <w:tabs>
          <w:tab w:leader="none" w:pos="1157"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shall pay to the Lenders such fees as shall have been separately agreed upon between the Company and the Administrative Agent and/or Lenders, as the case may be, in writing in the amounts and at the times so specified. Such fees shall be fully earned when paid and shall not be refundable for any reason whatsoever, except as expressly agreed to in writing.</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2.10 Computation of Interest and Fees.</w:t>
      </w:r>
    </w:p>
    <w:p>
      <w:pPr>
        <w:spacing w:after="0" w:line="9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 xml:space="preserve">All computations of interest for Base Rate Loans (including Base Rate Loans determined by reference to the Eurocurrency Rate) and Canadian Prime Rate Loans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subject to </w:t>
      </w:r>
      <w:r>
        <w:rPr>
          <w:rFonts w:ascii="Arial" w:cs="Arial" w:eastAsia="Arial" w:hAnsi="Arial"/>
          <w:sz w:val="18"/>
          <w:szCs w:val="18"/>
          <w:u w:val="single" w:color="auto"/>
          <w:color w:val="auto"/>
        </w:rPr>
        <w:t>Section 2.12(a)</w:t>
      </w:r>
      <w:r>
        <w:rPr>
          <w:rFonts w:ascii="Arial" w:cs="Arial" w:eastAsia="Arial" w:hAnsi="Arial"/>
          <w:sz w:val="18"/>
          <w:szCs w:val="18"/>
          <w:color w:val="auto"/>
        </w:rPr>
        <w:t>, bear interest for one day. Each determination by the Administrative Agent of an interest rate or fee hereunder shall be conclusive and binding for all purposes, absent manifest error.</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2.11 Evidence of Debt.</w:t>
      </w:r>
    </w:p>
    <w:p>
      <w:pPr>
        <w:spacing w:after="0" w:line="96" w:lineRule="exact"/>
        <w:rPr>
          <w:sz w:val="20"/>
          <w:szCs w:val="20"/>
          <w:color w:val="auto"/>
        </w:rPr>
      </w:pPr>
    </w:p>
    <w:p>
      <w:pPr>
        <w:ind w:firstLine="464"/>
        <w:spacing w:after="0" w:line="287" w:lineRule="auto"/>
        <w:tabs>
          <w:tab w:leader="none" w:pos="69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each Borrower and the interest and payments thereon. Any failure to so record or any error in doing so shall not, however, limit or otherwise affect the obligation of the Borrowers hereunder to pay any amount owing on their respective payment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a Borrower made through the Administrative Agent, such Borrower shall execute and deliver to such Lender (through the Administrative Agent) a Committed Loan Note and/or a Swing Line Note, as applicable, which shall evidence such Lender’s Loans to such Borrower in addition to such accounts or records. Each Lender may attach schedules to a Note and endorse thereon the date, Type (if applicable), amount, currency and maturity of its Loans and payments with respect thereto.</w:t>
      </w:r>
    </w:p>
    <w:p>
      <w:pPr>
        <w:spacing w:after="0" w:line="122" w:lineRule="exact"/>
        <w:rPr>
          <w:rFonts w:ascii="Arial" w:cs="Arial" w:eastAsia="Arial" w:hAnsi="Arial"/>
          <w:sz w:val="16"/>
          <w:szCs w:val="16"/>
          <w:color w:val="auto"/>
        </w:rPr>
      </w:pPr>
    </w:p>
    <w:p>
      <w:pPr>
        <w:ind w:right="40" w:firstLine="464"/>
        <w:spacing w:after="0" w:line="298" w:lineRule="auto"/>
        <w:tabs>
          <w:tab w:leader="none" w:pos="705"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 addition to the accounts and records referred to in subsection (a),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sectPr>
      </w:pPr>
    </w:p>
    <w:bookmarkStart w:id="93" w:name="page94"/>
    <w:bookmarkEnd w:id="93"/>
    <w:p>
      <w:pPr>
        <w:ind w:left="45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2.12 Payments Generally; Administrative Agent’s Clawback.</w:t>
      </w:r>
    </w:p>
    <w:p>
      <w:pPr>
        <w:spacing w:after="0" w:line="96" w:lineRule="exact"/>
        <w:rPr>
          <w:sz w:val="20"/>
          <w:szCs w:val="20"/>
          <w:color w:val="auto"/>
        </w:rPr>
      </w:pPr>
    </w:p>
    <w:p>
      <w:pPr>
        <w:ind w:left="-8" w:firstLine="464"/>
        <w:spacing w:after="0" w:line="301" w:lineRule="auto"/>
        <w:tabs>
          <w:tab w:leader="none" w:pos="687" w:val="left"/>
        </w:tabs>
        <w:numPr>
          <w:ilvl w:val="1"/>
          <w:numId w:val="68"/>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All payments to be made by the Borrowers shall be made without condition or deduction for any counterclaim, defense, recoupment or setoff. Except as otherwise expressly provided herein and except with respect to principal of and interest on Loans denominated in Canadian Dollars, all payments by the Borrowers hereunder shall be made to the Administrative Agent, for the account of the respective Lenders to which such payment is owed, at the Administrative Agent’s Office in Dollars and in Same Day Funds not later than 2:00 p.m. on the date specified herein. Except as otherwise expressly provided herein, all payments by the Borrowers hereunder with respect to principal and interest on Loans denominated in Canadian Dollars shall be made to the Administrative Agent, for the account of the respective Lenders to which such payment is owed, at the applicable Administrative Agent’s Office in Canadian Dollars and in Same Day Funds not later than the Applicable Time specified by the Administrative Agent on the dates specified herein. If, for any reason, any Borrower is prohibited by any Law from making any required payment hereunder in Canadian Dollars, such Borrower shall make such payment in Dollars in the Dollar Equivalent of the Canadian Dollars payment amount. The Administrative Agent will promptly distribute to each Lender its Applicable Percentage (or other applicable share as provided herein) of such payment in like funds as received by wire transfer to such Lender’s Lending Office. All payments received by the Administrative Agent</w:t>
      </w:r>
    </w:p>
    <w:p>
      <w:pPr>
        <w:spacing w:after="0" w:line="3" w:lineRule="exact"/>
        <w:rPr>
          <w:rFonts w:ascii="Arial" w:cs="Arial" w:eastAsia="Arial" w:hAnsi="Arial"/>
          <w:sz w:val="15"/>
          <w:szCs w:val="15"/>
          <w:color w:val="auto"/>
        </w:rPr>
      </w:pPr>
    </w:p>
    <w:p>
      <w:pPr>
        <w:jc w:val="both"/>
        <w:ind w:left="-8" w:right="40" w:firstLine="8"/>
        <w:spacing w:after="0" w:line="254" w:lineRule="auto"/>
        <w:tabs>
          <w:tab w:leader="none" w:pos="202" w:val="left"/>
        </w:tabs>
        <w:numPr>
          <w:ilvl w:val="0"/>
          <w:numId w:val="69"/>
        </w:numPr>
        <w:rPr>
          <w:rFonts w:ascii="Arial" w:cs="Arial" w:eastAsia="Arial" w:hAnsi="Arial"/>
          <w:sz w:val="18"/>
          <w:szCs w:val="18"/>
          <w:color w:val="auto"/>
        </w:rPr>
      </w:pPr>
      <w:r>
        <w:rPr>
          <w:rFonts w:ascii="Arial" w:cs="Arial" w:eastAsia="Arial" w:hAnsi="Arial"/>
          <w:sz w:val="18"/>
          <w:szCs w:val="18"/>
          <w:color w:val="auto"/>
        </w:rPr>
        <w:t>after 2:00 p.m., in the case of payments in Dollars, or (ii) after the Applicable Time specified by the Administrative Agent in the case of payments in Canadian Dollars, shall in each case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143" w:lineRule="exact"/>
        <w:rPr>
          <w:rFonts w:ascii="Arial" w:cs="Arial" w:eastAsia="Arial" w:hAnsi="Arial"/>
          <w:sz w:val="18"/>
          <w:szCs w:val="18"/>
          <w:color w:val="auto"/>
        </w:rPr>
      </w:pPr>
    </w:p>
    <w:p>
      <w:pPr>
        <w:ind w:left="-8" w:right="40" w:firstLine="464"/>
        <w:spacing w:after="0" w:line="286" w:lineRule="auto"/>
        <w:tabs>
          <w:tab w:leader="none" w:pos="697" w:val="left"/>
        </w:tabs>
        <w:numPr>
          <w:ilvl w:val="1"/>
          <w:numId w:val="69"/>
        </w:numPr>
        <w:rPr>
          <w:rFonts w:ascii="Arial" w:cs="Arial" w:eastAsia="Arial" w:hAnsi="Arial"/>
          <w:sz w:val="16"/>
          <w:szCs w:val="16"/>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xml:space="preserve">. Unless the Administrative Agent shall have received notice from a Lender prior to the proposed date of any Committed Borrowing of Eurocurrency Rate Loans (or, in the case of any Committed Borrowing of Base Rate Loans or Canadian Prime Rate Loans prior to 1:00 p.m. on the date of such Committed Borrowing) that such Lender will not make available to the Administrative Agent such Lender’s share of such Committed Borrowing, the Administrative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Committed Borrowing of Base Rate Loans or Canadian Prime Rate Loans, that such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and may, in reliance upon such assumption, make available to the applicable Borrower a corresponding amount. In such event, if a Lender has not in fact made its share of the applicable Committed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greater of the applicable Overnight Rate from time to time in effect and a rate determined by the Administrative Agent in accordance with banking industry rules on interbank compensation, plus any administrative, processing or similar fees customarily charged by the Administrative Agent in connection with the foregoing,</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12"/>
          </w:cols>
          <w:pgMar w:left="248" w:top="274" w:right="239" w:bottom="1440" w:gutter="0" w:footer="0" w:header="0"/>
        </w:sectPr>
      </w:pPr>
    </w:p>
    <w:bookmarkStart w:id="94" w:name="page95"/>
    <w:bookmarkEnd w:id="94"/>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(B) in the case of a payment to be made by such Borrower, the interest rate applicable to Base Rate Loans or Canadian Prime Rate Loans, as applicable. If such Borrower and such Lender shall pay such principal or interest to the Administrative Agent for the same or an overlapping period, the Administrative Agent shall promptly remit to such Borrower the amount of such principal and interest paid by such Borrower for such period. If such Lender pays its share of the applicable Committed Borrowing to the Administrative Agent, then the amount so paid (excluding interest and fees as aforesaid) shall constitute such Lender’s Committed Loan included in such Committed Borrowing. Any payment by such Borrower shall be without prejudice to any claim such Borrower may have against a Lender that shall have failed to make such payment to the Administrative Agent.</w:t>
      </w:r>
    </w:p>
    <w:p>
      <w:pPr>
        <w:spacing w:after="0" w:line="39" w:lineRule="exact"/>
        <w:rPr>
          <w:sz w:val="20"/>
          <w:szCs w:val="20"/>
          <w:color w:val="auto"/>
        </w:rPr>
      </w:pPr>
    </w:p>
    <w:p>
      <w:pPr>
        <w:ind w:left="460" w:firstLine="443"/>
        <w:spacing w:after="0" w:line="310" w:lineRule="auto"/>
        <w:tabs>
          <w:tab w:leader="none" w:pos="1156" w:val="left"/>
        </w:tabs>
        <w:numPr>
          <w:ilvl w:val="0"/>
          <w:numId w:val="70"/>
        </w:numPr>
        <w:rPr>
          <w:rFonts w:ascii="Arial" w:cs="Arial" w:eastAsia="Arial" w:hAnsi="Arial"/>
          <w:sz w:val="15"/>
          <w:szCs w:val="15"/>
          <w:color w:val="auto"/>
        </w:rPr>
      </w:pPr>
      <w:r>
        <w:rPr>
          <w:rFonts w:ascii="Arial" w:cs="Arial" w:eastAsia="Arial" w:hAnsi="Arial"/>
          <w:sz w:val="15"/>
          <w:szCs w:val="15"/>
          <w:u w:val="single" w:color="auto"/>
          <w:color w:val="auto"/>
        </w:rPr>
        <w:t>Payments by Borrowers; Presumptions by Administrative Agent</w:t>
      </w:r>
      <w:r>
        <w:rPr>
          <w:rFonts w:ascii="Arial" w:cs="Arial" w:eastAsia="Arial" w:hAnsi="Arial"/>
          <w:sz w:val="15"/>
          <w:szCs w:val="15"/>
          <w:color w:val="auto"/>
        </w:rPr>
        <w:t>. Unless the Administrative Agent shall have received notice from a Borrower prior to the date on which any payment is due to the Administrative Agent for the account of the Lenders or the L/C Issuer hereunder that such Borrower will not make such payment, the Administrative Agent may assume that such Borrower has made such payment on such date in accordance herewith and may, in reliance upon such assumption, distribute to the Lenders or the L/C Issuer, as the case may be, the amount due. In such event, if such Borrower has not in fact made such payment, then each of the Lenders or the L/C Issuer, as the case may be, severally agrees to repay to the Administrative Agent forthwith on demand the amount so distributed to such Lender or the L/C Issuer, in Same Day Funds with interest thereon, for each day from and including the date such amount is distributed to it to but excluding the date of payment to the Administrative Agent, at the greater of the applicable Overnight Rate from time to time in effect and a rate determined by the Administrative Agent in accordance with banking industry rules on interbank compensation.</w:t>
      </w:r>
    </w:p>
    <w:p>
      <w:pPr>
        <w:spacing w:after="0" w:line="10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 notice of the Administrative Agent to any Lender or Borrower with respect to any amount owing under this subsection (b) shall be conclusive, absent manifest error.</w:t>
      </w:r>
    </w:p>
    <w:p>
      <w:pPr>
        <w:spacing w:after="0" w:line="132" w:lineRule="exact"/>
        <w:rPr>
          <w:sz w:val="20"/>
          <w:szCs w:val="20"/>
          <w:color w:val="auto"/>
        </w:rPr>
      </w:pPr>
    </w:p>
    <w:p>
      <w:pPr>
        <w:ind w:right="180" w:firstLine="464"/>
        <w:spacing w:after="0" w:line="298" w:lineRule="auto"/>
        <w:tabs>
          <w:tab w:leader="none" w:pos="695"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Failure to Satisfy Conditions Precedent</w:t>
      </w:r>
      <w:r>
        <w:rPr>
          <w:rFonts w:ascii="Arial" w:cs="Arial" w:eastAsia="Arial" w:hAnsi="Arial"/>
          <w:sz w:val="16"/>
          <w:szCs w:val="16"/>
          <w:color w:val="auto"/>
        </w:rPr>
        <w:t xml:space="preserve">. If any Lender makes available to the Administrative Agent funds for any Loan to be made by such Lender to any Borrower as provided in the foregoing provisions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such funds are not made available to such Borrower by the Administrative Agent because the conditions to the applicable Credit Extension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are not satisfied or waived in accordance with the terms hereof, the Administrative Agent shall return such funds (in like funds as received from such Lender) to such Lender, without interest.</w:t>
      </w:r>
    </w:p>
    <w:p>
      <w:pPr>
        <w:spacing w:after="0" w:line="112" w:lineRule="exact"/>
        <w:rPr>
          <w:rFonts w:ascii="Arial" w:cs="Arial" w:eastAsia="Arial" w:hAnsi="Arial"/>
          <w:sz w:val="16"/>
          <w:szCs w:val="16"/>
          <w:color w:val="auto"/>
        </w:rPr>
      </w:pPr>
    </w:p>
    <w:p>
      <w:pPr>
        <w:ind w:right="80" w:firstLine="464"/>
        <w:spacing w:after="0" w:line="255" w:lineRule="auto"/>
        <w:tabs>
          <w:tab w:leader="none" w:pos="705"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xml:space="preserve">. The obligations of the Lenders hereunder to make Committed Loans, to fund participations in Letters of Credit and Swing Line Loans and to make payments pursuant to </w:t>
      </w:r>
      <w:r>
        <w:rPr>
          <w:rFonts w:ascii="Arial" w:cs="Arial" w:eastAsia="Arial" w:hAnsi="Arial"/>
          <w:sz w:val="18"/>
          <w:szCs w:val="18"/>
          <w:u w:val="single" w:color="auto"/>
          <w:color w:val="auto"/>
        </w:rPr>
        <w:t>Section 11.04(d)</w:t>
      </w:r>
      <w:r>
        <w:rPr>
          <w:rFonts w:ascii="Arial" w:cs="Arial" w:eastAsia="Arial" w:hAnsi="Arial"/>
          <w:sz w:val="18"/>
          <w:szCs w:val="18"/>
          <w:color w:val="auto"/>
        </w:rPr>
        <w:t xml:space="preserve"> are several and not joint. The failure of any Lender to make any Committed Loan, to fund any such participation or to make any payment under </w:t>
      </w:r>
      <w:r>
        <w:rPr>
          <w:rFonts w:ascii="Arial" w:cs="Arial" w:eastAsia="Arial" w:hAnsi="Arial"/>
          <w:sz w:val="18"/>
          <w:szCs w:val="18"/>
          <w:u w:val="single" w:color="auto"/>
          <w:color w:val="auto"/>
        </w:rPr>
        <w:t>Section 11.04(d)</w:t>
      </w:r>
      <w:r>
        <w:rPr>
          <w:rFonts w:ascii="Arial" w:cs="Arial" w:eastAsia="Arial" w:hAnsi="Arial"/>
          <w:sz w:val="18"/>
          <w:szCs w:val="18"/>
          <w:color w:val="auto"/>
        </w:rPr>
        <w:t xml:space="preserve"> on any date required hereunder shall not relieve any other Lender of its corresponding obligation to do so on such date, and no Lender shall be responsible for the failure of any other Lender to so make its Committed Loan, to purchase its participation or to make its payment under </w:t>
      </w:r>
      <w:r>
        <w:rPr>
          <w:rFonts w:ascii="Arial" w:cs="Arial" w:eastAsia="Arial" w:hAnsi="Arial"/>
          <w:sz w:val="18"/>
          <w:szCs w:val="18"/>
          <w:u w:val="single" w:color="auto"/>
          <w:color w:val="auto"/>
        </w:rPr>
        <w:t>Section 11.04(d)</w:t>
      </w:r>
      <w:r>
        <w:rPr>
          <w:rFonts w:ascii="Arial" w:cs="Arial" w:eastAsia="Arial" w:hAnsi="Arial"/>
          <w:sz w:val="18"/>
          <w:szCs w:val="18"/>
          <w:color w:val="auto"/>
        </w:rPr>
        <w: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80" w:right="279" w:bottom="1440" w:gutter="0" w:footer="0" w:header="0"/>
        </w:sectPr>
      </w:pPr>
    </w:p>
    <w:bookmarkStart w:id="95" w:name="page96"/>
    <w:bookmarkEnd w:id="95"/>
    <w:p>
      <w:pPr>
        <w:ind w:right="580" w:firstLine="464"/>
        <w:spacing w:after="0" w:line="332" w:lineRule="auto"/>
        <w:tabs>
          <w:tab w:leader="none" w:pos="695"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Funding Source</w:t>
      </w:r>
      <w:r>
        <w:rPr>
          <w:rFonts w:ascii="Arial" w:cs="Arial" w:eastAsia="Arial" w:hAnsi="Arial"/>
          <w:sz w:val="16"/>
          <w:szCs w:val="16"/>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7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2.13 Sharing of Payments by Lenders. </w:t>
      </w:r>
      <w:r>
        <w:rPr>
          <w:rFonts w:ascii="Arial" w:cs="Arial" w:eastAsia="Arial" w:hAnsi="Arial"/>
          <w:sz w:val="16"/>
          <w:szCs w:val="16"/>
          <w:color w:val="auto"/>
        </w:rPr>
        <w:t>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11.08</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a Defaulting Lender, if any Lender shall, by exercising any right of setoff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counterclaim or otherwise, obtain payment in respect of any principal of or interest on any of the Committed Loans made by it or Canadian BA’s accepted by it, or the participations in L/C Obligations or in Swing Line Loans held by it resulting in such Lender’s receiving payment of a proportion of the aggregate amount of such Committed Loans or participations and accrued interest thereon greater than its Applicable Percentage thereof as provided herein, then the Lender receiving such greater proportion shall (a) notify the Administrative Agent of such fact, and (b) purchase (for cash at face value) participations in the Committed Loans and Canadian BA’s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Committed Loans and other amounts owing them,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37" w:lineRule="exact"/>
        <w:rPr>
          <w:sz w:val="20"/>
          <w:szCs w:val="20"/>
          <w:color w:val="auto"/>
        </w:rPr>
      </w:pPr>
    </w:p>
    <w:p>
      <w:pPr>
        <w:ind w:left="460" w:right="780" w:firstLine="443"/>
        <w:spacing w:after="0" w:line="332" w:lineRule="auto"/>
        <w:tabs>
          <w:tab w:leader="none" w:pos="1108" w:val="left"/>
        </w:tabs>
        <w:numPr>
          <w:ilvl w:val="0"/>
          <w:numId w:val="73"/>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4" w:lineRule="exact"/>
        <w:rPr>
          <w:rFonts w:ascii="Arial" w:cs="Arial" w:eastAsia="Arial" w:hAnsi="Arial"/>
          <w:sz w:val="16"/>
          <w:szCs w:val="16"/>
          <w:color w:val="auto"/>
        </w:rPr>
      </w:pPr>
    </w:p>
    <w:p>
      <w:pPr>
        <w:ind w:left="460" w:right="240" w:firstLine="443"/>
        <w:spacing w:after="0" w:line="294" w:lineRule="auto"/>
        <w:tabs>
          <w:tab w:leader="none" w:pos="1157"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the provisions of this Section shall not be construed to apply to (x) any payment made by or on behalf of a Borrower pursuant to and in accordance with the express terms of this Agreement (including the application of funds arising from the existence of a Defaulting Lender), (y) the application of Cash Collateral provided for in </w:t>
      </w:r>
      <w:r>
        <w:rPr>
          <w:rFonts w:ascii="Arial" w:cs="Arial" w:eastAsia="Arial" w:hAnsi="Arial"/>
          <w:sz w:val="16"/>
          <w:szCs w:val="16"/>
          <w:u w:val="single" w:color="auto"/>
          <w:color w:val="auto"/>
        </w:rPr>
        <w:t>Section 2.16</w:t>
      </w:r>
      <w:r>
        <w:rPr>
          <w:rFonts w:ascii="Arial" w:cs="Arial" w:eastAsia="Arial" w:hAnsi="Arial"/>
          <w:sz w:val="16"/>
          <w:szCs w:val="16"/>
          <w:color w:val="auto"/>
        </w:rPr>
        <w:t>, or (z) any payment obtained by a Lender as consideration for the assignment of or sale of a participation in any of its Committed Loans or Canadian BA’s or subparticipations in L/C Obligations or Swing Line Loans to any permitted assignee or participant, other than an assignment to the Company or any Subsidiary thereof (as to which the provisions of this Section shall apply).</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2.14 Extension of Maturity Date.</w:t>
      </w:r>
    </w:p>
    <w:p>
      <w:pPr>
        <w:spacing w:after="0" w:line="96" w:lineRule="exact"/>
        <w:rPr>
          <w:sz w:val="20"/>
          <w:szCs w:val="20"/>
          <w:color w:val="auto"/>
        </w:rPr>
      </w:pPr>
    </w:p>
    <w:p>
      <w:pPr>
        <w:ind w:firstLine="464"/>
        <w:spacing w:after="0" w:line="256" w:lineRule="auto"/>
        <w:tabs>
          <w:tab w:leader="none" w:pos="69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Requests for Extension</w:t>
      </w:r>
      <w:r>
        <w:rPr>
          <w:rFonts w:ascii="Arial" w:cs="Arial" w:eastAsia="Arial" w:hAnsi="Arial"/>
          <w:sz w:val="18"/>
          <w:szCs w:val="18"/>
          <w:color w:val="auto"/>
        </w:rPr>
        <w:t>. The Company may once each calendar year during the Availability Period, by notice to the Administrative Agent (who shall promptly notify the Lenders) not earlier than 30 days prior to the first anniversary of the Closing Date and not later than 30 days prior to the Maturity Date then in effect hereunder (the “</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request that each Lender extend such Lender’s Maturity Date for one additional year from the Existing Maturity Date.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80" w:right="259" w:bottom="1440" w:gutter="0" w:footer="0" w:header="0"/>
        </w:sectPr>
      </w:pPr>
    </w:p>
    <w:bookmarkStart w:id="96" w:name="page97"/>
    <w:bookmarkEnd w:id="96"/>
    <w:p>
      <w:pPr>
        <w:ind w:right="60" w:firstLine="464"/>
        <w:spacing w:after="0" w:line="290" w:lineRule="auto"/>
        <w:tabs>
          <w:tab w:leader="none" w:pos="705"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Lender Elections to Extend</w:t>
      </w:r>
      <w:r>
        <w:rPr>
          <w:rFonts w:ascii="Arial" w:cs="Arial" w:eastAsia="Arial" w:hAnsi="Arial"/>
          <w:sz w:val="16"/>
          <w:szCs w:val="16"/>
          <w:color w:val="auto"/>
        </w:rPr>
        <w:t>. Each Lender, acting in its sole and individual discretion, shall, by notice to the Administrative Agent given not later than the date (the “</w:t>
      </w:r>
      <w:r>
        <w:rPr>
          <w:rFonts w:ascii="Arial" w:cs="Arial" w:eastAsia="Arial" w:hAnsi="Arial"/>
          <w:sz w:val="16"/>
          <w:szCs w:val="16"/>
          <w:u w:val="single" w:color="auto"/>
          <w:color w:val="auto"/>
        </w:rPr>
        <w:t>Notice Date</w:t>
      </w:r>
      <w:r>
        <w:rPr>
          <w:rFonts w:ascii="Arial" w:cs="Arial" w:eastAsia="Arial" w:hAnsi="Arial"/>
          <w:sz w:val="16"/>
          <w:szCs w:val="16"/>
          <w:color w:val="auto"/>
        </w:rPr>
        <w:t>”) that is 15 days after the date of the Company’s notice to the Administrative Agent under subsection (a) above, advise the Administrative Agent (and the Administrative Agent shall upon the Company’s request prior to the Notice Date advise the Company as to Lenders’ responses) whether or not such Lender agrees to such extension, and each Lender that determines not to so extend its Maturity Date (a “</w:t>
      </w:r>
      <w:r>
        <w:rPr>
          <w:rFonts w:ascii="Arial" w:cs="Arial" w:eastAsia="Arial" w:hAnsi="Arial"/>
          <w:sz w:val="16"/>
          <w:szCs w:val="16"/>
          <w:u w:val="single" w:color="auto"/>
          <w:color w:val="auto"/>
        </w:rPr>
        <w:t>Non-Extending Lender</w:t>
      </w:r>
      <w:r>
        <w:rPr>
          <w:rFonts w:ascii="Arial" w:cs="Arial" w:eastAsia="Arial" w:hAnsi="Arial"/>
          <w:sz w:val="16"/>
          <w:szCs w:val="16"/>
          <w:color w:val="auto"/>
        </w:rPr>
        <w:t xml:space="preserve">”) shall notify the Administrative Agent of such fact promptly after such determination (but in any event no later than the Notice Date); </w:t>
      </w:r>
      <w:r>
        <w:rPr>
          <w:rFonts w:ascii="Arial" w:cs="Arial" w:eastAsia="Arial" w:hAnsi="Arial"/>
          <w:sz w:val="16"/>
          <w:szCs w:val="16"/>
          <w:u w:val="single" w:color="auto"/>
          <w:color w:val="auto"/>
        </w:rPr>
        <w:t>provided</w:t>
      </w:r>
      <w:r>
        <w:rPr>
          <w:rFonts w:ascii="Arial" w:cs="Arial" w:eastAsia="Arial" w:hAnsi="Arial"/>
          <w:sz w:val="16"/>
          <w:szCs w:val="16"/>
          <w:color w:val="auto"/>
        </w:rPr>
        <w:t>, that any Lender that does not so advise the Administrative Agent on or before the Notice Date shall be deemed to be a Non-Extending Lender. The election of any Lender to agree to such extension shall not obligate any other Lender to so agree.</w:t>
      </w:r>
    </w:p>
    <w:p>
      <w:pPr>
        <w:spacing w:after="0" w:line="118" w:lineRule="exact"/>
        <w:rPr>
          <w:rFonts w:ascii="Arial" w:cs="Arial" w:eastAsia="Arial" w:hAnsi="Arial"/>
          <w:sz w:val="16"/>
          <w:szCs w:val="16"/>
          <w:color w:val="auto"/>
        </w:rPr>
      </w:pPr>
    </w:p>
    <w:p>
      <w:pPr>
        <w:ind w:right="40" w:firstLine="464"/>
        <w:spacing w:after="0" w:line="268"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Notification by the Administrative Agent</w:t>
      </w:r>
      <w:r>
        <w:rPr>
          <w:rFonts w:ascii="Arial" w:cs="Arial" w:eastAsia="Arial" w:hAnsi="Arial"/>
          <w:sz w:val="18"/>
          <w:szCs w:val="18"/>
          <w:color w:val="auto"/>
        </w:rPr>
        <w:t>. The Administrative Agent shall notify the Company of each Lender’s determination under this Section on the Notice Date (or, if such date is not a Business Day, on the next following Business Day).</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Additional Commitment Lenders</w:t>
      </w:r>
      <w:r>
        <w:rPr>
          <w:rFonts w:ascii="Arial" w:cs="Arial" w:eastAsia="Arial" w:hAnsi="Arial"/>
          <w:sz w:val="16"/>
          <w:szCs w:val="16"/>
          <w:color w:val="auto"/>
        </w:rPr>
        <w:t>. The Company shall have the right, both before and after the effectiveness of a requested extension under this</w:t>
      </w:r>
    </w:p>
    <w:p>
      <w:pPr>
        <w:spacing w:after="0" w:line="3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to replace any Non-Extending Lender with, and add as “Lenders” under this Agreement in place thereof, one or more Eligible Assignees (each such Eligible Assignee replacing a Non-Extending Lender on or before the effectiveness of a requested extension under this </w:t>
      </w:r>
      <w:r>
        <w:rPr>
          <w:rFonts w:ascii="Arial" w:cs="Arial" w:eastAsia="Arial" w:hAnsi="Arial"/>
          <w:sz w:val="16"/>
          <w:szCs w:val="16"/>
          <w:u w:val="single" w:color="auto"/>
          <w:color w:val="auto"/>
        </w:rPr>
        <w:t>Section 2.14</w:t>
      </w:r>
      <w:r>
        <w:rPr>
          <w:rFonts w:ascii="Arial" w:cs="Arial" w:eastAsia="Arial" w:hAnsi="Arial"/>
          <w:sz w:val="16"/>
          <w:szCs w:val="16"/>
          <w:color w:val="auto"/>
        </w:rPr>
        <w:t>, an “</w:t>
      </w:r>
      <w:r>
        <w:rPr>
          <w:rFonts w:ascii="Arial" w:cs="Arial" w:eastAsia="Arial" w:hAnsi="Arial"/>
          <w:sz w:val="16"/>
          <w:szCs w:val="16"/>
          <w:u w:val="single" w:color="auto"/>
          <w:color w:val="auto"/>
        </w:rPr>
        <w:t>Additional Commitment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w:t>
      </w:r>
      <w:r>
        <w:rPr>
          <w:rFonts w:ascii="Arial" w:cs="Arial" w:eastAsia="Arial" w:hAnsi="Arial"/>
          <w:sz w:val="16"/>
          <w:szCs w:val="16"/>
          <w:color w:val="auto"/>
        </w:rPr>
        <w:t xml:space="preserve">”) as provided in </w:t>
      </w:r>
      <w:r>
        <w:rPr>
          <w:rFonts w:ascii="Arial" w:cs="Arial" w:eastAsia="Arial" w:hAnsi="Arial"/>
          <w:sz w:val="16"/>
          <w:szCs w:val="16"/>
          <w:u w:val="single" w:color="auto"/>
          <w:color w:val="auto"/>
        </w:rPr>
        <w:t>Section 3.06(b)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Additional Commitment Lender shall enter into an Assignment and Assumption pursuant to which such Additional Commitment Lender shall, effective as of the effectiveness of such requested extension, undertake a Commitment (and, if any such Additional Commitment Lender is a Lender on the effective date referenced in the immediately succeeding clause (e), its Commitment shall be in addition to such Lender’s Commitment hereunder on such date). Any Eligible Assignee replacing a Non-Extending Lender after the effectiveness of a requested extension shall enter into an Assignment and Assumption with such Non-Extending Lender assuming such Non-Extending Lender’s Commitment with such extended Maturity Date.</w:t>
      </w:r>
    </w:p>
    <w:p>
      <w:pPr>
        <w:spacing w:after="0" w:line="124" w:lineRule="exact"/>
        <w:rPr>
          <w:sz w:val="20"/>
          <w:szCs w:val="20"/>
          <w:color w:val="auto"/>
        </w:rPr>
      </w:pPr>
    </w:p>
    <w:p>
      <w:pPr>
        <w:ind w:firstLine="464"/>
        <w:spacing w:after="0" w:line="291" w:lineRule="auto"/>
        <w:tabs>
          <w:tab w:leader="none" w:pos="695"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Minimum Extension Requirement</w:t>
      </w:r>
      <w:r>
        <w:rPr>
          <w:rFonts w:ascii="Arial" w:cs="Arial" w:eastAsia="Arial" w:hAnsi="Arial"/>
          <w:sz w:val="16"/>
          <w:szCs w:val="16"/>
          <w:color w:val="auto"/>
        </w:rPr>
        <w:t>. If (and only if) the total of the Commitments of the Lenders that have agreed so to extend their Maturity Date (each an “</w:t>
      </w:r>
      <w:r>
        <w:rPr>
          <w:rFonts w:ascii="Arial" w:cs="Arial" w:eastAsia="Arial" w:hAnsi="Arial"/>
          <w:sz w:val="16"/>
          <w:szCs w:val="16"/>
          <w:u w:val="single" w:color="auto"/>
          <w:color w:val="auto"/>
        </w:rPr>
        <w:t>Extending Lender</w:t>
      </w:r>
      <w:r>
        <w:rPr>
          <w:rFonts w:ascii="Arial" w:cs="Arial" w:eastAsia="Arial" w:hAnsi="Arial"/>
          <w:sz w:val="16"/>
          <w:szCs w:val="16"/>
          <w:color w:val="auto"/>
        </w:rPr>
        <w:t xml:space="preserve">”) and the additional Commitments of the Additional Commitment Lenders shall be more than 50% of the aggregate amount of the Commitments in effect on the Notice Date, then, subject to the conditions set forth in </w:t>
      </w:r>
      <w:r>
        <w:rPr>
          <w:rFonts w:ascii="Arial" w:cs="Arial" w:eastAsia="Arial" w:hAnsi="Arial"/>
          <w:sz w:val="16"/>
          <w:szCs w:val="16"/>
          <w:u w:val="single" w:color="auto"/>
          <w:color w:val="auto"/>
        </w:rPr>
        <w:t>Section 2.14(d)</w:t>
      </w:r>
      <w:r>
        <w:rPr>
          <w:rFonts w:ascii="Arial" w:cs="Arial" w:eastAsia="Arial" w:hAnsi="Arial"/>
          <w:sz w:val="16"/>
          <w:szCs w:val="16"/>
          <w:color w:val="auto"/>
        </w:rPr>
        <w:t>, effective as of the Notice Date, or such later date as the Administrative Agent and the Company shall agree, the Maturity Date of each Extending Lender and of each Additional Commitment Lender shall be extended to the same date one year after the Existing Maturity Date (except that, if such date is not a Business Day, such Maturity Date as so extended shall be the next preceding Business Day) and each Additional Commitment Lender shall thereupon become a “Lender” for all purposes of this Agreement.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97" w:name="page98"/>
    <w:bookmarkEnd w:id="97"/>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Maturity Date of each Non-Extending Lender remaining a Lender hereunder shall remain the Existing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Company shall continue to have the right to replace any such Non-Extending Lender following the effectiveness of any such extension as provided in </w:t>
      </w:r>
      <w:r>
        <w:rPr>
          <w:rFonts w:ascii="Arial" w:cs="Arial" w:eastAsia="Arial" w:hAnsi="Arial"/>
          <w:sz w:val="16"/>
          <w:szCs w:val="16"/>
          <w:u w:val="single" w:color="auto"/>
          <w:color w:val="auto"/>
        </w:rPr>
        <w:t>Section 2.14(d)</w:t>
      </w:r>
      <w:r>
        <w:rPr>
          <w:rFonts w:ascii="Arial" w:cs="Arial" w:eastAsia="Arial" w:hAnsi="Arial"/>
          <w:sz w:val="16"/>
          <w:szCs w:val="16"/>
          <w:color w:val="auto"/>
        </w:rPr>
        <w:t>.</w:t>
      </w:r>
    </w:p>
    <w:p>
      <w:pPr>
        <w:spacing w:after="0" w:line="85" w:lineRule="exact"/>
        <w:rPr>
          <w:sz w:val="20"/>
          <w:szCs w:val="20"/>
          <w:color w:val="auto"/>
        </w:rPr>
      </w:pPr>
    </w:p>
    <w:p>
      <w:pPr>
        <w:ind w:firstLine="464"/>
        <w:spacing w:after="0" w:line="302" w:lineRule="auto"/>
        <w:tabs>
          <w:tab w:leader="none" w:pos="676" w:val="left"/>
        </w:tabs>
        <w:numPr>
          <w:ilvl w:val="1"/>
          <w:numId w:val="77"/>
        </w:numPr>
        <w:rPr>
          <w:rFonts w:ascii="Arial" w:cs="Arial" w:eastAsia="Arial" w:hAnsi="Arial"/>
          <w:sz w:val="15"/>
          <w:szCs w:val="15"/>
          <w:color w:val="auto"/>
        </w:rPr>
      </w:pPr>
      <w:r>
        <w:rPr>
          <w:rFonts w:ascii="Arial" w:cs="Arial" w:eastAsia="Arial" w:hAnsi="Arial"/>
          <w:sz w:val="15"/>
          <w:szCs w:val="15"/>
          <w:u w:val="single" w:color="auto"/>
          <w:color w:val="auto"/>
        </w:rPr>
        <w:t>Conditions to Effectiveness of Extensions</w:t>
      </w:r>
      <w:r>
        <w:rPr>
          <w:rFonts w:ascii="Arial" w:cs="Arial" w:eastAsia="Arial" w:hAnsi="Arial"/>
          <w:sz w:val="15"/>
          <w:szCs w:val="15"/>
          <w:color w:val="auto"/>
        </w:rPr>
        <w:t xml:space="preserve">. As a condition precedent to such extension, the Company shall deliver to the Administrative Agent a certificate dated as of the Notice Date signed by a Responsible Officer of the Company (i) certifying and attaching the resolutions adopted by the Company approving or consenting to such extension and (ii) certifying that, before and immediately after giving effect to such extension, (A) the representations and warranties of (1) the Company contained in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and (2) any Loan Party in any other Loan Document are true and correct in all material respects on and as of the Notice Date, except to the extent that such representations and warranties specifically refer to an earlier date, in which case they shall be true and correct in all material respects as of such earlier date, and except that for purposes of this </w:t>
      </w:r>
      <w:r>
        <w:rPr>
          <w:rFonts w:ascii="Arial" w:cs="Arial" w:eastAsia="Arial" w:hAnsi="Arial"/>
          <w:sz w:val="15"/>
          <w:szCs w:val="15"/>
          <w:u w:val="single" w:color="auto"/>
          <w:color w:val="auto"/>
        </w:rPr>
        <w:t>Section 2.14</w:t>
      </w:r>
      <w:r>
        <w:rPr>
          <w:rFonts w:ascii="Arial" w:cs="Arial" w:eastAsia="Arial" w:hAnsi="Arial"/>
          <w:sz w:val="15"/>
          <w:szCs w:val="15"/>
          <w:color w:val="auto"/>
        </w:rPr>
        <w:t>, the representations and warranties contained in subsections (a) and</w:t>
      </w:r>
    </w:p>
    <w:p>
      <w:pPr>
        <w:ind w:right="300" w:firstLine="8"/>
        <w:spacing w:after="0" w:line="295" w:lineRule="auto"/>
        <w:tabs>
          <w:tab w:leader="none" w:pos="249"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of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shall be deemed to refer to the most recent statements furnished pursuant to clauses (a) and (b),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and (B) no Default or Event of Default exists. In addition, on the Maturity Date of each Non-Extending Lender, each Borrower shall prepay the Loans made to such Borrower and outstanding on such date (and pay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to the extent necessary to keep outstanding Loans ratable with any revised Applicable Percentages of the Lenders effective as of such date.</w:t>
      </w:r>
    </w:p>
    <w:p>
      <w:pPr>
        <w:spacing w:after="0" w:line="115" w:lineRule="exact"/>
        <w:rPr>
          <w:rFonts w:ascii="Arial" w:cs="Arial" w:eastAsia="Arial" w:hAnsi="Arial"/>
          <w:sz w:val="16"/>
          <w:szCs w:val="16"/>
          <w:color w:val="auto"/>
        </w:rPr>
      </w:pPr>
    </w:p>
    <w:p>
      <w:pPr>
        <w:ind w:left="720" w:hanging="256"/>
        <w:spacing w:after="0"/>
        <w:tabs>
          <w:tab w:leader="none" w:pos="720"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Section shall supersede any provisions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11.01</w:t>
      </w:r>
      <w:r>
        <w:rPr>
          <w:rFonts w:ascii="Arial" w:cs="Arial" w:eastAsia="Arial" w:hAnsi="Arial"/>
          <w:sz w:val="18"/>
          <w:szCs w:val="18"/>
          <w:color w:val="auto"/>
        </w:rPr>
        <w:t xml:space="preserve"> to the contrary.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2.15 Increase in Commitments.</w:t>
      </w:r>
    </w:p>
    <w:p>
      <w:pPr>
        <w:spacing w:after="0" w:line="96" w:lineRule="exact"/>
        <w:rPr>
          <w:sz w:val="20"/>
          <w:szCs w:val="20"/>
          <w:color w:val="auto"/>
        </w:rPr>
      </w:pPr>
    </w:p>
    <w:p>
      <w:pPr>
        <w:ind w:left="700" w:hanging="236"/>
        <w:spacing w:after="0"/>
        <w:tabs>
          <w:tab w:leader="none" w:pos="700"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Request for Increase</w:t>
      </w:r>
      <w:r>
        <w:rPr>
          <w:rFonts w:ascii="Arial" w:cs="Arial" w:eastAsia="Arial" w:hAnsi="Arial"/>
          <w:sz w:val="16"/>
          <w:szCs w:val="16"/>
          <w:color w:val="auto"/>
        </w:rPr>
        <w:t>. Provided there exists no Default, upon (i) notice to the Administrative Agent (which shall promptly notify the Lenders) and</w:t>
      </w:r>
    </w:p>
    <w:p>
      <w:pPr>
        <w:spacing w:after="0" w:line="38" w:lineRule="exact"/>
        <w:rPr>
          <w:rFonts w:ascii="Arial" w:cs="Arial" w:eastAsia="Arial" w:hAnsi="Arial"/>
          <w:sz w:val="16"/>
          <w:szCs w:val="16"/>
          <w:color w:val="auto"/>
        </w:rPr>
      </w:pPr>
    </w:p>
    <w:p>
      <w:pPr>
        <w:ind w:firstLine="8"/>
        <w:spacing w:after="0" w:line="288" w:lineRule="auto"/>
        <w:tabs>
          <w:tab w:leader="none" w:pos="258" w:val="left"/>
        </w:tabs>
        <w:numPr>
          <w:ilvl w:val="0"/>
          <w:numId w:val="80"/>
        </w:numPr>
        <w:rPr>
          <w:rFonts w:ascii="Arial" w:cs="Arial" w:eastAsia="Arial" w:hAnsi="Arial"/>
          <w:sz w:val="16"/>
          <w:szCs w:val="16"/>
          <w:color w:val="auto"/>
        </w:rPr>
      </w:pPr>
      <w:r>
        <w:rPr>
          <w:rFonts w:ascii="Arial" w:cs="Arial" w:eastAsia="Arial" w:hAnsi="Arial"/>
          <w:sz w:val="16"/>
          <w:szCs w:val="16"/>
          <w:color w:val="auto"/>
        </w:rPr>
        <w:t>substantially contemporaneous notice (with copy thereof to the Administrative Agent) to Eligible Assignees not then Lenders (each such Eligible Assignee, a “</w:t>
      </w:r>
      <w:r>
        <w:rPr>
          <w:rFonts w:ascii="Arial" w:cs="Arial" w:eastAsia="Arial" w:hAnsi="Arial"/>
          <w:sz w:val="16"/>
          <w:szCs w:val="16"/>
          <w:u w:val="single" w:color="auto"/>
          <w:color w:val="auto"/>
        </w:rPr>
        <w:t>Proposed Lender</w:t>
      </w:r>
      <w:r>
        <w:rPr>
          <w:rFonts w:ascii="Arial" w:cs="Arial" w:eastAsia="Arial" w:hAnsi="Arial"/>
          <w:sz w:val="16"/>
          <w:szCs w:val="16"/>
          <w:color w:val="auto"/>
        </w:rPr>
        <w:t xml:space="preserve">”), the Company shall have the right promptly to effectuate from time to time and at any time, in accordance with the terms hereof, an increase in the aggregate amount of the then Aggregate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(y) the aggregate amount of the Aggregate Commitments as so increased shall not at any time exceed $1,900,000,000, and (z) each such increase shall be in a minimum amount of $50,000,000. At the time of sending such notices, the Company (in consultation with the Administrative Agent) shall specify the time period within which each Lender and Proposed Lender is requested to respond (which shall in no event be less than five Business Days from the date of delivery of such notice to the Lenders, and which may be extended upon agreement by the Company and the Administrative Agent).</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280" w:right="299" w:bottom="1440" w:gutter="0" w:footer="0" w:header="0"/>
        </w:sectPr>
      </w:pPr>
    </w:p>
    <w:bookmarkStart w:id="98" w:name="page99"/>
    <w:bookmarkEnd w:id="98"/>
    <w:p>
      <w:pPr>
        <w:ind w:right="60" w:firstLine="464"/>
        <w:spacing w:after="0" w:line="291" w:lineRule="auto"/>
        <w:tabs>
          <w:tab w:leader="none" w:pos="705"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 Elections to Increase</w:t>
      </w:r>
      <w:r>
        <w:rPr>
          <w:rFonts w:ascii="Arial" w:cs="Arial" w:eastAsia="Arial" w:hAnsi="Arial"/>
          <w:sz w:val="16"/>
          <w:szCs w:val="16"/>
          <w:color w:val="auto"/>
        </w:rPr>
        <w:t>. Each Lender shall promptly notify the Administrative Agent and the Company within such time period whether or not it agrees to increase the amount of its Commitment and, if so, whether by an amount equal to, greater than, or less than its Applicable Percentage (as it existed immediately prior to such proposed increase) and the amount of such proposed increase. Each Proposed Lender shall promptly notify the Administrative Agent and the Company within such time period whether or not it agrees to participate in such increased amount of the Aggregate Commitments, and at what amount it proposes to participate in such increased amount. Any Lender or Proposed Lender not responding within such time period shall be deemed to have declined to increase its Commitment, or participate in the increase in the aggregate amount of the Aggregate Commitments, as the case may be.</w:t>
      </w:r>
    </w:p>
    <w:p>
      <w:pPr>
        <w:spacing w:after="0" w:line="120" w:lineRule="exact"/>
        <w:rPr>
          <w:rFonts w:ascii="Arial" w:cs="Arial" w:eastAsia="Arial" w:hAnsi="Arial"/>
          <w:sz w:val="16"/>
          <w:szCs w:val="16"/>
          <w:color w:val="auto"/>
        </w:rPr>
      </w:pPr>
    </w:p>
    <w:p>
      <w:pPr>
        <w:ind w:left="700" w:hanging="236"/>
        <w:spacing w:after="0"/>
        <w:tabs>
          <w:tab w:leader="none" w:pos="700"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Effective Date and Allocations</w:t>
      </w:r>
      <w:r>
        <w:rPr>
          <w:rFonts w:ascii="Arial" w:cs="Arial" w:eastAsia="Arial" w:hAnsi="Arial"/>
          <w:sz w:val="16"/>
          <w:szCs w:val="16"/>
          <w:color w:val="auto"/>
        </w:rPr>
        <w:t xml:space="preserve">. If the aggregate amount of Aggregate Commitments are increased in accordance with this </w:t>
      </w:r>
      <w:r>
        <w:rPr>
          <w:rFonts w:ascii="Arial" w:cs="Arial" w:eastAsia="Arial" w:hAnsi="Arial"/>
          <w:sz w:val="16"/>
          <w:szCs w:val="16"/>
          <w:u w:val="single" w:color="auto"/>
          <w:color w:val="auto"/>
        </w:rPr>
        <w:t>Section 2.15</w:t>
      </w:r>
      <w:r>
        <w:rPr>
          <w:rFonts w:ascii="Arial" w:cs="Arial" w:eastAsia="Arial" w:hAnsi="Arial"/>
          <w:sz w:val="16"/>
          <w:szCs w:val="16"/>
          <w:color w:val="auto"/>
        </w:rPr>
        <w:t>, the</w:t>
      </w:r>
    </w:p>
    <w:p>
      <w:pPr>
        <w:spacing w:after="0" w:line="38" w:lineRule="exact"/>
        <w:rPr>
          <w:rFonts w:ascii="Arial" w:cs="Arial" w:eastAsia="Arial" w:hAnsi="Arial"/>
          <w:sz w:val="16"/>
          <w:szCs w:val="16"/>
          <w:color w:val="auto"/>
        </w:rPr>
      </w:pPr>
    </w:p>
    <w:p>
      <w:pPr>
        <w:jc w:val="both"/>
        <w:ind w:right="180"/>
        <w:spacing w:after="0" w:line="255" w:lineRule="auto"/>
        <w:rPr>
          <w:rFonts w:ascii="Arial" w:cs="Arial" w:eastAsia="Arial" w:hAnsi="Arial"/>
          <w:sz w:val="16"/>
          <w:szCs w:val="16"/>
          <w:color w:val="auto"/>
        </w:rPr>
      </w:pPr>
      <w:r>
        <w:rPr>
          <w:rFonts w:ascii="Arial" w:cs="Arial" w:eastAsia="Arial" w:hAnsi="Arial"/>
          <w:sz w:val="18"/>
          <w:szCs w:val="18"/>
          <w:color w:val="auto"/>
        </w:rPr>
        <w:t>Administrative Agent and the Company shall promptly thereafter determine the effective date thereof (the “I</w:t>
      </w:r>
      <w:r>
        <w:rPr>
          <w:rFonts w:ascii="Arial" w:cs="Arial" w:eastAsia="Arial" w:hAnsi="Arial"/>
          <w:sz w:val="18"/>
          <w:szCs w:val="18"/>
          <w:u w:val="single" w:color="auto"/>
          <w:color w:val="auto"/>
        </w:rPr>
        <w:t>ncrease Effective Date</w:t>
      </w:r>
      <w:r>
        <w:rPr>
          <w:rFonts w:ascii="Arial" w:cs="Arial" w:eastAsia="Arial" w:hAnsi="Arial"/>
          <w:sz w:val="18"/>
          <w:szCs w:val="18"/>
          <w:color w:val="auto"/>
        </w:rPr>
        <w:t>”) and the final allocation of such increase, and the Administrative Agent shall promptly notify the Company and the Lenders (including Proposed Lenders that have agreed to participate in such increase) of the final allocation of such increase and the Increase Effective Date.</w:t>
      </w:r>
    </w:p>
    <w:p>
      <w:pPr>
        <w:spacing w:after="0" w:line="144" w:lineRule="exact"/>
        <w:rPr>
          <w:rFonts w:ascii="Arial" w:cs="Arial" w:eastAsia="Arial" w:hAnsi="Arial"/>
          <w:sz w:val="16"/>
          <w:szCs w:val="16"/>
          <w:color w:val="auto"/>
        </w:rPr>
      </w:pPr>
    </w:p>
    <w:p>
      <w:pPr>
        <w:ind w:firstLine="464"/>
        <w:spacing w:after="0" w:line="285" w:lineRule="auto"/>
        <w:tabs>
          <w:tab w:leader="none" w:pos="705"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Conditions to Effectiveness of Increase</w:t>
      </w:r>
      <w:r>
        <w:rPr>
          <w:rFonts w:ascii="Arial" w:cs="Arial" w:eastAsia="Arial" w:hAnsi="Arial"/>
          <w:sz w:val="16"/>
          <w:szCs w:val="16"/>
          <w:color w:val="auto"/>
        </w:rPr>
        <w:t xml:space="preserve">. As conditions precedent to each increase, (i) the Company shall deliver to the Administrative Agent a certificate of the Company dated as of the applicable Increase Effective Date, signed by a Responsible Officer of the Company, (y) certifying and attaching the resolutions adopted by the Company and PMCULC, respectively, authorizing or consenting to such increase, as the case may be, and (z) certifying that, immediately before and after giving effect to such increase, (A) the representations and warranties of (1) the Company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of this Agreement and (2) any Loan Party in any other Loan Document are true and correct in all material respects on and as of such applicable Increase Effective Date, except to the extent that such representations and warranties specifically refer to an earlier date, in which case they are true and correct in all material respects as of such earlier date, and except that for purposes of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the representations and warranties contained in </w:t>
      </w:r>
      <w:r>
        <w:rPr>
          <w:rFonts w:ascii="Arial" w:cs="Arial" w:eastAsia="Arial" w:hAnsi="Arial"/>
          <w:sz w:val="16"/>
          <w:szCs w:val="16"/>
          <w:u w:val="single" w:color="auto"/>
          <w:color w:val="auto"/>
        </w:rPr>
        <w:t>Section 5.05(a)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shall be deemed to refer to the most recent statements furnished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and (B) no Default or Event of Default exists, and (ii) each Proposed Lender that is becoming a Lender shall (y) be subject to the reasonable approval of the Administrative Agent, the L/C Issuer and the Swing Line Lender, which approvals shall not be unreasonably withheld, delayed or conditioned, and (z) execute and deliver a joinder agreement in form and substance reasonably satisfactory to the Administrative Agent, the L/C Issuer, the Swing Line Lender and the Company. Each Borrower, as applicable, shall prepay any Committed Loans made to such Borrower and outstanding on such applicable Increase Effective Date (and pay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to the extent necessary to keep the outstanding Committed Loans ratable with the Applicable Percentages resulting from any non-ratable increase in the amount of the Aggregate Commitments under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and in effect after giving effect thereto.</w:t>
      </w:r>
    </w:p>
    <w:p>
      <w:pPr>
        <w:spacing w:after="0" w:line="128" w:lineRule="exact"/>
        <w:rPr>
          <w:rFonts w:ascii="Arial" w:cs="Arial" w:eastAsia="Arial" w:hAnsi="Arial"/>
          <w:sz w:val="16"/>
          <w:szCs w:val="16"/>
          <w:color w:val="auto"/>
        </w:rPr>
      </w:pPr>
    </w:p>
    <w:p>
      <w:pPr>
        <w:ind w:left="700" w:hanging="236"/>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Section shall supersede any provisions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11.01</w:t>
      </w:r>
      <w:r>
        <w:rPr>
          <w:rFonts w:ascii="Arial" w:cs="Arial" w:eastAsia="Arial" w:hAnsi="Arial"/>
          <w:sz w:val="18"/>
          <w:szCs w:val="18"/>
          <w:color w:val="auto"/>
        </w:rPr>
        <w:t xml:space="preserve"> to the contrary.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280" w:right="279" w:bottom="1440" w:gutter="0" w:footer="0" w:header="0"/>
        </w:sectPr>
      </w:pPr>
    </w:p>
    <w:bookmarkStart w:id="99" w:name="page100"/>
    <w:bookmarkEnd w:id="9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2.16 Cash Collateral.</w:t>
      </w:r>
    </w:p>
    <w:p>
      <w:pPr>
        <w:spacing w:after="0" w:line="96" w:lineRule="exact"/>
        <w:rPr>
          <w:sz w:val="20"/>
          <w:szCs w:val="20"/>
          <w:color w:val="auto"/>
        </w:rPr>
      </w:pPr>
    </w:p>
    <w:p>
      <w:pPr>
        <w:ind w:firstLine="464"/>
        <w:spacing w:after="0" w:line="282" w:lineRule="auto"/>
        <w:tabs>
          <w:tab w:leader="none" w:pos="695"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Certain Credit Support Events</w:t>
      </w:r>
      <w:r>
        <w:rPr>
          <w:rFonts w:ascii="Arial" w:cs="Arial" w:eastAsia="Arial" w:hAnsi="Arial"/>
          <w:sz w:val="16"/>
          <w:szCs w:val="16"/>
          <w:color w:val="auto"/>
        </w:rPr>
        <w:t xml:space="preserve">. Within one Business Day following the written request of the Administrative Agent or the L/C Issuer (i) if the L/C Issuer has honored any full or partial drawing request under any Letter of Credit and such drawing has resulted in an L/C Borrowing that remains outstanding for more than two Business Days, then the applicable Borrower shall deliver (or cause to be delivered) to the Administrative Agent Cash Collateral in an amount equal to such L/C Borrowing, or (ii) if, as of the Letter of Credit Expiration Date, any L/C Obligation of any Borrower for any reason remains outstanding, then such Borrower shall deliver (or cause to be delivered) to the Administrative Agent Cash Collateral in an amount equal to the aggregate amount of all such L/C Obligations. The Administrative Agent may, at any time and from time to time after the initial deposit of Cash Collateral, request that the applicable Borrower provide additional Cash Collateral in order to protect against the results of exchange rate fluctuations in accordance with </w:t>
      </w:r>
      <w:r>
        <w:rPr>
          <w:rFonts w:ascii="Arial" w:cs="Arial" w:eastAsia="Arial" w:hAnsi="Arial"/>
          <w:sz w:val="16"/>
          <w:szCs w:val="16"/>
          <w:u w:val="single" w:color="auto"/>
          <w:color w:val="auto"/>
        </w:rPr>
        <w:t>Section 2.05(d)</w:t>
      </w:r>
      <w:r>
        <w:rPr>
          <w:rFonts w:ascii="Arial" w:cs="Arial" w:eastAsia="Arial" w:hAnsi="Arial"/>
          <w:sz w:val="16"/>
          <w:szCs w:val="16"/>
          <w:color w:val="auto"/>
        </w:rPr>
        <w:t xml:space="preserve">. At any time that there shall exist a Defaulting Lender, within one Business Day following the written request of the L/C Issuer or the Swing Line Lender, the applicable Borrower shall deliver (or cause to be delivered) to the Administrative Agent Cash Collateral in an amount equal to the Fronting Exposure (after giving effect to </w:t>
      </w:r>
      <w:r>
        <w:rPr>
          <w:rFonts w:ascii="Arial" w:cs="Arial" w:eastAsia="Arial" w:hAnsi="Arial"/>
          <w:sz w:val="16"/>
          <w:szCs w:val="16"/>
          <w:u w:val="single" w:color="auto"/>
          <w:color w:val="auto"/>
        </w:rPr>
        <w:t>Section 2.17(a)</w:t>
      </w:r>
    </w:p>
    <w:p>
      <w:pPr>
        <w:spacing w:after="0" w:line="5" w:lineRule="exact"/>
        <w:rPr>
          <w:rFonts w:ascii="Arial" w:cs="Arial" w:eastAsia="Arial" w:hAnsi="Arial"/>
          <w:sz w:val="16"/>
          <w:szCs w:val="16"/>
          <w:color w:val="auto"/>
        </w:rPr>
      </w:pPr>
    </w:p>
    <w:p>
      <w:pPr>
        <w:ind w:left="300" w:hanging="292"/>
        <w:spacing w:after="0"/>
        <w:tabs>
          <w:tab w:leader="none" w:pos="300" w:val="left"/>
        </w:tabs>
        <w:numPr>
          <w:ilvl w:val="0"/>
          <w:numId w:val="83"/>
        </w:numPr>
        <w:rPr>
          <w:rFonts w:ascii="Arial" w:cs="Arial" w:eastAsia="Arial" w:hAnsi="Arial"/>
          <w:sz w:val="18"/>
          <w:szCs w:val="18"/>
          <w:u w:val="single" w:color="auto"/>
          <w:color w:val="auto"/>
        </w:rPr>
      </w:pPr>
      <w:r>
        <w:rPr>
          <w:rFonts w:ascii="Arial" w:cs="Arial" w:eastAsia="Arial" w:hAnsi="Arial"/>
          <w:sz w:val="18"/>
          <w:szCs w:val="18"/>
          <w:color w:val="auto"/>
        </w:rPr>
        <w:t>and any Cash Collateral provided by the Defaulting Lender).</w:t>
      </w:r>
    </w:p>
    <w:p>
      <w:pPr>
        <w:spacing w:after="0" w:line="164" w:lineRule="exact"/>
        <w:rPr>
          <w:rFonts w:ascii="Arial" w:cs="Arial" w:eastAsia="Arial" w:hAnsi="Arial"/>
          <w:sz w:val="18"/>
          <w:szCs w:val="18"/>
          <w:u w:val="single" w:color="auto"/>
          <w:color w:val="auto"/>
        </w:rPr>
      </w:pPr>
    </w:p>
    <w:p>
      <w:pPr>
        <w:ind w:firstLine="464"/>
        <w:spacing w:after="0" w:line="286" w:lineRule="auto"/>
        <w:tabs>
          <w:tab w:leader="none" w:pos="705"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xml:space="preserve">. All Cash Collateral (other than credit support not constituting funds subject to deposit) shall be maintained in blocked, interest bearing deposit accounts at Bank of America. Each Borrower, and to the extent provided by any Lender, such Lender, hereby grants to (and subjects to the control of) the Administrative Agent, for the benefit of the Administrative Agent, the L/C Issuer and the Lenders (including the Swing Line Lender), and agrees to maintain, a first priority security interest in all such cash, deposit accounts and all balances therein, and all other property so provided by such Borrower as collateral pursuant hereto, and in all proceeds of the foregoing, all as security for the obligations to which such Cash Collateral may be applied pursuant to </w:t>
      </w:r>
      <w:r>
        <w:rPr>
          <w:rFonts w:ascii="Arial" w:cs="Arial" w:eastAsia="Arial" w:hAnsi="Arial"/>
          <w:sz w:val="16"/>
          <w:szCs w:val="16"/>
          <w:u w:val="single" w:color="auto"/>
          <w:color w:val="auto"/>
        </w:rPr>
        <w:t>Section 2.16(c)</w:t>
      </w:r>
      <w:r>
        <w:rPr>
          <w:rFonts w:ascii="Arial" w:cs="Arial" w:eastAsia="Arial" w:hAnsi="Arial"/>
          <w:sz w:val="16"/>
          <w:szCs w:val="16"/>
          <w:color w:val="auto"/>
        </w:rPr>
        <w:t>. If at any time the Administrative Agent reasonably determines that (i) Cash Collateral is subject to any right or claim of any Person (other than a claim of a nature residual to the claim of the Administrative Agent) other than the Administrative Agent as herein provided, or (ii) the total amount of such Cash Collateral is less than the applicable Fronting Exposure (and, following the Letter of Credit Expiration Date, all outstanding L/C Obligations), the applicable Borrower or the relevant Defaulting Lender will, promptly within one Business Day following written demand by the Administrative Agent, remit or provide (or cause to be remitted or provided) to the Administrative Agent additional Cash Collateral (x) not subject to any such right or claim or (y) in an amount sufficient to eliminate such deficiency.</w:t>
      </w:r>
    </w:p>
    <w:p>
      <w:pPr>
        <w:spacing w:after="0" w:line="127" w:lineRule="exact"/>
        <w:rPr>
          <w:rFonts w:ascii="Arial" w:cs="Arial" w:eastAsia="Arial" w:hAnsi="Arial"/>
          <w:sz w:val="16"/>
          <w:szCs w:val="16"/>
          <w:color w:val="auto"/>
        </w:rPr>
      </w:pPr>
    </w:p>
    <w:p>
      <w:pPr>
        <w:ind w:right="60" w:firstLine="464"/>
        <w:spacing w:after="0" w:line="255" w:lineRule="auto"/>
        <w:tabs>
          <w:tab w:leader="none" w:pos="695"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Notwithstanding anything to the contrary contained in this Agreement, but subject to subsection (d) below, Cash Collateral provided under any of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2.04</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8.02</w:t>
      </w:r>
      <w:r>
        <w:rPr>
          <w:rFonts w:ascii="Arial" w:cs="Arial" w:eastAsia="Arial" w:hAnsi="Arial"/>
          <w:sz w:val="18"/>
          <w:szCs w:val="18"/>
          <w:color w:val="auto"/>
        </w:rPr>
        <w:t xml:space="preserve"> in respect of Letters of Credit or Swing Line Loans or Canadian BA’s shall be held and applied to the satisfaction of the specific L/C Obligations, Swing Line Loans and obligations to fund participations therein and Canadian BA’s (including, as to Cash Collateral provided by a Defaulting Lender, any interest accrued on such obligation), prior to any other application of such property as may be provided for herein.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100" w:name="page101"/>
    <w:bookmarkEnd w:id="100"/>
    <w:p>
      <w:pPr>
        <w:ind w:left="-20" w:right="20" w:firstLine="464"/>
        <w:spacing w:after="0" w:line="288" w:lineRule="auto"/>
        <w:tabs>
          <w:tab w:leader="none" w:pos="685"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w:t>
      </w:r>
      <w:r>
        <w:rPr>
          <w:rFonts w:ascii="Arial" w:cs="Arial" w:eastAsia="Arial" w:hAnsi="Arial"/>
          <w:sz w:val="16"/>
          <w:szCs w:val="16"/>
          <w:color w:val="auto"/>
        </w:rPr>
        <w:t xml:space="preserve">. Cash Collateral (or the appropriate portion thereof) provided to reduce Fronting Exposure (and, following the Letter of Credit Expiration Date, to secure all outstanding L/C Obligations) shall be released promptly following (i) the elimination of the applicable Fronting Exposure (or, following the Letter of Credit Expiration Date, all secured L/C Obligations) (including by the termination of Defaulting Lender status of the applicable Lender (or, as appropriate, its assignee following compliance with </w:t>
      </w:r>
      <w:r>
        <w:rPr>
          <w:rFonts w:ascii="Arial" w:cs="Arial" w:eastAsia="Arial" w:hAnsi="Arial"/>
          <w:sz w:val="16"/>
          <w:szCs w:val="16"/>
          <w:u w:val="single" w:color="auto"/>
          <w:color w:val="auto"/>
        </w:rPr>
        <w:t>Section 11.06(b)(vii)</w:t>
      </w:r>
      <w:r>
        <w:rPr>
          <w:rFonts w:ascii="Arial" w:cs="Arial" w:eastAsia="Arial" w:hAnsi="Arial"/>
          <w:sz w:val="16"/>
          <w:szCs w:val="16"/>
          <w:color w:val="auto"/>
        </w:rPr>
        <w:t xml:space="preserve">)) or the expiration of the applicable Letter of Credit, as the case may be, or (ii) the Administrative Agent’s good faith determination that there exists excess Cash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(x) that Cash Collateral furnished by or on behalf of a Loan Party shall not be released during the continuance of a Default or Event of Default (and following application as provided in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may, during the continuance of an Event of Default, be otherwise applied in accordance with </w:t>
      </w:r>
      <w:r>
        <w:rPr>
          <w:rFonts w:ascii="Arial" w:cs="Arial" w:eastAsia="Arial" w:hAnsi="Arial"/>
          <w:sz w:val="16"/>
          <w:szCs w:val="16"/>
          <w:u w:val="single" w:color="auto"/>
          <w:color w:val="auto"/>
        </w:rPr>
        <w:t>Section 8.03</w:t>
      </w:r>
      <w:r>
        <w:rPr>
          <w:rFonts w:ascii="Arial" w:cs="Arial" w:eastAsia="Arial" w:hAnsi="Arial"/>
          <w:sz w:val="16"/>
          <w:szCs w:val="16"/>
          <w:color w:val="auto"/>
        </w:rPr>
        <w:t>), and (y) the Person providing Cash Collateral and the L/C Issuer or Swing Line Lender, as applicable, may agree that Cash Collateral shall not be released but instead held to support future anticipated Fronting Exposure or other obligations, and any such future Fronting Exposure shall be reduced by the amount so held.</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2.17 Defaulting Lenders.</w:t>
      </w:r>
    </w:p>
    <w:p>
      <w:pPr>
        <w:spacing w:after="0" w:line="96" w:lineRule="exact"/>
        <w:rPr>
          <w:sz w:val="20"/>
          <w:szCs w:val="20"/>
          <w:color w:val="auto"/>
        </w:rPr>
      </w:pPr>
    </w:p>
    <w:p>
      <w:pPr>
        <w:ind w:left="-20" w:right="140" w:firstLine="464"/>
        <w:spacing w:after="0" w:line="268" w:lineRule="auto"/>
        <w:tabs>
          <w:tab w:leader="none" w:pos="675"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not prohibited by applicable Law:</w:t>
      </w:r>
    </w:p>
    <w:p>
      <w:pPr>
        <w:spacing w:after="0" w:line="50" w:lineRule="exact"/>
        <w:rPr>
          <w:rFonts w:ascii="Arial" w:cs="Arial" w:eastAsia="Arial" w:hAnsi="Arial"/>
          <w:sz w:val="18"/>
          <w:szCs w:val="18"/>
          <w:color w:val="auto"/>
        </w:rPr>
      </w:pPr>
    </w:p>
    <w:p>
      <w:pPr>
        <w:ind w:left="440" w:right="520" w:firstLine="443"/>
        <w:spacing w:after="0" w:line="268" w:lineRule="auto"/>
        <w:tabs>
          <w:tab w:leader="none" w:pos="1088"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That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40" w:firstLine="443"/>
        <w:spacing w:after="0" w:line="286" w:lineRule="auto"/>
        <w:tabs>
          <w:tab w:leader="none" w:pos="1136"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Reallocation of Payments</w:t>
      </w:r>
      <w:r>
        <w:rPr>
          <w:rFonts w:ascii="Arial" w:cs="Arial" w:eastAsia="Arial" w:hAnsi="Arial"/>
          <w:sz w:val="16"/>
          <w:szCs w:val="16"/>
          <w:color w:val="auto"/>
        </w:rPr>
        <w:t xml:space="preserve">. Any payment of principal, interest, fees or other amounts received by the Administrative Agent for the account of that Defaulting Lender (whether voluntary or mandatory, at maturity,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and including any amounts made available to the Administrative Agent by that Defaulting Lender pursuant to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shall, following application by Administrative Agent of any such payment by or on behalf of a Loan Party to the account of such Defaulting Lender with respect to such Obligation paid (and in lieu of being distributed to such Defaulting Lender pursuant to </w:t>
      </w:r>
      <w:r>
        <w:rPr>
          <w:rFonts w:ascii="Arial" w:cs="Arial" w:eastAsia="Arial" w:hAnsi="Arial"/>
          <w:sz w:val="16"/>
          <w:szCs w:val="16"/>
          <w:u w:val="single" w:color="auto"/>
          <w:color w:val="auto"/>
        </w:rPr>
        <w:t>Section 2.12(a)</w:t>
      </w:r>
      <w:r>
        <w:rPr>
          <w:rFonts w:ascii="Arial" w:cs="Arial" w:eastAsia="Arial" w:hAnsi="Arial"/>
          <w:sz w:val="16"/>
          <w:szCs w:val="16"/>
          <w:color w:val="auto"/>
        </w:rPr>
        <w:t xml:space="preserve"> or such other provision of this Agreement applicable with respect to the distribution thereof),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that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pro rata basis of any amounts owing by that Defaulting Lender to the L/C Issuer or Swing Line Lender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if so determined by the Administrative Agent or requested by the L/C Issuer or Swing Line Lender (and after giving effect to </w:t>
      </w:r>
      <w:r>
        <w:rPr>
          <w:rFonts w:ascii="Arial" w:cs="Arial" w:eastAsia="Arial" w:hAnsi="Arial"/>
          <w:sz w:val="16"/>
          <w:szCs w:val="16"/>
          <w:u w:val="single" w:color="auto"/>
          <w:color w:val="auto"/>
        </w:rPr>
        <w:t>Section 2.17(a)(iv)</w:t>
      </w:r>
      <w:r>
        <w:rPr>
          <w:rFonts w:ascii="Arial" w:cs="Arial" w:eastAsia="Arial" w:hAnsi="Arial"/>
          <w:sz w:val="16"/>
          <w:szCs w:val="16"/>
          <w:color w:val="auto"/>
        </w:rPr>
        <w:t xml:space="preserve"> and any Cash Collateral then held), to be held as Cash Collateral for Fronting Exposure with respect to such Defaulting Lender; </w:t>
      </w:r>
      <w:r>
        <w:rPr>
          <w:rFonts w:ascii="Arial" w:cs="Arial" w:eastAsia="Arial" w:hAnsi="Arial"/>
          <w:sz w:val="16"/>
          <w:szCs w:val="16"/>
          <w:i w:val="1"/>
          <w:iCs w:val="1"/>
          <w:color w:val="auto"/>
        </w:rPr>
        <w:t>fourth</w:t>
      </w:r>
      <w:r>
        <w:rPr>
          <w:rFonts w:ascii="Arial" w:cs="Arial" w:eastAsia="Arial" w:hAnsi="Arial"/>
          <w:sz w:val="16"/>
          <w:szCs w:val="16"/>
          <w:color w:val="auto"/>
        </w:rPr>
        <w:t>, as the Company may request (so long as no Default or Event of Default exists), to the funding of any Loan in respect of which that Defaulting Lender has failed to fund its portion thereof as required by this Agreement, or, so long as the amount of the Cash Collateral at such time is equal to the actual Fronting Exposure at such time, to substitute for and release to the applicable Borrower on a dollar-for-dollar basis, Cash</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60" w:top="280" w:right="259" w:bottom="1440" w:gutter="0" w:footer="0" w:header="0"/>
        </w:sectPr>
      </w:pPr>
    </w:p>
    <w:bookmarkStart w:id="101" w:name="page102"/>
    <w:bookmarkEnd w:id="10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Collateral previously provided by the applicable Borrower with respect to the applicable Defaulting Lender (subject to documentation in form and substance reasonably satisfactory to the Administrative Agent and the applicable L/C Issuer or the Swing Line Lender, as applicable, and such substituted amounts otherwise satisfying the requirements to constitute Cash Collateral hereunder);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Company, to be held in an interest bearing deposit account and released pro rata in order to (y) satisfy obligations of that Defaulting Lender to fund Loans under this Agreement or (z) Cash Collateralize the L/C Issuers’ future Fronting Exposure with respect to future Letters of Credit issued under this Agreement in accordance with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the L/C Issuer or Swing Line Lender hereunder or as a result of any judgment of a court of competent jurisdiction obtained by any Lender, the L/C Issuer or Swing Line Lender against that Defaulting Lender as a result of that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to the payment of any amounts owing to any Loan Party hereunder or as a result of any judgment of a court of competent jurisdiction obtained by such Loan Party against that Defaulting Lender as a result of that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that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this clause </w:t>
      </w:r>
      <w:r>
        <w:rPr>
          <w:rFonts w:ascii="Arial" w:cs="Arial" w:eastAsia="Arial" w:hAnsi="Arial"/>
          <w:sz w:val="16"/>
          <w:szCs w:val="16"/>
          <w:i w:val="1"/>
          <w:iCs w:val="1"/>
          <w:color w:val="auto"/>
        </w:rPr>
        <w:t>eighth</w:t>
      </w:r>
      <w:r>
        <w:rPr>
          <w:rFonts w:ascii="Arial" w:cs="Arial" w:eastAsia="Arial" w:hAnsi="Arial"/>
          <w:sz w:val="16"/>
          <w:szCs w:val="16"/>
          <w:color w:val="auto"/>
        </w:rPr>
        <w:t xml:space="preserve">, if (x) such payment is a payment of the principal amount of any Loans or L/C Borrowings in respect of which that Defaulting Lender has not fully funded its appropriate share and (y) such Loans or L/C Borrowings were made at a time when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were satisfied or waived, such payment shall be applied solely to pay the Loans of, and L/C Borrowings owed to, all respective non-Defaulting Lenders on a pro rata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shall be deemed paid to and redirected by that Defaulting Lender, and each Lender irrevocably consents hereto.</w:t>
      </w:r>
    </w:p>
    <w:p>
      <w:pPr>
        <w:spacing w:after="0" w:line="40" w:lineRule="exact"/>
        <w:rPr>
          <w:sz w:val="20"/>
          <w:szCs w:val="20"/>
          <w:color w:val="auto"/>
        </w:rPr>
      </w:pPr>
    </w:p>
    <w:p>
      <w:pPr>
        <w:ind w:right="20" w:firstLine="443"/>
        <w:spacing w:after="0" w:line="255" w:lineRule="auto"/>
        <w:tabs>
          <w:tab w:leader="none" w:pos="74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xml:space="preserve">. That Defaulting Lender (x) shall not be entitled to receive any commitment fee pursuant to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for any period during which that Lender is a Defaulting Lender and (y) shall be limited in its rights to receive Letter of Credit Fees as provided in </w:t>
      </w:r>
      <w:r>
        <w:rPr>
          <w:rFonts w:ascii="Arial" w:cs="Arial" w:eastAsia="Arial" w:hAnsi="Arial"/>
          <w:sz w:val="18"/>
          <w:szCs w:val="18"/>
          <w:u w:val="single" w:color="auto"/>
          <w:color w:val="auto"/>
        </w:rPr>
        <w:t>Section 2.03(h)</w:t>
      </w:r>
      <w:r>
        <w:rPr>
          <w:rFonts w:ascii="Arial" w:cs="Arial" w:eastAsia="Arial" w:hAnsi="Arial"/>
          <w:sz w:val="18"/>
          <w:szCs w:val="18"/>
          <w:color w:val="auto"/>
        </w:rPr>
        <w:t xml:space="preserve"> and, in each case, the Company shall not be required to pay to the Administrative Agent for the account of the Defaulting Lender or the Defaulting Lender any such fee, and no such fees shall accrue for the account of the Defaulting Lender, that otherwise would have been required to have been paid to that Defaulting Lender.</w:t>
      </w:r>
    </w:p>
    <w:p>
      <w:pPr>
        <w:spacing w:after="0" w:line="61" w:lineRule="exact"/>
        <w:rPr>
          <w:rFonts w:ascii="Arial" w:cs="Arial" w:eastAsia="Arial" w:hAnsi="Arial"/>
          <w:sz w:val="18"/>
          <w:szCs w:val="18"/>
          <w:color w:val="auto"/>
        </w:rPr>
      </w:pPr>
    </w:p>
    <w:p>
      <w:pPr>
        <w:ind w:right="20" w:firstLine="443"/>
        <w:spacing w:after="0" w:line="294" w:lineRule="auto"/>
        <w:tabs>
          <w:tab w:leader="none" w:pos="735"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Reallocation of Applicable Percentages to Reduce Fronting Exposure</w:t>
      </w:r>
      <w:r>
        <w:rPr>
          <w:rFonts w:ascii="Arial" w:cs="Arial" w:eastAsia="Arial" w:hAnsi="Arial"/>
          <w:sz w:val="16"/>
          <w:szCs w:val="16"/>
          <w:color w:val="auto"/>
        </w:rPr>
        <w:t xml:space="preserve">. During any period in which there is a Defaulting Lender, for purposes of computing the amount of the obligation of each non-Defaulting Lender to acquire, refinance or fund participations in Letters of Credit or Swing Line Loans pursuant to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2.04</w:t>
      </w:r>
      <w:r>
        <w:rPr>
          <w:rFonts w:ascii="Arial" w:cs="Arial" w:eastAsia="Arial" w:hAnsi="Arial"/>
          <w:sz w:val="16"/>
          <w:szCs w:val="16"/>
          <w:color w:val="auto"/>
        </w:rPr>
        <w:t xml:space="preserve">, the “Applicable Percentage” of each non-Defaulting Lender shall be computed without giving effect to the Commitment of that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that, (A) each such reallocation shall be given effect only if (x) on the date the applicable Lender becomes a Defaulting Lender, no Default or Event of Default has occurred and is continuing, or (y)</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60"/>
          </w:cols>
          <w:pgMar w:left="700" w:top="280" w:right="239" w:bottom="1440" w:gutter="0" w:footer="0" w:header="0"/>
        </w:sectPr>
      </w:pPr>
    </w:p>
    <w:bookmarkStart w:id="102" w:name="page103"/>
    <w:bookmarkEnd w:id="102"/>
    <w:p>
      <w:pPr>
        <w:ind w:left="440"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a Default or Event of Default occurred and was continuing on such date, on a subsequent Business Day no Default or Event of Default has occurred and is continuing, and (B) the aggregate obligation of each non-Defaulting Lender to acquire, refinance or fund participations in Letters of Credit and Swing Line Loans shall not exceed the positive difference, if any, of (1) the Commitment of that non-Defaulting Lender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(2) the aggregate Outstanding Amount of the Committed Loans of that Lender.</w:t>
      </w:r>
    </w:p>
    <w:p>
      <w:pPr>
        <w:spacing w:after="0" w:line="143" w:lineRule="exact"/>
        <w:rPr>
          <w:sz w:val="20"/>
          <w:szCs w:val="20"/>
          <w:color w:val="auto"/>
        </w:rPr>
      </w:pPr>
    </w:p>
    <w:p>
      <w:pPr>
        <w:ind w:left="-20" w:firstLine="464"/>
        <w:spacing w:after="0" w:line="287" w:lineRule="auto"/>
        <w:tabs>
          <w:tab w:leader="none" w:pos="685"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xml:space="preserve">. If the Company, the Administrative Agent, Swing Line Lender and the L/C Issuer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and reimbursement of costs and expenses to each Loan Party), that Lender will, to the extent applicable, purchase that portion of outstanding Loans of the other Lenders or take such other actions as the Administrative Agent may determine to be necessary to cause the Committed Loans and funded and unfunded participations in Letters of Credit and Swing Line Loans to be held on a pro rata basis by the Lenders in accordance with their Applicable Percentages (without giving effect to </w:t>
      </w:r>
      <w:r>
        <w:rPr>
          <w:rFonts w:ascii="Arial" w:cs="Arial" w:eastAsia="Arial" w:hAnsi="Arial"/>
          <w:sz w:val="16"/>
          <w:szCs w:val="16"/>
          <w:u w:val="single" w:color="auto"/>
          <w:color w:val="auto"/>
        </w:rPr>
        <w:t>Section 2.17(a)(iv)</w:t>
      </w:r>
      <w:r>
        <w:rPr>
          <w:rFonts w:ascii="Arial" w:cs="Arial" w:eastAsia="Arial" w:hAnsi="Arial"/>
          <w:sz w:val="16"/>
          <w:szCs w:val="16"/>
          <w:color w:val="auto"/>
        </w:rPr>
        <w:t xml:space="preserve">), whereupon that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any Loan Party while that Lender was a Defaulting Lender;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22" w:lineRule="exact"/>
        <w:rPr>
          <w:rFonts w:ascii="Arial" w:cs="Arial" w:eastAsia="Arial" w:hAnsi="Arial"/>
          <w:sz w:val="16"/>
          <w:szCs w:val="16"/>
          <w:color w:val="auto"/>
        </w:rPr>
      </w:pPr>
    </w:p>
    <w:p>
      <w:pPr>
        <w:jc w:val="both"/>
        <w:ind w:left="-20" w:right="140" w:firstLine="464"/>
        <w:spacing w:after="0" w:line="256" w:lineRule="auto"/>
        <w:tabs>
          <w:tab w:leader="none" w:pos="675"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Rights and Remedies against a Defaulting Lender</w:t>
      </w:r>
      <w:r>
        <w:rPr>
          <w:rFonts w:ascii="Arial" w:cs="Arial" w:eastAsia="Arial" w:hAnsi="Arial"/>
          <w:sz w:val="18"/>
          <w:szCs w:val="18"/>
          <w:color w:val="auto"/>
        </w:rPr>
        <w:t xml:space="preserve">. The Company may replace any Defaulting Lender in accordance with </w:t>
      </w:r>
      <w:r>
        <w:rPr>
          <w:rFonts w:ascii="Arial" w:cs="Arial" w:eastAsia="Arial" w:hAnsi="Arial"/>
          <w:sz w:val="18"/>
          <w:szCs w:val="18"/>
          <w:u w:val="single" w:color="auto"/>
          <w:color w:val="auto"/>
        </w:rPr>
        <w:t>Section 11.13</w:t>
      </w:r>
      <w:r>
        <w:rPr>
          <w:rFonts w:ascii="Arial" w:cs="Arial" w:eastAsia="Arial" w:hAnsi="Arial"/>
          <w:sz w:val="18"/>
          <w:szCs w:val="18"/>
          <w:color w:val="auto"/>
        </w:rPr>
        <w:t xml:space="preserve">. The rights and remedies against, and with respect to, a Defaulting Lender under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are in addition to, and cumulative and not in limitation of, all other rights and remedies that each of the Administrative Agent, the L/C Issuers, the Lenders and the Loan Parties may, at any time, have against, or with respect to, such Defaulting Lender.</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TAXES, YIELD PROTECTION AND ILLEGALITY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3.01 Taxes.</w:t>
      </w:r>
    </w:p>
    <w:p>
      <w:pPr>
        <w:spacing w:after="0" w:line="96" w:lineRule="exact"/>
        <w:rPr>
          <w:sz w:val="20"/>
          <w:szCs w:val="20"/>
          <w:color w:val="auto"/>
        </w:rPr>
      </w:pPr>
    </w:p>
    <w:p>
      <w:pPr>
        <w:ind w:left="-20" w:right="100" w:firstLine="464"/>
        <w:spacing w:after="0" w:line="294" w:lineRule="auto"/>
        <w:tabs>
          <w:tab w:leader="none" w:pos="675"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Payments Free of Taxes; Obligation to Withhold; Payments on Account of Taxes</w:t>
      </w:r>
      <w:r>
        <w:rPr>
          <w:rFonts w:ascii="Arial" w:cs="Arial" w:eastAsia="Arial" w:hAnsi="Arial"/>
          <w:sz w:val="16"/>
          <w:szCs w:val="16"/>
          <w:color w:val="auto"/>
        </w:rPr>
        <w:t>. (i) Any and all payments by or on account of any obligation of the respective Borrower hereunder or under any other Loan Document shall to the extent permitted by applicable Laws be made free and clear of and without reduction or withholding for any Taxes. If, however, applicable Laws require any Borrower or the Administrative Agent to withhold or deduct any Tax, such Tax shall be withheld or deducted in accordance with such Laws as determined by such Borrower or the Administrative Agent, as the case may be, upon the basis of the information and documentation to be delivered pursuant to subsection (e) below.</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60" w:top="280" w:right="239" w:bottom="1440" w:gutter="0" w:footer="0" w:header="0"/>
        </w:sectPr>
      </w:pPr>
    </w:p>
    <w:bookmarkStart w:id="103" w:name="page104"/>
    <w:bookmarkEnd w:id="103"/>
    <w:p>
      <w:pPr>
        <w:ind w:left="440" w:right="40" w:firstLine="443"/>
        <w:spacing w:after="0" w:line="310" w:lineRule="auto"/>
        <w:tabs>
          <w:tab w:leader="none" w:pos="1137" w:val="left"/>
        </w:tabs>
        <w:numPr>
          <w:ilvl w:val="1"/>
          <w:numId w:val="8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Borrower or the Administrative Agent shall be required by the Code to withhold or deduct any Taxes, including both United States Federal backup withholding and withholding taxes, from any payment by or on account of any obligation of such Borrower hereunder or under any other Loan Document, then (A) the Administrative Agent shall withhold or make such deductions as are determined by the Administrative Agent to be required based upon the information and documentation it has received pursuant to subsection (e) below, (B) the Administrative Agent shall timely pay the full amount withheld or deducted to the relevant Governmental Authority in accordance with the Code, and (C) to the extent that the withholding or deduction is made on account of Indemnified Taxes or Other Taxes, the sum payable by such Borrower shall be increased as necessary so that after any required withholding or the making of all required deductions (including deductions applicable to additional sums payable under this Section) the Administrative Agent, Lender or L/C Issuer, as the case may be, receives an amount equal to the sum it would have received had no such withholding or deduction been made.</w:t>
      </w:r>
    </w:p>
    <w:p>
      <w:pPr>
        <w:spacing w:after="0" w:line="27" w:lineRule="exact"/>
        <w:rPr>
          <w:rFonts w:ascii="Arial" w:cs="Arial" w:eastAsia="Arial" w:hAnsi="Arial"/>
          <w:sz w:val="15"/>
          <w:szCs w:val="15"/>
          <w:color w:val="auto"/>
        </w:rPr>
      </w:pPr>
    </w:p>
    <w:p>
      <w:pPr>
        <w:ind w:left="440" w:firstLine="443"/>
        <w:spacing w:after="0" w:line="289" w:lineRule="auto"/>
        <w:tabs>
          <w:tab w:leader="none" w:pos="1185" w:val="left"/>
        </w:tabs>
        <w:numPr>
          <w:ilvl w:val="1"/>
          <w:numId w:val="89"/>
        </w:numPr>
        <w:rPr>
          <w:rFonts w:ascii="Arial" w:cs="Arial" w:eastAsia="Arial" w:hAnsi="Arial"/>
          <w:sz w:val="16"/>
          <w:szCs w:val="16"/>
          <w:color w:val="auto"/>
        </w:rPr>
      </w:pPr>
      <w:r>
        <w:rPr>
          <w:rFonts w:ascii="Arial" w:cs="Arial" w:eastAsia="Arial" w:hAnsi="Arial"/>
          <w:sz w:val="16"/>
          <w:szCs w:val="16"/>
          <w:color w:val="auto"/>
        </w:rPr>
        <w:t>If any Borrower or the Administrative Agent shall be required by any applicable Laws other than the Code to withhold or deduct any Taxes from any payment by or on account of any obligation of such Borrower hereunder or under any other Loan Document, then (A) the Administrative Agent shall withhold or make such deductions as are determined by the Administrative Agent to be required based upon the information and documentation it has received pursuant to subsection (e) below, (B) the Administrative Agent shall timely pay the full amount withheld or deducted to the relevant Governmental Authority in accordance with such Laws, and (C) to the extent that the withholding or deduction is made on account of Indemnified Taxes or Other Taxes, the sum payable by such Borrower shall be increased as necessary so that after any required withholding or the making of all required deductions (including deductions applicable to additional sums payable under this Section) the Administrative Agent, Lender or L/C Issuer, as the case may be, receives an amount equal to the sum it would have received had no such withholding or deduction been made.</w:t>
      </w:r>
    </w:p>
    <w:p>
      <w:pPr>
        <w:spacing w:after="0" w:line="118" w:lineRule="exact"/>
        <w:rPr>
          <w:rFonts w:ascii="Arial" w:cs="Arial" w:eastAsia="Arial" w:hAnsi="Arial"/>
          <w:sz w:val="16"/>
          <w:szCs w:val="16"/>
          <w:color w:val="auto"/>
        </w:rPr>
      </w:pPr>
    </w:p>
    <w:p>
      <w:pPr>
        <w:ind w:left="-20" w:right="160" w:firstLine="464"/>
        <w:spacing w:after="0" w:line="256" w:lineRule="auto"/>
        <w:tabs>
          <w:tab w:leader="none" w:pos="685"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Each of the Borrowers</w:t>
      </w:r>
      <w:r>
        <w:rPr>
          <w:rFonts w:ascii="Arial" w:cs="Arial" w:eastAsia="Arial" w:hAnsi="Arial"/>
          <w:sz w:val="18"/>
          <w:szCs w:val="18"/>
          <w:color w:val="auto"/>
        </w:rPr>
        <w:t>. Without limiting the provisions of subsection (a) above, each Borrower shall timely pay any Other Taxes arising from payments required to be made by it hereunder or from its execution and delivery of, or performance by it of, or otherwise with respect to its obligations under, any Loan Document to which it is a party and imposed thereon under applicable Law to the relevant Governmental Authority in accordance with applicable Laws.</w:t>
      </w:r>
    </w:p>
    <w:p>
      <w:pPr>
        <w:spacing w:after="0" w:line="143" w:lineRule="exact"/>
        <w:rPr>
          <w:rFonts w:ascii="Arial" w:cs="Arial" w:eastAsia="Arial" w:hAnsi="Arial"/>
          <w:sz w:val="18"/>
          <w:szCs w:val="18"/>
          <w:color w:val="auto"/>
        </w:rPr>
      </w:pPr>
    </w:p>
    <w:p>
      <w:pPr>
        <w:ind w:left="-20" w:right="220" w:firstLine="464"/>
        <w:spacing w:after="0" w:line="290" w:lineRule="auto"/>
        <w:tabs>
          <w:tab w:leader="none" w:pos="675"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Tax Indemnifications</w:t>
      </w:r>
      <w:r>
        <w:rPr>
          <w:rFonts w:ascii="Arial" w:cs="Arial" w:eastAsia="Arial" w:hAnsi="Arial"/>
          <w:sz w:val="16"/>
          <w:szCs w:val="16"/>
          <w:color w:val="auto"/>
        </w:rPr>
        <w:t>. (i) Without limiting the provisions of subsection (a) or (b) above, each Borrower shall and does hereby indemnify the Administrative Agent, each Lender and the L/C Issuer, and shall make payment in respect thereof within 10 Business Days after demand therefor, for the full amount of any Indemnified Taxes or Other Taxes (including Indemnified Taxes or Other Taxes imposed or asserted on or attributable to amounts payable under this Section) paid by the Administrative Agent, such Lender or the L/C Issuer, as the case may be, and any penalties, interest and reasonable expenses arising therefrom or with respect thereto, whether or not such Indemnified Taxes or Other Taxes were correctly or legally imposed or asserted by the relevant Governmental Authority. Each Borrower shall also, and does hereby, indemnify the Administrative Agent, and shall make payment in respect thereof within 10 days after demand therefor, for any amount which a Lender or the L/C Issuer (other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60" w:top="280" w:right="239" w:bottom="1440" w:gutter="0" w:footer="0" w:header="0"/>
        </w:sectPr>
      </w:pPr>
    </w:p>
    <w:bookmarkStart w:id="104" w:name="page105"/>
    <w:bookmarkEnd w:id="104"/>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than a Lender or L/C Issuer that is an affiliate of the Administrative Agent) for any reason fails to pay indefeasibly to the Administrative Agent as required by clause (ii) of this subsection. A certificate as to the amount of any such payment or liability delivered to a Borrower by a Lender or the L/C Issuer (with a copy to the Administrative Agent), or by the Administrative Agent on its own behalf or on behalf of a Lender or the L/C Issuer, shall be conclusive absent manifest error. However, neither the Administrative Agent, any Lender, nor the L/C Issuer shall be entitled to receive any payment with respect to Indemnified Taxes or Other Taxes that are incurred or accrued more than 180 days prior to the date the Administrative Agent, such Lender, or the L/C Issuer gives notice and demand thereof to such Borrower.</w:t>
      </w:r>
    </w:p>
    <w:p>
      <w:pPr>
        <w:spacing w:after="0" w:line="63" w:lineRule="exact"/>
        <w:rPr>
          <w:sz w:val="20"/>
          <w:szCs w:val="20"/>
          <w:color w:val="auto"/>
        </w:rPr>
      </w:pPr>
    </w:p>
    <w:p>
      <w:pPr>
        <w:ind w:left="460" w:right="80" w:firstLine="443"/>
        <w:spacing w:after="0" w:line="286" w:lineRule="auto"/>
        <w:tabs>
          <w:tab w:leader="none" w:pos="1157" w:val="left"/>
        </w:tabs>
        <w:numPr>
          <w:ilvl w:val="1"/>
          <w:numId w:val="91"/>
        </w:numPr>
        <w:rPr>
          <w:rFonts w:ascii="Arial" w:cs="Arial" w:eastAsia="Arial" w:hAnsi="Arial"/>
          <w:sz w:val="16"/>
          <w:szCs w:val="16"/>
          <w:color w:val="auto"/>
        </w:rPr>
      </w:pPr>
      <w:r>
        <w:rPr>
          <w:rFonts w:ascii="Arial" w:cs="Arial" w:eastAsia="Arial" w:hAnsi="Arial"/>
          <w:sz w:val="16"/>
          <w:szCs w:val="16"/>
          <w:color w:val="auto"/>
        </w:rPr>
        <w:t>Without limiting the provisions of subsection (a) or (b) above, each Lender and the L/C Issuer shall, and does hereby, indemnify each Borrower and the Administrative Agent, and shall make payment in respect thereof within 10 days after demand therefor, against any and all Taxes and any and all related losses, claims, liabilities, penalties, interest and expenses (including the reasonable fees, charges and disbursements of any counsel for such Borrower or the Administrative Agent) incurred by or asserted against such Borrower or the Administrative Agent by any Governmental Authority as a result of the failure by such Lender or the L/C Issuer, as the case may be, to deliver, or as a result of the inaccuracy, inadequacy or deficiency of, any documentation required to be delivered by such Lender or the L/C Issuer, as the case may be, to such Borrower or the Administrative Agent pursuant to subsection (e).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clause (ii). The agreements in this clause (ii) shall survive the resignation and/or replacement of the Administrative Agent, any assignment of rights by, or the replacement of, a Lender or the L/C Issuer, the termination of the Aggregate Commitments and the repayment, satisfaction or discharge of all other payment Obligations.</w:t>
      </w:r>
    </w:p>
    <w:p>
      <w:pPr>
        <w:spacing w:after="0" w:line="127" w:lineRule="exact"/>
        <w:rPr>
          <w:rFonts w:ascii="Arial" w:cs="Arial" w:eastAsia="Arial" w:hAnsi="Arial"/>
          <w:sz w:val="16"/>
          <w:szCs w:val="16"/>
          <w:color w:val="auto"/>
        </w:rPr>
      </w:pPr>
    </w:p>
    <w:p>
      <w:pPr>
        <w:ind w:right="40" w:firstLine="464"/>
        <w:spacing w:after="0" w:line="294" w:lineRule="auto"/>
        <w:tabs>
          <w:tab w:leader="none" w:pos="705"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Evidence of Payments</w:t>
      </w:r>
      <w:r>
        <w:rPr>
          <w:rFonts w:ascii="Arial" w:cs="Arial" w:eastAsia="Arial" w:hAnsi="Arial"/>
          <w:sz w:val="16"/>
          <w:szCs w:val="16"/>
          <w:color w:val="auto"/>
        </w:rPr>
        <w:t xml:space="preserve">. As soon as reasonably practicable after request by a Borrower or the Administrative Agent, as the case may be, and after any payment of Indemnified Taxes or Other Taxes by such Borrower or by the Administrative Agent to a Governmental Authority as provided in this </w:t>
      </w:r>
      <w:r>
        <w:rPr>
          <w:rFonts w:ascii="Arial" w:cs="Arial" w:eastAsia="Arial" w:hAnsi="Arial"/>
          <w:sz w:val="16"/>
          <w:szCs w:val="16"/>
          <w:u w:val="single" w:color="auto"/>
          <w:color w:val="auto"/>
        </w:rPr>
        <w:t>Section 3.01</w:t>
      </w:r>
      <w:r>
        <w:rPr>
          <w:rFonts w:ascii="Arial" w:cs="Arial" w:eastAsia="Arial" w:hAnsi="Arial"/>
          <w:sz w:val="16"/>
          <w:szCs w:val="16"/>
          <w:color w:val="auto"/>
        </w:rPr>
        <w:t>, such Borrower shall deliver to the Administrative Agent or the Administrative Agent shall deliver to such Borrower, as the case may be, the original or a certified copy of a receipt issued by such Governmental Authority evidencing such payment, a copy of any return required by Laws to report such payment or other evidence of such payment reasonably satisfactory to such Borrower or the Administrative Agent, as the case may be.</w:t>
      </w:r>
    </w:p>
    <w:p>
      <w:pPr>
        <w:spacing w:after="0" w:line="115" w:lineRule="exact"/>
        <w:rPr>
          <w:rFonts w:ascii="Arial" w:cs="Arial" w:eastAsia="Arial" w:hAnsi="Arial"/>
          <w:sz w:val="16"/>
          <w:szCs w:val="16"/>
          <w:color w:val="auto"/>
        </w:rPr>
      </w:pPr>
    </w:p>
    <w:p>
      <w:pPr>
        <w:ind w:firstLine="464"/>
        <w:spacing w:after="0" w:line="255" w:lineRule="auto"/>
        <w:tabs>
          <w:tab w:leader="none" w:pos="695"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 (i) Each Lender shall deliver to the Company and to the Administrative Agent, at the time or times prescribed by applicable Laws or when reasonably requested by the Company or the Administrative Agent, such properly completed and executed documentation prescribed by applicable Laws or by the taxing authorities of any jurisdiction and such other reasonably requested information as will permit the Company or the Administrative Agent, as the case may be, (A) to determine (1) whether or not payments made by the respective Borrowers to such Lender hereunder or under any other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Document are subject to Taxes or information reporting, (2) if applicable, the required rate of withholding or deduction with respect to such payments, and</w:t>
      </w:r>
    </w:p>
    <w:p>
      <w:pPr>
        <w:spacing w:after="0" w:line="38" w:lineRule="exact"/>
        <w:rPr>
          <w:sz w:val="20"/>
          <w:szCs w:val="20"/>
          <w:color w:val="auto"/>
        </w:rPr>
      </w:pPr>
    </w:p>
    <w:p>
      <w:pPr>
        <w:ind w:right="380" w:firstLine="8"/>
        <w:spacing w:after="0" w:line="255" w:lineRule="auto"/>
        <w:tabs>
          <w:tab w:leader="none" w:pos="249"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such Lender’s entitlement to any available exemption from, or reduction of, applicable Taxes in respect of all payments to be made to such Lender by the respective Borrowers pursuant to this Agreement or any other Loan Document or (B) to establish such Lender’s status for withholding tax purposes in the applicable jurisdictions.</w:t>
      </w:r>
    </w:p>
    <w:p>
      <w:pPr>
        <w:spacing w:after="0" w:line="63" w:lineRule="exact"/>
        <w:rPr>
          <w:rFonts w:ascii="Arial" w:cs="Arial" w:eastAsia="Arial" w:hAnsi="Arial"/>
          <w:sz w:val="18"/>
          <w:szCs w:val="18"/>
          <w:color w:val="auto"/>
        </w:rPr>
      </w:pPr>
    </w:p>
    <w:p>
      <w:pPr>
        <w:ind w:left="1160" w:hanging="257"/>
        <w:spacing w:after="0"/>
        <w:tabs>
          <w:tab w:leader="none" w:pos="11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Without limiting the generality of clause (i) above, if a Borrower is resident for tax purposes in the United States,</w:t>
      </w:r>
    </w:p>
    <w:p>
      <w:pPr>
        <w:spacing w:after="0" w:line="90" w:lineRule="exact"/>
        <w:rPr>
          <w:rFonts w:ascii="Arial" w:cs="Arial" w:eastAsia="Arial" w:hAnsi="Arial"/>
          <w:sz w:val="18"/>
          <w:szCs w:val="18"/>
          <w:color w:val="auto"/>
        </w:rPr>
      </w:pPr>
    </w:p>
    <w:p>
      <w:pPr>
        <w:ind w:left="920" w:right="80" w:firstLine="421"/>
        <w:spacing w:after="0" w:line="294" w:lineRule="auto"/>
        <w:tabs>
          <w:tab w:leader="none" w:pos="1627" w:val="left"/>
        </w:tabs>
        <w:numPr>
          <w:ilvl w:val="2"/>
          <w:numId w:val="93"/>
        </w:numPr>
        <w:rPr>
          <w:rFonts w:ascii="Arial" w:cs="Arial" w:eastAsia="Arial" w:hAnsi="Arial"/>
          <w:sz w:val="16"/>
          <w:szCs w:val="16"/>
          <w:color w:val="auto"/>
        </w:rPr>
      </w:pPr>
      <w:r>
        <w:rPr>
          <w:rFonts w:ascii="Arial" w:cs="Arial" w:eastAsia="Arial" w:hAnsi="Arial"/>
          <w:sz w:val="16"/>
          <w:szCs w:val="16"/>
          <w:color w:val="auto"/>
        </w:rPr>
        <w:t>any Lender that is a “United States person” within the meaning of Section 7701(a)(30) of the Code shall deliver to the Company and the Administrative Agent (in such number of copies as shall be requested by the recipient) executed originals of Internal Revenue Service Form W-9 or such other documentation or information prescribed by applicable Laws or reasonably requested by the Company on behalf of such Borrower or the Administrative Agent as will enable such Borrower or the Administrative Agent, as the case may be, to determine whether or not such Lender is subject to backup withholding or information reporting requirements;</w:t>
      </w:r>
    </w:p>
    <w:p>
      <w:pPr>
        <w:spacing w:after="0" w:line="34" w:lineRule="exact"/>
        <w:rPr>
          <w:rFonts w:ascii="Arial" w:cs="Arial" w:eastAsia="Arial" w:hAnsi="Arial"/>
          <w:sz w:val="16"/>
          <w:szCs w:val="16"/>
          <w:color w:val="auto"/>
        </w:rPr>
      </w:pPr>
    </w:p>
    <w:p>
      <w:pPr>
        <w:ind w:left="920" w:right="240" w:firstLine="421"/>
        <w:spacing w:after="0" w:line="294" w:lineRule="auto"/>
        <w:tabs>
          <w:tab w:leader="none" w:pos="1618" w:val="left"/>
        </w:tabs>
        <w:numPr>
          <w:ilvl w:val="2"/>
          <w:numId w:val="93"/>
        </w:numPr>
        <w:rPr>
          <w:rFonts w:ascii="Arial" w:cs="Arial" w:eastAsia="Arial" w:hAnsi="Arial"/>
          <w:sz w:val="16"/>
          <w:szCs w:val="16"/>
          <w:color w:val="auto"/>
        </w:rPr>
      </w:pPr>
      <w:r>
        <w:rPr>
          <w:rFonts w:ascii="Arial" w:cs="Arial" w:eastAsia="Arial" w:hAnsi="Arial"/>
          <w:sz w:val="16"/>
          <w:szCs w:val="16"/>
          <w:color w:val="auto"/>
        </w:rPr>
        <w:t>each Foreign Lender that is entitled under the Code or any applicable treaty to an exemption from or reduction of withholding tax with respect to payments hereunder or under any other Loan Document shall deliver to the Company and the Administrative Agent (in such number of copies as shall be requested by the recipient) on or prior to the date on which such Foreign Lender becomes a Lender (and from time to time thereafter upon the request of the Company on behalf of such Borrower or the Administrative Agent, but only if such Foreign Lender is legally entitled to do so, or at such times prescribed by applicable Law), whichever of the following is applicable:</w:t>
      </w:r>
    </w:p>
    <w:p>
      <w:pPr>
        <w:spacing w:after="0" w:line="35" w:lineRule="exact"/>
        <w:rPr>
          <w:sz w:val="20"/>
          <w:szCs w:val="20"/>
          <w:color w:val="auto"/>
        </w:rPr>
      </w:pPr>
    </w:p>
    <w:p>
      <w:pPr>
        <w:ind w:left="1500" w:right="100" w:firstLine="389"/>
        <w:spacing w:after="0" w:line="268" w:lineRule="auto"/>
        <w:tabs>
          <w:tab w:leader="none" w:pos="2116"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executed originals of Internal Revenue Service Form W-8BEN, or successor applicable form, claiming eligibility for benefits of an income tax treaty to which the United States is a party,</w:t>
      </w:r>
    </w:p>
    <w:p>
      <w:pPr>
        <w:spacing w:after="0" w:line="5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(II) executed originals of Internal Revenue Service Form W-8ECI, or successor applicable form,</w:t>
      </w:r>
    </w:p>
    <w:p>
      <w:pPr>
        <w:spacing w:after="0" w:line="90" w:lineRule="exact"/>
        <w:rPr>
          <w:sz w:val="20"/>
          <w:szCs w:val="20"/>
          <w:color w:val="auto"/>
        </w:rPr>
      </w:pPr>
    </w:p>
    <w:p>
      <w:pPr>
        <w:ind w:left="1500" w:right="700" w:firstLine="389"/>
        <w:spacing w:after="0" w:line="268" w:lineRule="auto"/>
        <w:tabs>
          <w:tab w:leader="none" w:pos="2233"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executed originals of Internal Revenue Service Form W-8IMY, or successor applicable form, and all required supporting documentation,</w:t>
      </w:r>
    </w:p>
    <w:p>
      <w:pPr>
        <w:spacing w:after="0" w:line="5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(IV) in the case of a Foreign Lender claiming the benefits of the exemption for portfolio interest under Section 881(c) of the Code,</w:t>
      </w:r>
    </w:p>
    <w:p>
      <w:pPr>
        <w:spacing w:after="0" w:line="38" w:lineRule="exact"/>
        <w:rPr>
          <w:sz w:val="20"/>
          <w:szCs w:val="20"/>
          <w:color w:val="auto"/>
        </w:rPr>
      </w:pPr>
    </w:p>
    <w:p>
      <w:pPr>
        <w:ind w:left="1500" w:hanging="8"/>
        <w:spacing w:after="0" w:line="254" w:lineRule="auto"/>
        <w:tabs>
          <w:tab w:leader="none" w:pos="1749"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certificate to the effect that such Foreign Lender is not (A) a “bank” within the meaning of Section 881(c)(3)(A) of the Code, (B) a “10 percent shareholder” of such Borrower within the meaning of Section 881(c)(3)(B) of the Code, or (C) a “controlled foreign corporation” described in section 881(c)(3)(C) of the Code and (y) executed originals of Internal Revenue Service Form W-8BEN, or successor applicable form, 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80" w:right="259" w:bottom="1440" w:gutter="0" w:footer="0" w:header="0"/>
        </w:sectPr>
      </w:pPr>
    </w:p>
    <w:bookmarkStart w:id="106" w:name="page107"/>
    <w:bookmarkEnd w:id="106"/>
    <w:p>
      <w:pPr>
        <w:ind w:left="1040" w:right="120" w:firstLine="389"/>
        <w:spacing w:after="0" w:line="306" w:lineRule="auto"/>
        <w:tabs>
          <w:tab w:leader="none" w:pos="1725" w:val="left"/>
        </w:tabs>
        <w:numPr>
          <w:ilvl w:val="3"/>
          <w:numId w:val="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executed originals of any other form prescribed by applicable Laws as a basis for claiming exemption from or a reduction in United States Federal withholding tax together with such supplementary documentation as may be prescribed by applicable Laws to permit such Borrower or the Administrative Agent to determine the withholding or deduction required to be made; and</w:t>
      </w:r>
    </w:p>
    <w:p>
      <w:pPr>
        <w:spacing w:after="0" w:line="25" w:lineRule="exact"/>
        <w:rPr>
          <w:rFonts w:ascii="Arial" w:cs="Arial" w:eastAsia="Arial" w:hAnsi="Arial"/>
          <w:sz w:val="16"/>
          <w:szCs w:val="16"/>
          <w:color w:val="auto"/>
        </w:rPr>
      </w:pPr>
    </w:p>
    <w:p>
      <w:pPr>
        <w:ind w:left="460" w:right="20" w:firstLine="421"/>
        <w:spacing w:after="0" w:line="287" w:lineRule="auto"/>
        <w:tabs>
          <w:tab w:leader="none" w:pos="1158" w:val="left"/>
        </w:tabs>
        <w:numPr>
          <w:ilvl w:val="2"/>
          <w:numId w:val="98"/>
        </w:numPr>
        <w:rPr>
          <w:rFonts w:ascii="Arial" w:cs="Arial" w:eastAsia="Arial" w:hAnsi="Arial"/>
          <w:sz w:val="16"/>
          <w:szCs w:val="16"/>
          <w:color w:val="auto"/>
        </w:rPr>
      </w:pPr>
      <w:r>
        <w:rPr>
          <w:rFonts w:ascii="Arial" w:cs="Arial" w:eastAsia="Arial" w:hAnsi="Arial"/>
          <w:sz w:val="16"/>
          <w:szCs w:val="16"/>
          <w:color w:val="auto"/>
        </w:rPr>
        <w:t>if a payment made to a Lender under any Loan Document would be subject to U.S. federal withholding Tax imposed by FATCA if such Lender, L/C Issuer or Administrative Agent were to fail to comply with the applicable reporting requirements of FATCA (including those contained in Section 1471(b) or 1472(b) of the Code, as applicable), such Lender, L/C Issuer or Administrative Agent shall deliver to the applicable Borrower and the Administrative Agent at the time or times prescribed by law and at such time or times reasonably requested by the applicable Borrower or the Administrative Agent such documentation prescribed by applicable law (including as prescribed by Section 1471(b)(3)(C)(i) of the Code) and such additional documentation reasonably requested by the applicable Borrower or the Administrative Agent as may be necessary for such Borrower and the Administrative Agent to comply with their obligations under FATCA and to determine that such Lender, L/C Issuer or Administrative Agent has complied with such Lender’s, L/C Issuer’s or Administrative Agent’s obligations under FATCA or to determine the amount to deduct and withhold from such payment. Solely for purposes of this clause (C), “FATCA” shall include any amendments made to FATCA after the date of this Agreement.</w:t>
      </w:r>
    </w:p>
    <w:p>
      <w:pPr>
        <w:spacing w:after="0" w:line="41" w:lineRule="exact"/>
        <w:rPr>
          <w:rFonts w:ascii="Arial" w:cs="Arial" w:eastAsia="Arial" w:hAnsi="Arial"/>
          <w:sz w:val="16"/>
          <w:szCs w:val="16"/>
          <w:color w:val="auto"/>
        </w:rPr>
      </w:pPr>
    </w:p>
    <w:p>
      <w:pPr>
        <w:ind w:right="20" w:firstLine="443"/>
        <w:spacing w:after="0" w:line="283" w:lineRule="auto"/>
        <w:tabs>
          <w:tab w:leader="none" w:pos="745" w:val="left"/>
        </w:tabs>
        <w:numPr>
          <w:ilvl w:val="1"/>
          <w:numId w:val="99"/>
        </w:numPr>
        <w:rPr>
          <w:rFonts w:ascii="Arial" w:cs="Arial" w:eastAsia="Arial" w:hAnsi="Arial"/>
          <w:sz w:val="16"/>
          <w:szCs w:val="16"/>
          <w:color w:val="auto"/>
        </w:rPr>
      </w:pPr>
      <w:r>
        <w:rPr>
          <w:rFonts w:ascii="Arial" w:cs="Arial" w:eastAsia="Arial" w:hAnsi="Arial"/>
          <w:sz w:val="16"/>
          <w:szCs w:val="16"/>
          <w:color w:val="auto"/>
        </w:rPr>
        <w:t>Each Lender shall promptly (A) notify the Company and the Administrative Agent of any change in circumstances which would modify or render invalid any claimed exemption or reduction in withholding taxes, (B) take such steps as shall not be materially disadvantageous to it, in the reasonable judgment of such Lender, and as may be reasonably necessary (including the re-designation of its Lending Office) to avoid any requirement of applicable Laws of any jurisdiction that any Borrower or the Administrative Agent make any withholding or deduction for taxes from amounts payable to such Lender, and (C) deliver to the applicable Borrower and the Administrative Agent (1) such other documentation or information prescribed by applicable Law following the occurrence of any event requiring a change in the most recent documentation previously delivered pursuant to this subsection</w:t>
      </w:r>
    </w:p>
    <w:p>
      <w:pPr>
        <w:spacing w:after="0" w:line="1" w:lineRule="exact"/>
        <w:rPr>
          <w:rFonts w:ascii="Arial" w:cs="Arial" w:eastAsia="Arial" w:hAnsi="Arial"/>
          <w:sz w:val="16"/>
          <w:szCs w:val="16"/>
          <w:color w:val="auto"/>
        </w:rPr>
      </w:pPr>
    </w:p>
    <w:p>
      <w:pPr>
        <w:ind w:firstLine="4"/>
        <w:spacing w:after="0" w:line="361" w:lineRule="auto"/>
        <w:tabs>
          <w:tab w:leader="none" w:pos="239" w:val="left"/>
        </w:tabs>
        <w:numPr>
          <w:ilvl w:val="0"/>
          <w:numId w:val="100"/>
        </w:numPr>
        <w:rPr>
          <w:rFonts w:ascii="Arial" w:cs="Arial" w:eastAsia="Arial" w:hAnsi="Arial"/>
          <w:sz w:val="15"/>
          <w:szCs w:val="15"/>
          <w:color w:val="auto"/>
        </w:rPr>
      </w:pPr>
      <w:r>
        <w:rPr>
          <w:rFonts w:ascii="Arial" w:cs="Arial" w:eastAsia="Arial" w:hAnsi="Arial"/>
          <w:sz w:val="15"/>
          <w:szCs w:val="15"/>
          <w:color w:val="auto"/>
        </w:rPr>
        <w:t>so as to maintain compliance with such Lender’s obligations thereunder, and (2) prior to the date on which any documentation delivered pursuant to this subsection (e) expires or becomes obsolete, such documentation as may be necessary to maintain compliance with such Lender’s obligations thereunder.</w:t>
      </w:r>
    </w:p>
    <w:p>
      <w:pPr>
        <w:spacing w:after="0" w:line="5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40"/>
          </w:cols>
          <w:pgMar w:left="700" w:top="280" w:right="259" w:bottom="1440" w:gutter="0" w:footer="0" w:header="0"/>
        </w:sectPr>
      </w:pPr>
    </w:p>
    <w:bookmarkStart w:id="107" w:name="page108"/>
    <w:bookmarkEnd w:id="107"/>
    <w:p>
      <w:pPr>
        <w:ind w:left="460" w:right="160" w:firstLine="443"/>
        <w:spacing w:after="0" w:line="255" w:lineRule="auto"/>
        <w:tabs>
          <w:tab w:leader="none" w:pos="1196" w:val="left"/>
        </w:tabs>
        <w:numPr>
          <w:ilvl w:val="1"/>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of the Borrowers shall promptly deliver to the Administrative Agent or any Lender, as the Administrative Agent or such Lender shall reasonably request, such documents and forms reasonably requested as are required by any relevant taxing authorities under the Laws of any jurisdiction, duly executed and completed by such Borrower, to be furnished by such Lender or the Administrative Agent under such Laws in connection with any payment by the Administrative Agent or any Lender of Taxes or Other Taxes, or otherwise in connection with the Loan Documents, with respect to such jurisdiction.</w:t>
      </w:r>
    </w:p>
    <w:p>
      <w:pPr>
        <w:spacing w:after="0" w:line="142" w:lineRule="exact"/>
        <w:rPr>
          <w:rFonts w:ascii="Arial" w:cs="Arial" w:eastAsia="Arial" w:hAnsi="Arial"/>
          <w:sz w:val="18"/>
          <w:szCs w:val="18"/>
          <w:color w:val="auto"/>
        </w:rPr>
      </w:pPr>
    </w:p>
    <w:p>
      <w:pPr>
        <w:ind w:left="680" w:hanging="216"/>
        <w:spacing w:after="0"/>
        <w:tabs>
          <w:tab w:leader="none" w:pos="680"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Unless required by applicable Laws, at no time shall the Administrative Agent have any obligation to file for or</w:t>
      </w:r>
    </w:p>
    <w:p>
      <w:pPr>
        <w:spacing w:after="0" w:line="38" w:lineRule="exact"/>
        <w:rPr>
          <w:rFonts w:ascii="Arial" w:cs="Arial" w:eastAsia="Arial" w:hAnsi="Arial"/>
          <w:sz w:val="16"/>
          <w:szCs w:val="16"/>
          <w:color w:val="auto"/>
        </w:rPr>
      </w:pPr>
    </w:p>
    <w:p>
      <w:pPr>
        <w:ind w:right="20"/>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otherwise pursue on behalf of a Lender or the L/C Issuer, or have any obligation to pay to any Lender or the L/C Issuer, any refund of Taxes withheld or deducted from funds paid for the account of such Lender or the L/C Issuer, as the case may be. If the Administrative Agent, any Lender or the L/C Issuer determines, in its sole discretion, that it has received a refund of any Taxes or Other Taxes as to which it has been indemnified by any Borrower or with respect to which any Borrower has paid additional amounts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it shall pay to such Borrower an amount equal to such refund (but only to the extent of indemnity payments made, or additional amounts paid, by such Borrower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with respect to the Taxes or Other Taxes giving rise to such refund), net of all out-of-pocket expenses and net of any loss or gain realized in the conversion of such funds from or to another currency incurred by the Administrative Agent, such Lender or the L/C Issuer, as the case may be,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Borrower, upon the request of the Administrative Agent, such Lender or the L/C Issuer, agrees to repay the amount paid over to such Borrower (plus any penalties, interest or other charges imposed by the relevant Governmental Authority) to the Administrative Agent, such Lender or the L/C Issuer in the event the Administrative Agent, such Lender or the L/C Issuer is required to repay such refund to such Governmental Authority. This subsection shall not be construed to require the Administrative Agent, any Lender or the L/C Issuer to make available its tax returns (or any other information relating to its taxes that it deems confidential) to such Borrower or any other Person.</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color w:val="auto"/>
        </w:rPr>
        <w:t xml:space="preserve">3.02 Illegality. </w:t>
      </w:r>
      <w:r>
        <w:rPr>
          <w:rFonts w:ascii="Arial" w:cs="Arial" w:eastAsia="Arial" w:hAnsi="Arial"/>
          <w:sz w:val="16"/>
          <w:szCs w:val="16"/>
          <w:color w:val="auto"/>
        </w:rPr>
        <w:t>If any Lender determines that any Change in Law has made it unlawful, or that any Governmental Authority has asserted that it is unlawful,</w:t>
      </w:r>
      <w:r>
        <w:rPr>
          <w:rFonts w:ascii="Arial" w:cs="Arial" w:eastAsia="Arial" w:hAnsi="Arial"/>
          <w:sz w:val="16"/>
          <w:szCs w:val="16"/>
          <w:b w:val="1"/>
          <w:bCs w:val="1"/>
          <w:color w:val="auto"/>
        </w:rPr>
        <w:t xml:space="preserve"> </w:t>
      </w:r>
      <w:r>
        <w:rPr>
          <w:rFonts w:ascii="Arial" w:cs="Arial" w:eastAsia="Arial" w:hAnsi="Arial"/>
          <w:sz w:val="16"/>
          <w:szCs w:val="16"/>
          <w:color w:val="auto"/>
        </w:rPr>
        <w:t>for any Lender or its applicable Lending Office to make, maintain or fund Loans whose interest is determined by reference to the Eurocurrency Rate (whether denominated in Dollars or Canadian Dollars) or to accept Canadian BA’s, or to determine or charge interest rates based upon the Eurocurrency Rate, or any Governmental Authority has imposed material restrictions on the authority of such Lender to purchase or sell, or to take deposits of, Dollars or Canadian Dollars in the applicable interbank market, then, on notice thereof by such Lender to the Company through the Administrative Agent, (i) any obligation of such Lender to make or continue Eurocurrency Rate Loans in the affected currency or currencies or, in the case of Eurocurrency Rate Loans in Dollars or to convert Base Rate Committed Loans to Eurocurrency Rate Committed Loans or accept Canadian BA’s, as the case may be, shall be suspended, and (ii) if such notice asserts the illegality of such Lender making or maintaining Base Rate Loans the interest rate on which is determined by reference to the Eurocurrency Rate component of the Base Rate, the interest rate on which Base Rate Loans of such Lender shall, if necessary to avoid such illegality, be determined by the Administrative Agent without reference to the Eurocurrency Rate component of the Base Rate, in each case until such Lender notifies the Administrative Agent and the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80" w:right="259" w:bottom="1440" w:gutter="0" w:footer="0" w:header="0"/>
        </w:sectPr>
      </w:pPr>
    </w:p>
    <w:bookmarkStart w:id="108" w:name="page109"/>
    <w:bookmarkEnd w:id="108"/>
    <w:p>
      <w:pPr>
        <w:ind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that the circumstances giving rise to such determination no longer exist. Upon receipt of such notice, (x) the Borrowers shall, upon demand from such Lender (with a copy to the Administrative Agent), prepay or, if applicable, convert all Eurocurrency Rate Loans of such Lender to Base Rate Loans (with respect to Loans denominated in Dollars) or Canadian Prime Rate Loans (with respect to Committed Loans denominated in Canadian Dollars) (the interest rate on which Base Rate Loans or Canadian Prime Rate Loans of such Lender shall, if necessary to avoid such illegality, be determined by the Administrative Agent without reference to the Eurocurrency Rate or CDOR component of the Base Rate or Canadian Prime Rate, respectively), either on the last day of the Interest Period therefor, if such Lender may lawfully continue to maintain such Eurocurrency Rate Loans to such day, or immediately, if such Lender may not lawfully continue to maintain such Eurocurrency Rate Loans and (y) if such notice asserts the illegality of such Lender determining or charging interest rates based upon the Eurocurrency Rate, the Administrative Agent shall during the period of such suspension compute the Base Rate applicable to such Lender without reference to the Eurocurrency Rate component thereof until the Administrative Agent is advised in writing by such Lender that it is no longer illegal for such Lender to determine or charge interest rates based upon the Eurocurrency Rate. Upon any such prepayment or conversion, the Borrowers shall also pay accrued interest on the amount so prepaid or converted.</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3.03 Inability to Determine Rates. </w:t>
      </w:r>
      <w:r>
        <w:rPr>
          <w:rFonts w:ascii="Arial" w:cs="Arial" w:eastAsia="Arial" w:hAnsi="Arial"/>
          <w:sz w:val="16"/>
          <w:szCs w:val="16"/>
          <w:color w:val="auto"/>
        </w:rPr>
        <w:t>If the Required Lenders determine that for any reason in connection with any request for (a) a Eurocurrency Rate Loan</w:t>
      </w:r>
      <w:r>
        <w:rPr>
          <w:rFonts w:ascii="Arial" w:cs="Arial" w:eastAsia="Arial" w:hAnsi="Arial"/>
          <w:sz w:val="16"/>
          <w:szCs w:val="16"/>
          <w:b w:val="1"/>
          <w:bCs w:val="1"/>
          <w:color w:val="auto"/>
        </w:rPr>
        <w:t xml:space="preserve"> </w:t>
      </w:r>
      <w:r>
        <w:rPr>
          <w:rFonts w:ascii="Arial" w:cs="Arial" w:eastAsia="Arial" w:hAnsi="Arial"/>
          <w:sz w:val="16"/>
          <w:szCs w:val="16"/>
          <w:color w:val="auto"/>
        </w:rPr>
        <w:t>or a conversion to or continuation thereof that (i) deposits (whether in Dollars or Canadian Dollars) are not being offered to banks in the applicable offshore interbank Eurocurrency market for such currency for the applicable amount and Interest Period of such Eurocurrency Rate Loan, (ii) adequate and reasonable means do not exist for determining the Eurocurrency Rate for any requested Interest Period with respect to a proposed Eurocurrency Rate Committed Loan (whether denominated in Dollars or Canadian Dollars) or in connection with an existing or proposed Base Rate Loan, or (iii) the Eurocurrency Rate for any requested Interest Period with respect to a proposed Eurocurrency Rate Committed Loan does not adequately and fairly reflect the cost to such Lenders of funding such Loan, or (b) Canadian BA’s that adequate and reasonable means do not exist for determining pricing with respect to such Canadian BA’s, the Administrative Agent will promptly so notify the Company and each Lender. Thereafter, (x) the obligation of the Lenders to make or maintain Eurocurrency Rate Loans in the affected currency or currencies or to issue Canadian BA’s shall be suspended (i) in respect to the applicable amount and Interest Period referred to in the preceding clause (a)(i), or (ii) in the circumstances referred to in the preceding clauses (a)(ii) and (iii) and (b), shall be suspended, and (y) in the event of a determination described in the preceding sentence with respect to the Eurocurrency Rate component of the Base Rate, the utilization of the Eurocurrency Rate component in determining the Base Rate shall be suspended, in each case until the Administrative Agent (upon the instruction of the Required Lenders) revokes such notice. Upon receipt of such notice, the Company may revoke any pending request for a Borrowing of, conversion to or continuation of Eurocurrency Rate Committed Loans in the affected currency or currencies or for Canadian BA’s, as applicable, or, failing that, will be deemed to have converted such request into a request for a Committed Borrowing of Base Rate Loans in the amount specified therein or, in the case of a request for Eurocurrency Loans denominated in Canadian Dollars or Canadian BA’s, a request for a Committed Borrowing of Canadian Prime Rate Loans.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80" w:right="239" w:bottom="1440" w:gutter="0" w:footer="0" w:header="0"/>
        </w:sectPr>
      </w:pPr>
    </w:p>
    <w:bookmarkStart w:id="109" w:name="page110"/>
    <w:bookmarkEnd w:id="10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3.04 Increased Costs; Reserves on Eurocurrency Rate Loans.</w:t>
      </w:r>
    </w:p>
    <w:p>
      <w:pPr>
        <w:spacing w:after="0" w:line="96" w:lineRule="exact"/>
        <w:rPr>
          <w:sz w:val="20"/>
          <w:szCs w:val="20"/>
          <w:color w:val="auto"/>
        </w:rPr>
      </w:pPr>
    </w:p>
    <w:p>
      <w:pPr>
        <w:ind w:left="700" w:hanging="236"/>
        <w:spacing w:after="0"/>
        <w:tabs>
          <w:tab w:leader="none" w:pos="70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90" w:lineRule="exact"/>
        <w:rPr>
          <w:rFonts w:ascii="Arial" w:cs="Arial" w:eastAsia="Arial" w:hAnsi="Arial"/>
          <w:sz w:val="18"/>
          <w:szCs w:val="18"/>
          <w:color w:val="auto"/>
        </w:rPr>
      </w:pPr>
    </w:p>
    <w:p>
      <w:pPr>
        <w:ind w:left="460" w:right="180" w:firstLine="443"/>
        <w:spacing w:after="0" w:line="259" w:lineRule="auto"/>
        <w:tabs>
          <w:tab w:leader="none" w:pos="110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18"/>
          <w:szCs w:val="18"/>
          <w:u w:val="single" w:color="auto"/>
          <w:color w:val="auto"/>
        </w:rPr>
        <w:t>Section 3.04(e)</w:t>
      </w:r>
      <w:r>
        <w:rPr>
          <w:rFonts w:ascii="Arial" w:cs="Arial" w:eastAsia="Arial" w:hAnsi="Arial"/>
          <w:sz w:val="18"/>
          <w:szCs w:val="18"/>
          <w:color w:val="auto"/>
        </w:rPr>
        <w:t>) or L/C Issuer;</w:t>
      </w:r>
    </w:p>
    <w:p>
      <w:pPr>
        <w:spacing w:after="0" w:line="59" w:lineRule="exact"/>
        <w:rPr>
          <w:rFonts w:ascii="Arial" w:cs="Arial" w:eastAsia="Arial" w:hAnsi="Arial"/>
          <w:sz w:val="18"/>
          <w:szCs w:val="18"/>
          <w:color w:val="auto"/>
        </w:rPr>
      </w:pPr>
    </w:p>
    <w:p>
      <w:pPr>
        <w:ind w:left="460" w:right="100" w:firstLine="443"/>
        <w:spacing w:after="0" w:line="256" w:lineRule="auto"/>
        <w:tabs>
          <w:tab w:leader="none" w:pos="115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 xml:space="preserve">subject any Lender or L/C Issuer to any tax of any kind whatsoever with respect to this Agreement, any Letter of Credit, any participation in a Letter of Credit or any Eurocurrency Rate Loan made by it or any Canadian BA accepted by it, or change the basis of taxation of payments to such Lender or L/C Issuer in respect thereof (except for Indemnified Taxes or Other Taxes covered by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the imposition of, or any change in the rate of, any Excluded Tax payable by such Lender or L/C Issuer); or</w:t>
      </w:r>
    </w:p>
    <w:p>
      <w:pPr>
        <w:spacing w:after="0" w:line="62" w:lineRule="exact"/>
        <w:rPr>
          <w:rFonts w:ascii="Arial" w:cs="Arial" w:eastAsia="Arial" w:hAnsi="Arial"/>
          <w:sz w:val="18"/>
          <w:szCs w:val="18"/>
          <w:color w:val="auto"/>
        </w:rPr>
      </w:pPr>
    </w:p>
    <w:p>
      <w:pPr>
        <w:ind w:left="460" w:right="300" w:firstLine="443"/>
        <w:spacing w:after="0" w:line="332" w:lineRule="auto"/>
        <w:tabs>
          <w:tab w:leader="none" w:pos="1205" w:val="left"/>
        </w:tabs>
        <w:numPr>
          <w:ilvl w:val="1"/>
          <w:numId w:val="103"/>
        </w:numPr>
        <w:rPr>
          <w:rFonts w:ascii="Arial" w:cs="Arial" w:eastAsia="Arial" w:hAnsi="Arial"/>
          <w:sz w:val="16"/>
          <w:szCs w:val="16"/>
          <w:color w:val="auto"/>
        </w:rPr>
      </w:pPr>
      <w:r>
        <w:rPr>
          <w:rFonts w:ascii="Arial" w:cs="Arial" w:eastAsia="Arial" w:hAnsi="Arial"/>
          <w:sz w:val="16"/>
          <w:szCs w:val="16"/>
          <w:color w:val="auto"/>
        </w:rPr>
        <w:t>impose on any Lender or L/C Issuer or the London interbank market or the market for Canadian BA’s or any other condition, cost or expense affecting this Agreement or Eurocurrency Rate Loans made by such Lender or any Letter of Credit or participation therein;</w:t>
      </w:r>
    </w:p>
    <w:p>
      <w:pPr>
        <w:spacing w:after="0" w:line="85" w:lineRule="exact"/>
        <w:rPr>
          <w:sz w:val="20"/>
          <w:szCs w:val="20"/>
          <w:color w:val="auto"/>
        </w:rPr>
      </w:pPr>
    </w:p>
    <w:p>
      <w:pPr>
        <w:ind w:right="220"/>
        <w:spacing w:after="0" w:line="312" w:lineRule="auto"/>
        <w:rPr>
          <w:sz w:val="20"/>
          <w:szCs w:val="20"/>
          <w:color w:val="auto"/>
        </w:rPr>
      </w:pPr>
      <w:r>
        <w:rPr>
          <w:rFonts w:ascii="Arial" w:cs="Arial" w:eastAsia="Arial" w:hAnsi="Arial"/>
          <w:sz w:val="15"/>
          <w:szCs w:val="15"/>
          <w:color w:val="auto"/>
        </w:rPr>
        <w:t>and the result of any of the foregoing shall be to increase the cost to such Lender of making or maintaining any Loan the interest on which is determined by reference to the Eurocurrency Rate (or of maintaining its obligation to make any such Eurocurrency Rate Loan), of accepting any Canadian BA’s or to increase the cost to such Lender or L/C Issuer of participating in, issuing or maintaining any Letter of Credit (or of maintaining its obligation to participate in or to issue any Letter of Credit), or to reduce the amount of any sum received or receivable by such Lender or L/C Issuer hereunder (whether of principal, interest or any other amount), in each case, by an amount deemed in good faith by such Lender or L/C Issuer to be material, then, within five Business Days after written demand therefor by such Lender or L/C Issuer, the Company will pay (or cause PMCULC to pay) to such Lender or L/C Issuer, as the case may be, such additional amount or amounts as will compensate such Lender or L/C Issuer, as the case may be, for such additional costs incurred or reduction suffered.</w:t>
      </w:r>
    </w:p>
    <w:p>
      <w:pPr>
        <w:spacing w:after="0" w:line="105" w:lineRule="exact"/>
        <w:rPr>
          <w:sz w:val="20"/>
          <w:szCs w:val="20"/>
          <w:color w:val="auto"/>
        </w:rPr>
      </w:pPr>
    </w:p>
    <w:p>
      <w:pPr>
        <w:ind w:firstLine="464"/>
        <w:spacing w:after="0" w:line="289" w:lineRule="auto"/>
        <w:tabs>
          <w:tab w:leader="none" w:pos="705"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Capital Requirements</w:t>
      </w:r>
      <w:r>
        <w:rPr>
          <w:rFonts w:ascii="Arial" w:cs="Arial" w:eastAsia="Arial" w:hAnsi="Arial"/>
          <w:sz w:val="16"/>
          <w:szCs w:val="16"/>
          <w:color w:val="auto"/>
        </w:rPr>
        <w:t>. If any Lender or L/C Issuer determines that any Change in Law affecting such Lender or L/C Issuer or any Lending Office of such Lender or such Lender’s or L/C Issuer’s holding company, if any, regarding capital requirements has or would have the effect of reducing the rate of return on such Lender’s or L/C Issuer’s capital or on the capital of such Lender’s or L/C Issuer’s holding company, if any, as a consequence of this Agreement, the Commitments of such Lender or the Loans made by, or participations in Letters of Credit held by such Lender, or the Letters of Credit issued by L/C Issuer, or the acceptance by such Lender of any Canadian BA, by an amount deemed in good faith by such Lender or L/C Issuer to be material based on that which such Lender or L/C Issuer or such Lender’s or L/C Issuer’s holding company could have achieved but for such Change in Law (taking into consideration such Lender’s or L/C Issuer’s policies and the policies of such Lender’s or L/C Issuer’s holding company with respect to capital adequacy), then from time to time within five Business Days after written demand therefor, the Company will pay (or cause PMCULC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4" w:right="239" w:bottom="1440" w:gutter="0" w:footer="0" w:header="0"/>
        </w:sectPr>
      </w:pPr>
    </w:p>
    <w:bookmarkStart w:id="110" w:name="page111"/>
    <w:bookmarkEnd w:id="110"/>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 to such Lender or L/C Issuer, as the case may be, such additional amount or amounts as will compensate such Lender or L/C Issuer or such Lender’s or L/C Issuer’s holding company, if any, for any such reduction suffered.</w:t>
      </w:r>
    </w:p>
    <w:p>
      <w:pPr>
        <w:spacing w:after="0" w:line="132" w:lineRule="exact"/>
        <w:rPr>
          <w:sz w:val="20"/>
          <w:szCs w:val="20"/>
          <w:color w:val="auto"/>
        </w:rPr>
      </w:pPr>
    </w:p>
    <w:p>
      <w:pPr>
        <w:ind w:right="60" w:firstLine="464"/>
        <w:spacing w:after="0" w:line="294" w:lineRule="auto"/>
        <w:tabs>
          <w:tab w:leader="none" w:pos="695"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Certificates for Reimbursement</w:t>
      </w:r>
      <w:r>
        <w:rPr>
          <w:rFonts w:ascii="Arial" w:cs="Arial" w:eastAsia="Arial" w:hAnsi="Arial"/>
          <w:sz w:val="16"/>
          <w:szCs w:val="16"/>
          <w:color w:val="auto"/>
        </w:rPr>
        <w:t>. A certificate of a Lender or L/C Issuer setting forth the amount or amounts necessary to compensate such Lender or L/C Issuer or its holding company, as the case may be, as specified in subsection (a) or (b) of this Section and delivered to the Company shall be conclusive absent manifest error. The Company shall pay (or cause PMCULC to pay) such Lender or L/C Issuer, as the case may be, the amount shown as due on any such certificate within 10 days after receipt thereof. Upon request by the Company, a Lender or L/C Issuer, as the case may be, shall also provide a certificate that such Lender or L/C Issuer is generally requesting such compensation from its other borrowers.</w:t>
      </w:r>
    </w:p>
    <w:p>
      <w:pPr>
        <w:spacing w:after="0" w:line="115" w:lineRule="exact"/>
        <w:rPr>
          <w:rFonts w:ascii="Arial" w:cs="Arial" w:eastAsia="Arial" w:hAnsi="Arial"/>
          <w:sz w:val="16"/>
          <w:szCs w:val="16"/>
          <w:color w:val="auto"/>
        </w:rPr>
      </w:pPr>
    </w:p>
    <w:p>
      <w:pPr>
        <w:ind w:right="20" w:firstLine="464"/>
        <w:spacing w:after="0" w:line="291" w:lineRule="auto"/>
        <w:tabs>
          <w:tab w:leader="none" w:pos="705"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Delay in Requests</w:t>
      </w:r>
      <w:r>
        <w:rPr>
          <w:rFonts w:ascii="Arial" w:cs="Arial" w:eastAsia="Arial" w:hAnsi="Arial"/>
          <w:sz w:val="16"/>
          <w:szCs w:val="16"/>
          <w:color w:val="auto"/>
        </w:rPr>
        <w:t xml:space="preserve">. Failure or delay on the part of any Lender or L/C Issuer to demand compensation pursuant to the foregoing provisions of this Section shall not constitute a waiver of such Lender’s or L/C Issuer’s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Borrower shall be required to compensate a Lender or L/C Issuer pursuant to the foregoing provisions of this Section for any increased costs incurred or reductions suffered more than 180 days prior to the date that such Lender or L/C Issuer, as the case may be, notifies the Company of the Change in Law giving rise to such increased costs or reductions and of such Lender’s or L/C Issuer’s intention to claim compensation therefor (except that, if the Change in Law giving rise to such increased costs or reductions is retroactive, then the 180-day period referred to above shall be extended to include the period of retroactive effect thereof).</w:t>
      </w:r>
    </w:p>
    <w:p>
      <w:pPr>
        <w:spacing w:after="0" w:line="120" w:lineRule="exact"/>
        <w:rPr>
          <w:rFonts w:ascii="Arial" w:cs="Arial" w:eastAsia="Arial" w:hAnsi="Arial"/>
          <w:sz w:val="16"/>
          <w:szCs w:val="16"/>
          <w:color w:val="auto"/>
        </w:rPr>
      </w:pPr>
    </w:p>
    <w:p>
      <w:pPr>
        <w:ind w:firstLine="464"/>
        <w:spacing w:after="0" w:line="286" w:lineRule="auto"/>
        <w:tabs>
          <w:tab w:leader="none" w:pos="695"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Reserves on Eurocurrency Rate Loans</w:t>
      </w:r>
      <w:r>
        <w:rPr>
          <w:rFonts w:ascii="Arial" w:cs="Arial" w:eastAsia="Arial" w:hAnsi="Arial"/>
          <w:sz w:val="16"/>
          <w:szCs w:val="16"/>
          <w:color w:val="auto"/>
        </w:rPr>
        <w:t xml:space="preserve">. The Company shall pay (or cause PMCULC to pay) to each Lender, (i) as long as such Lender shall be required to maintain reserves with respect to liabilities or assets consisting of or including Eurocurrency funds or deposits (currently known as “Eurocurrency liabilities”), additional interest on the unpaid principal amount of each Eurocurrency Rate Loan equal to the actual costs of such reserves allocated to such Loan by such Lender (as determined by such Lender in good faith, which determination shall be conclusive absent manifest error), and (ii) as long as such Lender shall be required to comply with any reserve ratio requirement or analogous requirement of any other central banking or financial regulatory authority imposed in respect of the maintenance of the Commitments or the funding of the Eurocurrency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Company shall have received at least 10 days’ prior notice (with a copy to the Administrative Agent) of such additional interest or costs from such Lender. If a Lender fails to give notice 10 days prior to the relevant Interest Payment Date, such additional interest or costs shall be due and payable 10 days from receipt of such notice.</w:t>
      </w:r>
    </w:p>
    <w:p>
      <w:pPr>
        <w:spacing w:after="0" w:line="121" w:lineRule="exact"/>
        <w:rPr>
          <w:sz w:val="20"/>
          <w:szCs w:val="20"/>
          <w:color w:val="auto"/>
        </w:rPr>
      </w:pPr>
    </w:p>
    <w:p>
      <w:pPr>
        <w:ind w:right="260" w:firstLine="456"/>
        <w:spacing w:after="0" w:line="339" w:lineRule="auto"/>
        <w:rPr>
          <w:sz w:val="20"/>
          <w:szCs w:val="20"/>
          <w:color w:val="auto"/>
        </w:rPr>
      </w:pPr>
      <w:r>
        <w:rPr>
          <w:rFonts w:ascii="Arial" w:cs="Arial" w:eastAsia="Arial" w:hAnsi="Arial"/>
          <w:sz w:val="16"/>
          <w:szCs w:val="16"/>
          <w:b w:val="1"/>
          <w:bCs w:val="1"/>
          <w:color w:val="auto"/>
        </w:rPr>
        <w:t xml:space="preserve">3.05 Compensation for Losses. </w:t>
      </w:r>
      <w:r>
        <w:rPr>
          <w:rFonts w:ascii="Arial" w:cs="Arial" w:eastAsia="Arial" w:hAnsi="Arial"/>
          <w:sz w:val="16"/>
          <w:szCs w:val="16"/>
          <w:color w:val="auto"/>
        </w:rPr>
        <w:t>Upon demand of any Lender (with a copy to the Administrative Agent) from time to time, the Company shall promptly</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compensate (or cause PMCULC to compensate) such Lender for and hold such Lender harmless from any loss, cost or expense incurred by it as a result of:</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80" w:right="239" w:bottom="1440" w:gutter="0" w:footer="0" w:header="0"/>
        </w:sectPr>
      </w:pPr>
    </w:p>
    <w:bookmarkStart w:id="111" w:name="page112"/>
    <w:bookmarkEnd w:id="111"/>
    <w:p>
      <w:pPr>
        <w:ind w:right="100" w:firstLine="464"/>
        <w:spacing w:after="0" w:line="332" w:lineRule="auto"/>
        <w:tabs>
          <w:tab w:leader="none" w:pos="695" w:val="left"/>
        </w:tabs>
        <w:numPr>
          <w:ilvl w:val="0"/>
          <w:numId w:val="1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continuation, conversion, payment or prepayment of any Loan other than a Base Rate Loan or a Canadian Prime Rate Loan on a day other than the last day of the Interest Period for such Loan (whether voluntary, mandatory, automatic, by reason of acceleration, or otherwise);</w:t>
      </w:r>
    </w:p>
    <w:p>
      <w:pPr>
        <w:spacing w:after="0" w:line="85" w:lineRule="exact"/>
        <w:rPr>
          <w:rFonts w:ascii="Arial" w:cs="Arial" w:eastAsia="Arial" w:hAnsi="Arial"/>
          <w:sz w:val="16"/>
          <w:szCs w:val="16"/>
          <w:color w:val="auto"/>
        </w:rPr>
      </w:pPr>
    </w:p>
    <w:p>
      <w:pPr>
        <w:ind w:right="160" w:firstLine="464"/>
        <w:spacing w:after="0" w:line="332" w:lineRule="auto"/>
        <w:tabs>
          <w:tab w:leader="none" w:pos="70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any failure by any Borrower (for a reason other than the failure of such Lender to make a Loan) to prepay, borrow, continue or convert any Loan other than a Base Rate Loan or a Canadian Prime Rate Loan on the date or in the amount notified by the Company or PMCULC, as applicable; or</w:t>
      </w:r>
    </w:p>
    <w:p>
      <w:pPr>
        <w:spacing w:after="0" w:line="85" w:lineRule="exact"/>
        <w:rPr>
          <w:rFonts w:ascii="Arial" w:cs="Arial" w:eastAsia="Arial" w:hAnsi="Arial"/>
          <w:sz w:val="16"/>
          <w:szCs w:val="16"/>
          <w:color w:val="auto"/>
        </w:rPr>
      </w:pPr>
    </w:p>
    <w:p>
      <w:pPr>
        <w:ind w:right="320" w:firstLine="464"/>
        <w:spacing w:after="0" w:line="268" w:lineRule="auto"/>
        <w:tabs>
          <w:tab w:leader="none" w:pos="69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failure by any Borrower to make payment of any Loan or drawing under any Letter of Credit (or interest due thereon) denominated in Canadian Dollars on its scheduled due date or any payment thereof in a different currency, or</w:t>
      </w:r>
    </w:p>
    <w:p>
      <w:pPr>
        <w:spacing w:after="0" w:line="131" w:lineRule="exact"/>
        <w:rPr>
          <w:rFonts w:ascii="Arial" w:cs="Arial" w:eastAsia="Arial" w:hAnsi="Arial"/>
          <w:sz w:val="18"/>
          <w:szCs w:val="18"/>
          <w:color w:val="auto"/>
        </w:rPr>
      </w:pPr>
    </w:p>
    <w:p>
      <w:pPr>
        <w:ind w:right="380" w:firstLine="464"/>
        <w:spacing w:after="0" w:line="268" w:lineRule="auto"/>
        <w:tabs>
          <w:tab w:leader="none" w:pos="70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any assignment of a Eurocurrency Rate Loan on a day other than the last day of the Interest Period therefor as a result of a request by the Company pursuant to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32"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excluding any loss of anticipated profits but including any loss (other than loss of anticipated profits) or expense arising from the liquidation or reemployment of funds obtained by it to maintain such Loan or from fees payable to terminate the deposits from which such funds were obtained. The Company shall also pay (or cause PMCULC to pay) any customary administrative fees charged by such Lender in connection with the foregoing.</w:t>
      </w:r>
    </w:p>
    <w:p>
      <w:pPr>
        <w:spacing w:after="0" w:line="10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A certificate of such Lender setting forth the amount of any such loss, cost or expense, including reasonably detailed calculations thereof, shall be delivered to the Company and the Administrative Agent and be conclusive absent manifest error. For purposes of calculating amounts payable by the Company (or the applicable Borrower) to the Lenders under this </w:t>
      </w:r>
      <w:r>
        <w:rPr>
          <w:rFonts w:ascii="Arial" w:cs="Arial" w:eastAsia="Arial" w:hAnsi="Arial"/>
          <w:sz w:val="16"/>
          <w:szCs w:val="16"/>
          <w:u w:val="single" w:color="auto"/>
          <w:color w:val="auto"/>
        </w:rPr>
        <w:t>Section 3.05</w:t>
      </w:r>
      <w:r>
        <w:rPr>
          <w:rFonts w:ascii="Arial" w:cs="Arial" w:eastAsia="Arial" w:hAnsi="Arial"/>
          <w:sz w:val="16"/>
          <w:szCs w:val="16"/>
          <w:color w:val="auto"/>
        </w:rPr>
        <w:t>, each Lender shall be deemed to have funded each Eurocurrency Rate Committed Loan made by it at the Eurocurrency Rate for such Loan by a matching deposit or other borrowing in the offshore interbank eurocurrency market for such currency for a comparable amount and for a comparable period, whether or not such Eurocurrency Rate Committed Loan was in fact so funded.</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3.06 Mitigation Obligations; Replacement of Lenders.</w:t>
      </w:r>
    </w:p>
    <w:p>
      <w:pPr>
        <w:spacing w:after="0" w:line="96" w:lineRule="exact"/>
        <w:rPr>
          <w:sz w:val="20"/>
          <w:szCs w:val="20"/>
          <w:color w:val="auto"/>
        </w:rPr>
      </w:pPr>
    </w:p>
    <w:p>
      <w:pPr>
        <w:ind w:firstLine="464"/>
        <w:spacing w:after="0" w:line="288" w:lineRule="auto"/>
        <w:tabs>
          <w:tab w:leader="none" w:pos="695"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or any Borrower is required to pay any additional amount to any Lender, the L/C Issuer, or any Governmental Authority for the account of any Lender or the L/C Issuer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if any Lender gives a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then such Lender or the L/C Issuer shall, as applicable, use reasonable efforts to designate a different Lending Office for funding or booking its Loans or accepting Canadian BA’s hereunder or to assign its rights and obligations hereunder to another of its offices, branches or affiliates, if, in the judgment of such Lender or the L/C Issuer, such designation or assignment (i) would eliminate or reduce amounts payable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as the case may be, in the future, or eliminate the need for the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as applicable, and (ii) in each case, would not subject such Lender or the L/C Issuer, as the case may be, to any unreimbursed cost or expense and would not otherwise be disadvantageous to such Lender or the L/C Issuer, as the case may be. The Company hereby agrees to pay (or to cause PMCULC to pay) all reasonable costs and expenses incurred by any Lender or the L/C Issuer in connection with any such designation or assignment.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80" w:right="239" w:bottom="1440" w:gutter="0" w:footer="0" w:header="0"/>
        </w:sectPr>
      </w:pPr>
    </w:p>
    <w:bookmarkStart w:id="112" w:name="page113"/>
    <w:bookmarkEnd w:id="112"/>
    <w:p>
      <w:pPr>
        <w:ind w:left="720" w:hanging="256"/>
        <w:spacing w:after="0"/>
        <w:tabs>
          <w:tab w:leader="none" w:pos="720" w:val="left"/>
        </w:tabs>
        <w:numPr>
          <w:ilvl w:val="1"/>
          <w:numId w:val="10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Replacement of Lenders</w:t>
      </w:r>
      <w:r>
        <w:rPr>
          <w:rFonts w:ascii="Arial" w:cs="Arial" w:eastAsia="Arial" w:hAnsi="Arial"/>
          <w:sz w:val="16"/>
          <w:szCs w:val="16"/>
          <w:color w:val="auto"/>
        </w:rPr>
        <w:t xml:space="preserve">. If (i) any Lender requests compensation under </w:t>
      </w:r>
      <w:r>
        <w:rPr>
          <w:rFonts w:ascii="Arial" w:cs="Arial" w:eastAsia="Arial" w:hAnsi="Arial"/>
          <w:sz w:val="16"/>
          <w:szCs w:val="16"/>
          <w:u w:val="single" w:color="auto"/>
          <w:color w:val="auto"/>
        </w:rPr>
        <w:t>Section 3.04</w:t>
      </w:r>
      <w:r>
        <w:rPr>
          <w:rFonts w:ascii="Arial" w:cs="Arial" w:eastAsia="Arial" w:hAnsi="Arial"/>
          <w:sz w:val="16"/>
          <w:szCs w:val="16"/>
          <w:color w:val="auto"/>
        </w:rPr>
        <w:t>, or gives a notice pursuant to Section 3.02 and does not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subsequently designate a different Lending Office or assign its rights and obligations hereunder to another of its offices, branches or affiliates as provided above,</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any Borrower is required to pay any additional amount to any Lender or any Governmental Authority for the account of any Lender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w:t>
      </w:r>
    </w:p>
    <w:p>
      <w:pPr>
        <w:spacing w:after="0" w:line="32" w:lineRule="exact"/>
        <w:rPr>
          <w:rFonts w:ascii="Arial" w:cs="Arial" w:eastAsia="Arial" w:hAnsi="Arial"/>
          <w:sz w:val="16"/>
          <w:szCs w:val="16"/>
          <w:color w:val="auto"/>
        </w:rPr>
      </w:pPr>
    </w:p>
    <w:p>
      <w:pPr>
        <w:jc w:val="both"/>
        <w:ind w:right="240" w:firstLine="8"/>
        <w:spacing w:after="0" w:line="292" w:lineRule="auto"/>
        <w:tabs>
          <w:tab w:leader="none" w:pos="30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any Lender becomes a Defaulting Lender, (iv) other than as set forth in the immediately succeeding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any Lender fails to consent to an election, consent, amendment, waiver or other modification to this Agreement or any other Loan Document that requires the consent of (A) the Required Lenders, and such election, consent, amendment, waiver or other modification is otherwise consented to by the Required Lenders, or (B) all Lenders (or all Lenders directly affected thereby), and such election, consent, amendment, waiver or other modification is otherwise consented to by Supermajority Lenders or (v) any Lender becomes a Non-Extending Lender, then in each case, the Company may replace such Lender in accordance with </w:t>
      </w:r>
      <w:r>
        <w:rPr>
          <w:rFonts w:ascii="Arial" w:cs="Arial" w:eastAsia="Arial" w:hAnsi="Arial"/>
          <w:sz w:val="16"/>
          <w:szCs w:val="16"/>
          <w:u w:val="single" w:color="auto"/>
          <w:color w:val="auto"/>
        </w:rPr>
        <w:t>Section 11.13</w:t>
      </w:r>
      <w:r>
        <w:rPr>
          <w:rFonts w:ascii="Arial" w:cs="Arial" w:eastAsia="Arial" w:hAnsi="Arial"/>
          <w:sz w:val="16"/>
          <w:szCs w:val="16"/>
          <w:color w:val="auto"/>
        </w:rPr>
        <w:t>.</w:t>
      </w:r>
    </w:p>
    <w:p>
      <w:pPr>
        <w:spacing w:after="0" w:line="111"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 xml:space="preserve">3.07 Survival. </w:t>
      </w:r>
      <w:r>
        <w:rPr>
          <w:rFonts w:ascii="Arial" w:cs="Arial" w:eastAsia="Arial" w:hAnsi="Arial"/>
          <w:sz w:val="18"/>
          <w:szCs w:val="18"/>
          <w:color w:val="auto"/>
        </w:rPr>
        <w:t>All of the Borrower’s obligations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termination of the Aggregate Commitments, repayment of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hereunder, and resignation of the Administrative Agent.</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 CONDITIONS PRECEDENT TO CREDIT EXTENSIONS</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4.01 Conditions Precedent to Initial Credit Extension. </w:t>
      </w:r>
      <w:r>
        <w:rPr>
          <w:rFonts w:ascii="Arial" w:cs="Arial" w:eastAsia="Arial" w:hAnsi="Arial"/>
          <w:sz w:val="18"/>
          <w:szCs w:val="18"/>
          <w:color w:val="auto"/>
        </w:rPr>
        <w:t>The obligation of the L/C Issuer and each Lender to make its initial Credit Extension hereunder 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satisfaction of the following conditions precedent:</w:t>
      </w:r>
    </w:p>
    <w:p>
      <w:pPr>
        <w:spacing w:after="0" w:line="45" w:lineRule="exact"/>
        <w:rPr>
          <w:sz w:val="20"/>
          <w:szCs w:val="20"/>
          <w:color w:val="auto"/>
        </w:rPr>
      </w:pPr>
    </w:p>
    <w:p>
      <w:pPr>
        <w:ind w:right="60" w:firstLine="464"/>
        <w:spacing w:after="0" w:line="256" w:lineRule="auto"/>
        <w:tabs>
          <w:tab w:leader="none" w:pos="69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Administrative Agent’s receipt of the following, each of which shall be originals, telecopies or other electronic copies (followed promptly by originals) unless otherwise specified, each properly executed by a Responsible Officer of the Company, if applicable, each dated the Closing Date (or, in the case of certificates of governmental officials, a recent date before the Closing Date) and each in form and substance reasonably satisfactory to the Administrative Agent:</w:t>
      </w:r>
    </w:p>
    <w:p>
      <w:pPr>
        <w:spacing w:after="0" w:line="62" w:lineRule="exact"/>
        <w:rPr>
          <w:rFonts w:ascii="Arial" w:cs="Arial" w:eastAsia="Arial" w:hAnsi="Arial"/>
          <w:sz w:val="18"/>
          <w:szCs w:val="18"/>
          <w:color w:val="auto"/>
        </w:rPr>
      </w:pPr>
    </w:p>
    <w:p>
      <w:pPr>
        <w:ind w:left="1120" w:hanging="217"/>
        <w:spacing w:after="0"/>
        <w:tabs>
          <w:tab w:leader="none" w:pos="112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executed counterparts of this Agreement, sufficient in number for distribution to the Administrative Agent, each Lender and the Company;</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if so requested within three Business Days of the Closing Date, a Note executed by the Company in favor of each requesting Lender;</w:t>
      </w:r>
    </w:p>
    <w:p>
      <w:pPr>
        <w:spacing w:after="0" w:line="113" w:lineRule="exact"/>
        <w:rPr>
          <w:rFonts w:ascii="Arial" w:cs="Arial" w:eastAsia="Arial" w:hAnsi="Arial"/>
          <w:sz w:val="16"/>
          <w:szCs w:val="16"/>
          <w:color w:val="auto"/>
        </w:rPr>
      </w:pPr>
    </w:p>
    <w:p>
      <w:pPr>
        <w:ind w:left="460" w:right="320" w:firstLine="443"/>
        <w:spacing w:after="0" w:line="256" w:lineRule="auto"/>
        <w:tabs>
          <w:tab w:leader="none" w:pos="1205"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 security agreement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duly executed by the Company, covering Financed Hedged Eligible Inventory, and related Swap Contracts, Petroleum Product sales contracts and Receivables therefrom and proceeds thereof as from time to time specified by the Company, together with financing statements that the Administrative Agent, in its reasonable opinion, may deem necessary to perfect the Liens created under the Security Agreement, covering the Collateral described in the Security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280" w:right="279" w:bottom="1440" w:gutter="0" w:footer="0" w:header="0"/>
        </w:sectPr>
      </w:pPr>
    </w:p>
    <w:bookmarkStart w:id="113" w:name="page114"/>
    <w:bookmarkEnd w:id="113"/>
    <w:p>
      <w:pPr>
        <w:ind w:left="440" w:right="6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recent financing statement searches in the State of Texas that name the Company as debtor, and such other Collateral Documents as the Administrative Agent, in its reasonable opinion, may deem necessary to perfect the Liens created thereby;</w:t>
      </w:r>
    </w:p>
    <w:p>
      <w:pPr>
        <w:spacing w:after="0" w:line="4" w:lineRule="exact"/>
        <w:rPr>
          <w:sz w:val="20"/>
          <w:szCs w:val="20"/>
          <w:color w:val="auto"/>
        </w:rPr>
      </w:pPr>
    </w:p>
    <w:p>
      <w:pPr>
        <w:ind w:left="440" w:firstLine="443"/>
        <w:spacing w:after="0" w:line="306" w:lineRule="auto"/>
        <w:tabs>
          <w:tab w:leader="none" w:pos="1176" w:val="left"/>
        </w:tabs>
        <w:numPr>
          <w:ilvl w:val="1"/>
          <w:numId w:val="111"/>
        </w:numPr>
        <w:rPr>
          <w:rFonts w:ascii="Arial" w:cs="Arial" w:eastAsia="Arial" w:hAnsi="Arial"/>
          <w:sz w:val="16"/>
          <w:szCs w:val="16"/>
          <w:color w:val="auto"/>
        </w:rPr>
      </w:pPr>
      <w:r>
        <w:rPr>
          <w:rFonts w:ascii="Arial" w:cs="Arial" w:eastAsia="Arial" w:hAnsi="Arial"/>
          <w:sz w:val="16"/>
          <w:szCs w:val="16"/>
          <w:color w:val="auto"/>
        </w:rPr>
        <w:t>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w:t>
      </w:r>
    </w:p>
    <w:p>
      <w:pPr>
        <w:spacing w:after="0" w:line="25" w:lineRule="exact"/>
        <w:rPr>
          <w:rFonts w:ascii="Arial" w:cs="Arial" w:eastAsia="Arial" w:hAnsi="Arial"/>
          <w:sz w:val="16"/>
          <w:szCs w:val="16"/>
          <w:color w:val="auto"/>
        </w:rPr>
      </w:pPr>
    </w:p>
    <w:p>
      <w:pPr>
        <w:ind w:left="440" w:right="220" w:firstLine="443"/>
        <w:spacing w:after="0" w:line="259" w:lineRule="auto"/>
        <w:tabs>
          <w:tab w:leader="none" w:pos="112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such documents and certifications as the Administrative Agent may reasonably require to evidence that each Loan Party and General Partner is duly organized or formed, and that the Company is validly existing and in good standing in its jurisdiction of organization, issued by the appropriate authorities of such jurisdiction;</w:t>
      </w:r>
    </w:p>
    <w:p>
      <w:pPr>
        <w:spacing w:after="0" w:line="59" w:lineRule="exact"/>
        <w:rPr>
          <w:rFonts w:ascii="Arial" w:cs="Arial" w:eastAsia="Arial" w:hAnsi="Arial"/>
          <w:sz w:val="18"/>
          <w:szCs w:val="18"/>
          <w:color w:val="auto"/>
        </w:rPr>
      </w:pPr>
    </w:p>
    <w:p>
      <w:pPr>
        <w:ind w:left="440" w:right="260" w:firstLine="443"/>
        <w:spacing w:after="0" w:line="268" w:lineRule="auto"/>
        <w:tabs>
          <w:tab w:leader="none" w:pos="1176" w:val="left"/>
        </w:tabs>
        <w:numPr>
          <w:ilvl w:val="1"/>
          <w:numId w:val="111"/>
        </w:numPr>
        <w:rPr>
          <w:rFonts w:ascii="Arial" w:cs="Arial" w:eastAsia="Arial" w:hAnsi="Arial"/>
          <w:sz w:val="18"/>
          <w:szCs w:val="18"/>
          <w:color w:val="auto"/>
        </w:rPr>
      </w:pPr>
      <w:r>
        <w:rPr>
          <w:rFonts w:ascii="Arial" w:cs="Arial" w:eastAsia="Arial" w:hAnsi="Arial"/>
          <w:sz w:val="18"/>
          <w:szCs w:val="18"/>
          <w:color w:val="auto"/>
        </w:rPr>
        <w:t>favorable opinions of Tim Moore, Esq., General Counsel for the Company and PAA, and Fulbright &amp; Jaworski L.L.P., special Texas and New York counsel to the Company and PAA, addressed to the Administrative Agent and each Lender;</w:t>
      </w:r>
    </w:p>
    <w:p>
      <w:pPr>
        <w:spacing w:after="0" w:line="50" w:lineRule="exact"/>
        <w:rPr>
          <w:rFonts w:ascii="Arial" w:cs="Arial" w:eastAsia="Arial" w:hAnsi="Arial"/>
          <w:sz w:val="18"/>
          <w:szCs w:val="18"/>
          <w:color w:val="auto"/>
        </w:rPr>
      </w:pPr>
    </w:p>
    <w:p>
      <w:pPr>
        <w:ind w:left="1220" w:hanging="337"/>
        <w:spacing w:after="0"/>
        <w:tabs>
          <w:tab w:leader="none" w:pos="12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Audited Financial Statements and the Initial Pro Forma Forecasts;</w:t>
      </w:r>
    </w:p>
    <w:p>
      <w:pPr>
        <w:spacing w:after="0" w:line="90" w:lineRule="exact"/>
        <w:rPr>
          <w:rFonts w:ascii="Arial" w:cs="Arial" w:eastAsia="Arial" w:hAnsi="Arial"/>
          <w:sz w:val="18"/>
          <w:szCs w:val="18"/>
          <w:color w:val="auto"/>
        </w:rPr>
      </w:pPr>
    </w:p>
    <w:p>
      <w:pPr>
        <w:ind w:left="440" w:right="120" w:firstLine="443"/>
        <w:spacing w:after="0" w:line="255" w:lineRule="auto"/>
        <w:tabs>
          <w:tab w:leader="none" w:pos="1273" w:val="left"/>
        </w:tabs>
        <w:numPr>
          <w:ilvl w:val="1"/>
          <w:numId w:val="111"/>
        </w:numPr>
        <w:rPr>
          <w:rFonts w:ascii="Arial" w:cs="Arial" w:eastAsia="Arial" w:hAnsi="Arial"/>
          <w:sz w:val="18"/>
          <w:szCs w:val="18"/>
          <w:color w:val="auto"/>
        </w:rPr>
      </w:pPr>
      <w:r>
        <w:rPr>
          <w:rFonts w:ascii="Arial" w:cs="Arial" w:eastAsia="Arial" w:hAnsi="Arial"/>
          <w:sz w:val="18"/>
          <w:szCs w:val="18"/>
          <w:color w:val="auto"/>
        </w:rPr>
        <w:t xml:space="preserve">a certificate signed by a Responsible Officer of the Company certifying (A) that the conditions specified in </w:t>
      </w:r>
      <w:r>
        <w:rPr>
          <w:rFonts w:ascii="Arial" w:cs="Arial" w:eastAsia="Arial" w:hAnsi="Arial"/>
          <w:sz w:val="18"/>
          <w:szCs w:val="18"/>
          <w:u w:val="single" w:color="auto"/>
          <w:color w:val="auto"/>
        </w:rPr>
        <w:t>Section 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(B) the Initial Pro Forma Forecasts were prepared in good faith upon assumptions deemed reasonable by the Company at the time made, (C) that there has been no event or circumstance since the date of the most recent Audited Financial Statements that has had or could be reasonably expected to have, either individually or in the aggregate, a Material Adverse Effect, (D) the current PAA Debt Ratings, and (E) the Borrower’s true and correct U.S. taxpayer identification number; and</w:t>
      </w:r>
    </w:p>
    <w:p>
      <w:pPr>
        <w:spacing w:after="0" w:line="61" w:lineRule="exact"/>
        <w:rPr>
          <w:rFonts w:ascii="Arial" w:cs="Arial" w:eastAsia="Arial" w:hAnsi="Arial"/>
          <w:sz w:val="18"/>
          <w:szCs w:val="18"/>
          <w:color w:val="auto"/>
        </w:rPr>
      </w:pPr>
    </w:p>
    <w:p>
      <w:pPr>
        <w:ind w:left="1180" w:hanging="297"/>
        <w:spacing w:after="0"/>
        <w:tabs>
          <w:tab w:leader="none" w:pos="11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such other assurances, certificates, documents, consents or opinions as the Administrative Agent may reasonably require.</w:t>
      </w:r>
    </w:p>
    <w:p>
      <w:pPr>
        <w:spacing w:after="0" w:line="90" w:lineRule="exact"/>
        <w:rPr>
          <w:rFonts w:ascii="Arial" w:cs="Arial" w:eastAsia="Arial" w:hAnsi="Arial"/>
          <w:sz w:val="18"/>
          <w:szCs w:val="18"/>
          <w:color w:val="auto"/>
        </w:rPr>
      </w:pPr>
    </w:p>
    <w:p>
      <w:pPr>
        <w:ind w:left="-20" w:right="220" w:firstLine="464"/>
        <w:spacing w:after="0" w:line="332" w:lineRule="auto"/>
        <w:tabs>
          <w:tab w:leader="none" w:pos="68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All consents, licenses and approvals required in connection with the execution, delivery and performance by each Loan Party and the validity against each Loan Party of the Loan Documents to which it is a party shall have been obtained and shall be in full force and effect.</w:t>
      </w:r>
    </w:p>
    <w:p>
      <w:pPr>
        <w:spacing w:after="0" w:line="4" w:lineRule="exact"/>
        <w:rPr>
          <w:rFonts w:ascii="Arial" w:cs="Arial" w:eastAsia="Arial" w:hAnsi="Arial"/>
          <w:sz w:val="16"/>
          <w:szCs w:val="16"/>
          <w:color w:val="auto"/>
        </w:rPr>
      </w:pPr>
    </w:p>
    <w:p>
      <w:pPr>
        <w:ind w:left="-20" w:right="140" w:firstLine="464"/>
        <w:spacing w:after="0" w:line="294" w:lineRule="auto"/>
        <w:tabs>
          <w:tab w:leader="none" w:pos="67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There shall not have occurred during the period from the date of the most recent Audited Financial Statements through and including the Closing Date any event or condition that has had or could reasonably be expected, either individually or in the aggregate, to have a Material Adverse Effect, and there shall be no actions, suits, investigations, proceedings, claims or disputes pending or, to the knowledge of the Company, threatened in writing, at law, in equity, in arbitration or before any Governmental Authority, by or against the Company or any of its Subsidiaries or against any of their properties or revenues that either individually or in the aggregate, could reasonably be expected to have a Material Adverse Effect.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60" w:top="280" w:right="239" w:bottom="1440" w:gutter="0" w:footer="0" w:header="0"/>
        </w:sectPr>
      </w:pPr>
    </w:p>
    <w:bookmarkStart w:id="114" w:name="page115"/>
    <w:bookmarkEnd w:id="114"/>
    <w:p>
      <w:pPr>
        <w:ind w:right="140" w:firstLine="464"/>
        <w:spacing w:after="0" w:line="268" w:lineRule="auto"/>
        <w:tabs>
          <w:tab w:leader="none" w:pos="705" w:val="left"/>
        </w:tabs>
        <w:numPr>
          <w:ilvl w:val="0"/>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fees, including any arrangement fees, agency fees and upfront fees, and any expenses of the Arrangers and Administrative Agent, in each case, as agreed in writing by the Company, required to be paid on or before the Closing Date shall have been paid.</w:t>
      </w:r>
    </w:p>
    <w:p>
      <w:pPr>
        <w:spacing w:after="0" w:line="50" w:lineRule="exact"/>
        <w:rPr>
          <w:rFonts w:ascii="Arial" w:cs="Arial" w:eastAsia="Arial" w:hAnsi="Arial"/>
          <w:sz w:val="18"/>
          <w:szCs w:val="18"/>
          <w:color w:val="auto"/>
        </w:rPr>
      </w:pPr>
    </w:p>
    <w:p>
      <w:pPr>
        <w:ind w:right="220" w:firstLine="464"/>
        <w:spacing w:after="0" w:line="268" w:lineRule="auto"/>
        <w:tabs>
          <w:tab w:leader="none" w:pos="69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Company shall have paid all reasonable fees, charges and disbursements of counsel to the Administrative Agent to the extent invoiced prior to or on the Closing Date.</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Without limiting the generality of the provisions of the last paragraph of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for purposes of determining compliance with the conditions specified in this </w:t>
      </w:r>
      <w:r>
        <w:rPr>
          <w:rFonts w:ascii="Arial" w:cs="Arial" w:eastAsia="Arial" w:hAnsi="Arial"/>
          <w:sz w:val="16"/>
          <w:szCs w:val="16"/>
          <w:u w:val="single" w:color="auto"/>
          <w:color w:val="auto"/>
        </w:rPr>
        <w:t>Section 4.01</w:t>
      </w:r>
      <w:r>
        <w:rPr>
          <w:rFonts w:ascii="Arial" w:cs="Arial" w:eastAsia="Arial" w:hAnsi="Arial"/>
          <w:sz w:val="16"/>
          <w:szCs w:val="16"/>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 and the Administrative Agent hereby agrees to promptly provide the Company with a copy of any such notice received by the Administrative Agent.</w:t>
      </w:r>
    </w:p>
    <w:p>
      <w:pPr>
        <w:spacing w:after="0" w:line="110"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 xml:space="preserve">4.02 Conditions to all Credit Extensions. </w:t>
      </w:r>
      <w:r>
        <w:rPr>
          <w:rFonts w:ascii="Arial" w:cs="Arial" w:eastAsia="Arial" w:hAnsi="Arial"/>
          <w:sz w:val="18"/>
          <w:szCs w:val="18"/>
          <w:color w:val="auto"/>
        </w:rPr>
        <w:t>The obligation of each Lender to honor any Request for Credit Extension (other than a Committed Loan Notice</w:t>
      </w:r>
      <w:r>
        <w:rPr>
          <w:rFonts w:ascii="Arial" w:cs="Arial" w:eastAsia="Arial" w:hAnsi="Arial"/>
          <w:sz w:val="18"/>
          <w:szCs w:val="18"/>
          <w:b w:val="1"/>
          <w:bCs w:val="1"/>
          <w:color w:val="auto"/>
        </w:rPr>
        <w:t xml:space="preserve"> </w:t>
      </w:r>
      <w:r>
        <w:rPr>
          <w:rFonts w:ascii="Arial" w:cs="Arial" w:eastAsia="Arial" w:hAnsi="Arial"/>
          <w:sz w:val="18"/>
          <w:szCs w:val="18"/>
          <w:color w:val="auto"/>
        </w:rPr>
        <w:t>requesting only a conversion of Committed Loans to the other Type, or a continuation of Eurocurrency Rate Committed Loans) is subject to the following conditions precedent:</w:t>
      </w:r>
    </w:p>
    <w:p>
      <w:pPr>
        <w:spacing w:after="0" w:line="57" w:lineRule="exact"/>
        <w:rPr>
          <w:sz w:val="20"/>
          <w:szCs w:val="20"/>
          <w:color w:val="auto"/>
        </w:rPr>
      </w:pPr>
    </w:p>
    <w:p>
      <w:pPr>
        <w:ind w:right="100" w:firstLine="464"/>
        <w:spacing w:after="0" w:line="294" w:lineRule="auto"/>
        <w:tabs>
          <w:tab w:leader="none" w:pos="69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(i) the Company (and PMCULC, solely as to itself)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(ii) each Loan Party in any other Loan Document shall be true and correct in all material respects on and as of the date of such Credit Extension, except to the extent that such representations and warranties specifically refer to an earlier date, in which case they shall be true and correct in all material respects as of such earlier date, and except that for purposes of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the representations and warranties contained in subsections (a) and (b) of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shall be deemed to refer to the most recent statements furnished pursuant to clauses (a) and (b),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w:t>
      </w:r>
    </w:p>
    <w:p>
      <w:pPr>
        <w:spacing w:after="0" w:line="34" w:lineRule="exact"/>
        <w:rPr>
          <w:rFonts w:ascii="Arial" w:cs="Arial" w:eastAsia="Arial" w:hAnsi="Arial"/>
          <w:sz w:val="16"/>
          <w:szCs w:val="16"/>
          <w:color w:val="auto"/>
        </w:rPr>
      </w:pPr>
    </w:p>
    <w:p>
      <w:pPr>
        <w:ind w:right="360" w:firstLine="464"/>
        <w:spacing w:after="0" w:line="268" w:lineRule="auto"/>
        <w:tabs>
          <w:tab w:leader="none" w:pos="70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or would immediately result from such proposed Credit Extension or from the application of the proceeds thereof.</w:t>
      </w:r>
    </w:p>
    <w:p>
      <w:pPr>
        <w:spacing w:after="0" w:line="50" w:lineRule="exact"/>
        <w:rPr>
          <w:rFonts w:ascii="Arial" w:cs="Arial" w:eastAsia="Arial" w:hAnsi="Arial"/>
          <w:sz w:val="18"/>
          <w:szCs w:val="18"/>
          <w:color w:val="auto"/>
        </w:rPr>
      </w:pPr>
    </w:p>
    <w:p>
      <w:pPr>
        <w:ind w:right="80" w:firstLine="464"/>
        <w:spacing w:after="0" w:line="268" w:lineRule="auto"/>
        <w:tabs>
          <w:tab w:leader="none" w:pos="69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Administrative Agent and, if applicable, the L/C Issuer or the Swing Line Lender shall have received a Request for Credit Extension in accordance with the requirements hereof.</w:t>
      </w:r>
    </w:p>
    <w:p>
      <w:pPr>
        <w:spacing w:after="0" w:line="50" w:lineRule="exact"/>
        <w:rPr>
          <w:rFonts w:ascii="Arial" w:cs="Arial" w:eastAsia="Arial" w:hAnsi="Arial"/>
          <w:sz w:val="18"/>
          <w:szCs w:val="18"/>
          <w:color w:val="auto"/>
        </w:rPr>
      </w:pPr>
    </w:p>
    <w:p>
      <w:pPr>
        <w:ind w:right="140" w:firstLine="464"/>
        <w:spacing w:after="0" w:line="332" w:lineRule="auto"/>
        <w:tabs>
          <w:tab w:leader="none" w:pos="70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Each Borrower shall represent and warrant in such Request for Credit Extension that the Outstanding Amount of all Loans, all L/C Obligations and all Canadian BA’s of such Borrower does not exceed such Borrower’s Collateral Value at such time, immediately after giving effect to such Credit Extension.</w:t>
      </w:r>
    </w:p>
    <w:p>
      <w:pPr>
        <w:spacing w:after="0" w:line="4" w:lineRule="exact"/>
        <w:rPr>
          <w:rFonts w:ascii="Arial" w:cs="Arial" w:eastAsia="Arial" w:hAnsi="Arial"/>
          <w:sz w:val="16"/>
          <w:szCs w:val="16"/>
          <w:color w:val="auto"/>
        </w:rPr>
      </w:pPr>
    </w:p>
    <w:p>
      <w:pPr>
        <w:ind w:right="80" w:firstLine="464"/>
        <w:spacing w:after="0" w:line="298" w:lineRule="auto"/>
        <w:tabs>
          <w:tab w:leader="none" w:pos="69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 the case of a Credit Extension to be denominated in Canadian Dollars, there shall not have occurred, and the effect thereof be then continuing, any change in national or international financial, political or economic conditions or currency exchange rates or exchange controls which in the reasonable opinion of the Required Lenders (in the case of any Loans denominated in Canadian Dollars) or the L/C Issuer (in the case of any Letters of Credit to be denominated in Canadian Dollars) would make it impracticable for such Credit Extension to be denominated in Canadian Dollars.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80" w:right="239" w:bottom="1440" w:gutter="0" w:footer="0" w:header="0"/>
        </w:sectPr>
      </w:pPr>
    </w:p>
    <w:bookmarkStart w:id="115" w:name="page116"/>
    <w:bookmarkEnd w:id="115"/>
    <w:p>
      <w:pPr>
        <w:ind w:left="35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 REPRESENTATIONS AND WARRANTIES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(and PMCULC, solely as to itself) represents and warrants to the Administrative Agent and the Lenders that:</w:t>
      </w:r>
    </w:p>
    <w:p>
      <w:pPr>
        <w:spacing w:after="0" w:line="16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 xml:space="preserve">5.01 Existence, Qualification and Power. </w:t>
      </w:r>
      <w:r>
        <w:rPr>
          <w:rFonts w:ascii="Arial" w:cs="Arial" w:eastAsia="Arial" w:hAnsi="Arial"/>
          <w:sz w:val="18"/>
          <w:szCs w:val="18"/>
          <w:color w:val="auto"/>
        </w:rPr>
        <w:t>Each Loan Party (a) is duly organized or formed, validly existing and, as applicable, in good standing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jurisdiction of its incorporation or organization, (b) has all requisite corporate or equivalent power and authority to (i) own or lease its assets and carry on its business and (ii) execute, deliver and perform its obligations under the Loan Documents to which it is a party, and (c) is duly qualified and, as applicable, in good standing under the Laws of each jurisdiction where its ownership, lease or operation of properties or the conduct of its business requires such qualification, except in each case referred to in clause (b)(i) or (c), to the extent that failure to do so could not reasonably be expected to have a Material Adverse Effect.</w:t>
      </w:r>
    </w:p>
    <w:p>
      <w:pPr>
        <w:spacing w:after="0" w:line="139"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b w:val="1"/>
          <w:bCs w:val="1"/>
          <w:color w:val="auto"/>
        </w:rPr>
        <w:t xml:space="preserve">5.02 Authorization; No Contravention. </w:t>
      </w:r>
      <w:r>
        <w:rPr>
          <w:rFonts w:ascii="Arial" w:cs="Arial" w:eastAsia="Arial" w:hAnsi="Arial"/>
          <w:sz w:val="16"/>
          <w:szCs w:val="16"/>
          <w:color w:val="auto"/>
        </w:rPr>
        <w:t>The execution, delivery and performance by each Loan Party of each Loan Document to which such Person is</w:t>
      </w:r>
      <w:r>
        <w:rPr>
          <w:rFonts w:ascii="Arial" w:cs="Arial" w:eastAsia="Arial" w:hAnsi="Arial"/>
          <w:sz w:val="16"/>
          <w:szCs w:val="16"/>
          <w:b w:val="1"/>
          <w:bCs w:val="1"/>
          <w:color w:val="auto"/>
        </w:rPr>
        <w:t xml:space="preserve"> </w:t>
      </w:r>
      <w:r>
        <w:rPr>
          <w:rFonts w:ascii="Arial" w:cs="Arial" w:eastAsia="Arial" w:hAnsi="Arial"/>
          <w:sz w:val="16"/>
          <w:szCs w:val="16"/>
          <w:color w:val="auto"/>
        </w:rPr>
        <w:t>party have been duly authorized by all necessary corporate or other organizational action, and do not and will not (a) violate (i) the terms of such Person’s Organization Documents, (ii) any order, injunction, writ or decree of any Governmental Authority or any arbitral award to which such Person or its property is subject, or (iii) any provision of Law applicable to it, (b) result in the acceleration of any Indebtedness owed by it, (c) result in any breach of, or a default under, any material Contractual Obligation to which such Person is a party or to which its properties are bound or (d) result in the creation of any consensual Lien upon any of its material assets except as expressly contemplated in, or permitted by, the Loan Documents.</w:t>
      </w:r>
    </w:p>
    <w:p>
      <w:pPr>
        <w:spacing w:after="0" w:line="111" w:lineRule="exact"/>
        <w:rPr>
          <w:sz w:val="20"/>
          <w:szCs w:val="20"/>
          <w:color w:val="auto"/>
        </w:rPr>
      </w:pPr>
    </w:p>
    <w:p>
      <w:pPr>
        <w:ind w:right="120" w:firstLine="456"/>
        <w:spacing w:after="0" w:line="285" w:lineRule="auto"/>
        <w:rPr>
          <w:sz w:val="20"/>
          <w:szCs w:val="20"/>
          <w:color w:val="auto"/>
        </w:rPr>
      </w:pPr>
      <w:r>
        <w:rPr>
          <w:rFonts w:ascii="Arial" w:cs="Arial" w:eastAsia="Arial" w:hAnsi="Arial"/>
          <w:sz w:val="16"/>
          <w:szCs w:val="16"/>
          <w:b w:val="1"/>
          <w:bCs w:val="1"/>
          <w:color w:val="auto"/>
        </w:rPr>
        <w:t xml:space="preserve">5.03 Governmental Authorization; Other Consents. </w:t>
      </w:r>
      <w:r>
        <w:rPr>
          <w:rFonts w:ascii="Arial" w:cs="Arial" w:eastAsia="Arial" w:hAnsi="Arial"/>
          <w:sz w:val="16"/>
          <w:szCs w:val="16"/>
          <w:color w:val="auto"/>
        </w:rPr>
        <w:t>Except as expressly contemplated in or permitted by the Loan Documents, disclosed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5.03</w:t>
      </w:r>
      <w:r>
        <w:rPr>
          <w:rFonts w:ascii="Arial" w:cs="Arial" w:eastAsia="Arial" w:hAnsi="Arial"/>
          <w:sz w:val="16"/>
          <w:szCs w:val="16"/>
          <w:color w:val="auto"/>
        </w:rPr>
        <w:t xml:space="preserve"> or disclosed pursuant to </w:t>
      </w:r>
      <w:r>
        <w:rPr>
          <w:rFonts w:ascii="Arial" w:cs="Arial" w:eastAsia="Arial" w:hAnsi="Arial"/>
          <w:sz w:val="16"/>
          <w:szCs w:val="16"/>
          <w:u w:val="single" w:color="auto"/>
          <w:color w:val="auto"/>
        </w:rPr>
        <w:t>Section 6.03</w:t>
      </w:r>
      <w:r>
        <w:rPr>
          <w:rFonts w:ascii="Arial" w:cs="Arial" w:eastAsia="Arial" w:hAnsi="Arial"/>
          <w:sz w:val="16"/>
          <w:szCs w:val="16"/>
          <w:color w:val="auto"/>
        </w:rPr>
        <w:t>, no approval, consent, exemption or authorization of, or other action by, or notice to, or filing with, any Governmental Authority or any other Person is required to be made or obtained by any Borrower or, with respect only to clause (a), PAA, pursuant to the provisions of any material Law applicable to it as a condition to (a) its execution, delivery or performance of this Agreement or any other Loan Document to which it is a party,</w:t>
      </w:r>
    </w:p>
    <w:p>
      <w:pPr>
        <w:spacing w:after="0" w:line="3" w:lineRule="exact"/>
        <w:rPr>
          <w:sz w:val="20"/>
          <w:szCs w:val="20"/>
          <w:color w:val="auto"/>
        </w:rPr>
      </w:pPr>
    </w:p>
    <w:p>
      <w:pPr>
        <w:jc w:val="both"/>
        <w:ind w:right="140" w:firstLine="8"/>
        <w:spacing w:after="0" w:line="255" w:lineRule="auto"/>
        <w:tabs>
          <w:tab w:leader="none" w:pos="24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grant by each Borrower of the Liens granted by it pursuant to the Collateral Documents, (c) the perfection or maintenance of the Liens created under the Collateral Documents (including the first priority nature thereof), or (d) the exercise by the Administrative Agent or any Lender of its rights under the Collateral Documents or remedies in respect of the Collateral pursuant to the Collateral Documents.</w:t>
      </w:r>
    </w:p>
    <w:p>
      <w:pPr>
        <w:spacing w:after="0" w:line="138"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 xml:space="preserve">5.04 Binding Effect. </w:t>
      </w:r>
      <w:r>
        <w:rPr>
          <w:rFonts w:ascii="Arial" w:cs="Arial" w:eastAsia="Arial" w:hAnsi="Arial"/>
          <w:sz w:val="16"/>
          <w:szCs w:val="16"/>
          <w:color w:val="auto"/>
        </w:rPr>
        <w:t>This Agreement has been, and each other Loan Document to which a Loan Party is a party, when delivered hereunder, will have been,</w:t>
      </w:r>
      <w:r>
        <w:rPr>
          <w:rFonts w:ascii="Arial" w:cs="Arial" w:eastAsia="Arial" w:hAnsi="Arial"/>
          <w:sz w:val="16"/>
          <w:szCs w:val="16"/>
          <w:b w:val="1"/>
          <w:bCs w:val="1"/>
          <w:color w:val="auto"/>
        </w:rPr>
        <w:t xml:space="preserve"> </w:t>
      </w:r>
      <w:r>
        <w:rPr>
          <w:rFonts w:ascii="Arial" w:cs="Arial" w:eastAsia="Arial" w:hAnsi="Arial"/>
          <w:sz w:val="16"/>
          <w:szCs w:val="16"/>
          <w:color w:val="auto"/>
        </w:rPr>
        <w:t>duly executed and delivered by such Loan Party. This Agreement constitutes, and each other such Loan Document when so executed and delivered will constitute, a legal, valid and binding obligation of the Loan Party a party hereto or thereto, as the case may be, enforceable against such Loan Party that is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274" w:right="259" w:bottom="1440" w:gutter="0" w:footer="0" w:header="0"/>
        </w:sectPr>
      </w:pPr>
    </w:p>
    <w:bookmarkStart w:id="116" w:name="page117"/>
    <w:bookmarkEnd w:id="116"/>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party hereto or thereto in accordance with its terms, except, in each case (a) as may be limited by bankruptcy, insolvency,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and (b) as to the enforceability of provisions for indemnification and the limitations thereon arising as a matter of law or public policy.</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5.05 Financial Statements; No Material Adverse Effect.</w:t>
      </w:r>
    </w:p>
    <w:p>
      <w:pPr>
        <w:spacing w:after="0" w:line="96" w:lineRule="exact"/>
        <w:rPr>
          <w:sz w:val="20"/>
          <w:szCs w:val="20"/>
          <w:color w:val="auto"/>
        </w:rPr>
      </w:pPr>
    </w:p>
    <w:p>
      <w:pPr>
        <w:ind w:firstLine="464"/>
        <w:spacing w:after="0" w:line="256" w:lineRule="auto"/>
        <w:tabs>
          <w:tab w:leader="none" w:pos="6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Audited Financial Statements (i) were prepared in accordance with GAAP consistently applied throughout the period covered thereby, except as otherwise expressly noted therein and (ii) fairly present the financial condition of PAA and its Subsidiaries on a consolidated basis as of the respective dates thereof and their results of operations for the period covered thereby in accordance with GAAP consistently applied throughout the period covered thereby, except as otherwise expressly noted therein.</w:t>
      </w:r>
    </w:p>
    <w:p>
      <w:pPr>
        <w:spacing w:after="0" w:line="143" w:lineRule="exact"/>
        <w:rPr>
          <w:rFonts w:ascii="Arial" w:cs="Arial" w:eastAsia="Arial" w:hAnsi="Arial"/>
          <w:sz w:val="18"/>
          <w:szCs w:val="18"/>
          <w:color w:val="auto"/>
        </w:rPr>
      </w:pPr>
    </w:p>
    <w:p>
      <w:pPr>
        <w:ind w:right="60" w:firstLine="464"/>
        <w:spacing w:after="0" w:line="255" w:lineRule="auto"/>
        <w:tabs>
          <w:tab w:leader="none" w:pos="70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unaudited consolidated balance sheets of PAA and its Subsidiaries dated June 30, 2011,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PAA and its Subsidiaries on a consolidated basis as of the date thereof and their results of operations for the period covered thereby, subject, in the case of clauses (i) and (ii), to the absence of footnotes and to normal year-end audit adjustments.</w:t>
      </w:r>
    </w:p>
    <w:p>
      <w:pPr>
        <w:spacing w:after="0" w:line="142" w:lineRule="exact"/>
        <w:rPr>
          <w:rFonts w:ascii="Arial" w:cs="Arial" w:eastAsia="Arial" w:hAnsi="Arial"/>
          <w:sz w:val="18"/>
          <w:szCs w:val="18"/>
          <w:color w:val="auto"/>
        </w:rPr>
      </w:pPr>
    </w:p>
    <w:p>
      <w:pPr>
        <w:ind w:right="160" w:firstLine="464"/>
        <w:spacing w:after="0" w:line="259" w:lineRule="auto"/>
        <w:tabs>
          <w:tab w:leader="none" w:pos="6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As of the First Amendment Effective Date, for the period from December 31, 2011 through the First Amendment Effective Date, there exists no event or circumstance with respect to the Company and its Subsidiaries taken as a whole, either individually or in the aggregate, that has then resulted in a Material Adverse Effect.</w:t>
      </w:r>
    </w:p>
    <w:p>
      <w:pPr>
        <w:spacing w:after="0" w:line="13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color w:val="auto"/>
        </w:rPr>
        <w:t xml:space="preserve">5.06 Litigation. </w:t>
      </w:r>
      <w:r>
        <w:rPr>
          <w:rFonts w:ascii="Arial" w:cs="Arial" w:eastAsia="Arial" w:hAnsi="Arial"/>
          <w:sz w:val="18"/>
          <w:szCs w:val="18"/>
          <w:color w:val="auto"/>
        </w:rPr>
        <w:t>Except as disclosed in the Audited Financial Statements,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5.06</w:t>
      </w:r>
      <w:r>
        <w:rPr>
          <w:rFonts w:ascii="Arial" w:cs="Arial" w:eastAsia="Arial" w:hAnsi="Arial"/>
          <w:sz w:val="18"/>
          <w:szCs w:val="18"/>
          <w:b w:val="1"/>
          <w:bCs w:val="1"/>
          <w:color w:val="auto"/>
        </w:rPr>
        <w:t xml:space="preserve"> </w:t>
      </w:r>
      <w:r>
        <w:rPr>
          <w:rFonts w:ascii="Arial" w:cs="Arial" w:eastAsia="Arial" w:hAnsi="Arial"/>
          <w:sz w:val="18"/>
          <w:szCs w:val="18"/>
          <w:color w:val="auto"/>
        </w:rPr>
        <w:t>or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6.03</w:t>
      </w:r>
      <w:r>
        <w:rPr>
          <w:rFonts w:ascii="Arial" w:cs="Arial" w:eastAsia="Arial" w:hAnsi="Arial"/>
          <w:sz w:val="18"/>
          <w:szCs w:val="18"/>
          <w:color w:val="auto"/>
        </w:rPr>
        <w:t>, there are no actions, suits,</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proceedings, claims or disputes pending or, to the knowledge of the Company, overtly threatened in writing, at law, in equity, in arbitration or before any Governmental Authority, by or against the Company or any of its Subsidiaries or against any Collateral (including, without limitation, any which challenge or otherwise pertain to any Borrower’s title to any Collateral) that either individually or in the aggregate could reasonably be expected to have a Material Adverse Effect.</w:t>
      </w:r>
    </w:p>
    <w:p>
      <w:pPr>
        <w:spacing w:after="0" w:line="139" w:lineRule="exact"/>
        <w:rPr>
          <w:sz w:val="20"/>
          <w:szCs w:val="20"/>
          <w:color w:val="auto"/>
        </w:rPr>
      </w:pPr>
    </w:p>
    <w:p>
      <w:pPr>
        <w:ind w:right="140" w:firstLine="456"/>
        <w:spacing w:after="0" w:line="310" w:lineRule="auto"/>
        <w:rPr>
          <w:sz w:val="20"/>
          <w:szCs w:val="20"/>
          <w:color w:val="auto"/>
        </w:rPr>
      </w:pPr>
      <w:r>
        <w:rPr>
          <w:rFonts w:ascii="Arial" w:cs="Arial" w:eastAsia="Arial" w:hAnsi="Arial"/>
          <w:sz w:val="16"/>
          <w:szCs w:val="16"/>
          <w:b w:val="1"/>
          <w:bCs w:val="1"/>
          <w:color w:val="auto"/>
        </w:rPr>
        <w:t xml:space="preserve">5.07 Ownership of Property; Liens; Receivables. </w:t>
      </w:r>
      <w:r>
        <w:rPr>
          <w:rFonts w:ascii="Arial" w:cs="Arial" w:eastAsia="Arial" w:hAnsi="Arial"/>
          <w:sz w:val="16"/>
          <w:szCs w:val="16"/>
          <w:color w:val="auto"/>
        </w:rPr>
        <w:t>Each Borrower has good and defensible title to all of its material property necessary or used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ordinary conduct of its business, free and clear of any (a) impediments in the use of such property except for such impediments that could not, individually or in the aggregate, reasonably be expected to have a Material Adverse Effect and (b) Liens, other than Liens permitted by </w:t>
      </w:r>
      <w:r>
        <w:rPr>
          <w:rFonts w:ascii="Arial" w:cs="Arial" w:eastAsia="Arial" w:hAnsi="Arial"/>
          <w:sz w:val="16"/>
          <w:szCs w:val="16"/>
          <w:u w:val="single" w:color="auto"/>
          <w:color w:val="auto"/>
        </w:rPr>
        <w:t>Section 7.01</w:t>
      </w:r>
      <w:r>
        <w:rPr>
          <w:rFonts w:ascii="Arial" w:cs="Arial" w:eastAsia="Arial" w:hAnsi="Arial"/>
          <w:sz w:val="16"/>
          <w:szCs w:val="16"/>
          <w:color w:val="auto"/>
        </w:rPr>
        <w:t>.</w:t>
      </w:r>
    </w:p>
    <w:p>
      <w:pPr>
        <w:spacing w:after="0" w:line="97" w:lineRule="exact"/>
        <w:rPr>
          <w:sz w:val="20"/>
          <w:szCs w:val="20"/>
          <w:color w:val="auto"/>
        </w:rPr>
      </w:pPr>
    </w:p>
    <w:p>
      <w:pPr>
        <w:ind w:right="480" w:firstLine="456"/>
        <w:spacing w:after="0" w:line="339" w:lineRule="auto"/>
        <w:rPr>
          <w:sz w:val="20"/>
          <w:szCs w:val="20"/>
          <w:color w:val="auto"/>
        </w:rPr>
      </w:pPr>
      <w:r>
        <w:rPr>
          <w:rFonts w:ascii="Arial" w:cs="Arial" w:eastAsia="Arial" w:hAnsi="Arial"/>
          <w:sz w:val="16"/>
          <w:szCs w:val="16"/>
          <w:b w:val="1"/>
          <w:bCs w:val="1"/>
          <w:color w:val="auto"/>
        </w:rPr>
        <w:t xml:space="preserve">5.08 Environmental Compliance. </w:t>
      </w:r>
      <w:r>
        <w:rPr>
          <w:rFonts w:ascii="Arial" w:cs="Arial" w:eastAsia="Arial" w:hAnsi="Arial"/>
          <w:sz w:val="16"/>
          <w:szCs w:val="16"/>
          <w:color w:val="auto"/>
        </w:rPr>
        <w:t>Except as disclosed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5.08</w:t>
      </w:r>
      <w:r>
        <w:rPr>
          <w:rFonts w:ascii="Arial" w:cs="Arial" w:eastAsia="Arial" w:hAnsi="Arial"/>
          <w:sz w:val="16"/>
          <w:szCs w:val="16"/>
          <w:b w:val="1"/>
          <w:bCs w:val="1"/>
          <w:color w:val="auto"/>
        </w:rPr>
        <w:t xml:space="preserve"> </w:t>
      </w:r>
      <w:r>
        <w:rPr>
          <w:rFonts w:ascii="Arial" w:cs="Arial" w:eastAsia="Arial" w:hAnsi="Arial"/>
          <w:sz w:val="16"/>
          <w:szCs w:val="16"/>
          <w:color w:val="auto"/>
        </w:rPr>
        <w:t>or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6.03</w:t>
      </w:r>
      <w:r>
        <w:rPr>
          <w:rFonts w:ascii="Arial" w:cs="Arial" w:eastAsia="Arial" w:hAnsi="Arial"/>
          <w:sz w:val="16"/>
          <w:szCs w:val="16"/>
          <w:color w:val="auto"/>
        </w:rPr>
        <w:t>, the Company and its Subsidiaries conduct their</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businesses in material compliance with applicable Environmental Laws and in the ordinary course of business, review</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280" w:right="259" w:bottom="1440" w:gutter="0" w:footer="0" w:header="0"/>
        </w:sectPr>
      </w:pPr>
    </w:p>
    <w:bookmarkStart w:id="117" w:name="page118"/>
    <w:bookmarkEnd w:id="117"/>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claims received by, and made against, them which overtly allege liability or responsibility on any of them for violation by any of them of any material Environmental Law on their respective businesses, operations and material properties, which could not, individually or in the aggregate, reasonably be expected to have a Material Adverse Effect.</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5.09 ERISA Compliance.</w:t>
      </w:r>
    </w:p>
    <w:p>
      <w:pPr>
        <w:spacing w:after="0" w:line="96" w:lineRule="exact"/>
        <w:rPr>
          <w:sz w:val="20"/>
          <w:szCs w:val="20"/>
          <w:color w:val="auto"/>
        </w:rPr>
      </w:pPr>
    </w:p>
    <w:p>
      <w:pPr>
        <w:ind w:firstLine="464"/>
        <w:spacing w:after="0" w:line="290" w:lineRule="auto"/>
        <w:tabs>
          <w:tab w:leader="none" w:pos="69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Except as disclosed in the Audited Financial Statements, in </w:t>
      </w:r>
      <w:r>
        <w:rPr>
          <w:rFonts w:ascii="Arial" w:cs="Arial" w:eastAsia="Arial" w:hAnsi="Arial"/>
          <w:sz w:val="16"/>
          <w:szCs w:val="16"/>
          <w:u w:val="single" w:color="auto"/>
          <w:color w:val="auto"/>
        </w:rPr>
        <w:t>Schedule 5.09</w:t>
      </w:r>
      <w:r>
        <w:rPr>
          <w:rFonts w:ascii="Arial" w:cs="Arial" w:eastAsia="Arial" w:hAnsi="Arial"/>
          <w:sz w:val="16"/>
          <w:szCs w:val="16"/>
          <w:color w:val="auto"/>
        </w:rPr>
        <w:t xml:space="preserve"> or pursuant to </w:t>
      </w:r>
      <w:r>
        <w:rPr>
          <w:rFonts w:ascii="Arial" w:cs="Arial" w:eastAsia="Arial" w:hAnsi="Arial"/>
          <w:sz w:val="16"/>
          <w:szCs w:val="16"/>
          <w:u w:val="single" w:color="auto"/>
          <w:color w:val="auto"/>
        </w:rPr>
        <w:t>Section 6.03</w:t>
      </w:r>
      <w:r>
        <w:rPr>
          <w:rFonts w:ascii="Arial" w:cs="Arial" w:eastAsia="Arial" w:hAnsi="Arial"/>
          <w:sz w:val="16"/>
          <w:szCs w:val="16"/>
          <w:color w:val="auto"/>
        </w:rPr>
        <w:t>, each Plan is in compliance in all material respects with the applicable provisions of ERISA, the Code and other applicable Federal or state laws, to the extent that any non-compliance therewith could reasonably be expected to result in a Material Adverse Effect. Each Pension Plan that is intended to be a qualified plan under Section 401(a) of the Code has received a favorable determination or opinion letter from the IRS to the effect that the form of such Plan is qualified under Section 401(a) of the Code and the trust related thereto has been determined by the IRS to be exempt from federal income tax under Section 501(a) of the Code, or an application for such a letter has been submitted to the IRS. To the knowledge of the Company, nothing has occurred with respect to the Company or any ERISA Affiliate that would prevent or cause the loss of such tax-qualified status.</w:t>
      </w:r>
    </w:p>
    <w:p>
      <w:pPr>
        <w:spacing w:after="0" w:line="118" w:lineRule="exact"/>
        <w:rPr>
          <w:rFonts w:ascii="Arial" w:cs="Arial" w:eastAsia="Arial" w:hAnsi="Arial"/>
          <w:sz w:val="16"/>
          <w:szCs w:val="16"/>
          <w:color w:val="auto"/>
        </w:rPr>
      </w:pPr>
    </w:p>
    <w:p>
      <w:pPr>
        <w:ind w:right="40" w:firstLine="464"/>
        <w:spacing w:after="0" w:line="255" w:lineRule="auto"/>
        <w:tabs>
          <w:tab w:leader="none" w:pos="70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Except as disclosed in the Audited Financial Statements, in </w:t>
      </w:r>
      <w:r>
        <w:rPr>
          <w:rFonts w:ascii="Arial" w:cs="Arial" w:eastAsia="Arial" w:hAnsi="Arial"/>
          <w:sz w:val="18"/>
          <w:szCs w:val="18"/>
          <w:u w:val="single" w:color="auto"/>
          <w:color w:val="auto"/>
        </w:rPr>
        <w:t>Schedule 5.09</w:t>
      </w:r>
      <w:r>
        <w:rPr>
          <w:rFonts w:ascii="Arial" w:cs="Arial" w:eastAsia="Arial" w:hAnsi="Arial"/>
          <w:sz w:val="18"/>
          <w:szCs w:val="18"/>
          <w:color w:val="auto"/>
        </w:rPr>
        <w:t xml:space="preserve"> or pursuant to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there are no pending or, to the knowledge of the Company, overtly threatened in writing, claims, actions or lawsuits, or action by any Governmental Authority, with respect to any Plan that could reasonably be expected to have a Material Adverse Effect. Except as disclosed in the Audited Financial Statements, in </w:t>
      </w:r>
      <w:r>
        <w:rPr>
          <w:rFonts w:ascii="Arial" w:cs="Arial" w:eastAsia="Arial" w:hAnsi="Arial"/>
          <w:sz w:val="18"/>
          <w:szCs w:val="18"/>
          <w:u w:val="single" w:color="auto"/>
          <w:color w:val="auto"/>
        </w:rPr>
        <w:t>Schedule 5.09</w:t>
      </w:r>
      <w:r>
        <w:rPr>
          <w:rFonts w:ascii="Arial" w:cs="Arial" w:eastAsia="Arial" w:hAnsi="Arial"/>
          <w:sz w:val="18"/>
          <w:szCs w:val="18"/>
          <w:color w:val="auto"/>
        </w:rPr>
        <w:t xml:space="preserve"> or pursuant to </w:t>
      </w:r>
      <w:r>
        <w:rPr>
          <w:rFonts w:ascii="Arial" w:cs="Arial" w:eastAsia="Arial" w:hAnsi="Arial"/>
          <w:sz w:val="18"/>
          <w:szCs w:val="18"/>
          <w:u w:val="single" w:color="auto"/>
          <w:color w:val="auto"/>
        </w:rPr>
        <w:t>Section 6.03</w:t>
      </w:r>
      <w:r>
        <w:rPr>
          <w:rFonts w:ascii="Arial" w:cs="Arial" w:eastAsia="Arial" w:hAnsi="Arial"/>
          <w:sz w:val="18"/>
          <w:szCs w:val="18"/>
          <w:color w:val="auto"/>
        </w:rPr>
        <w:t>, there has been no prohibited transaction or violation of the fiduciary responsibility rules with respect to any Plan that has resulted or, actually known to the Company, could reasonably be expected to result in a Material Adverse Effect.</w:t>
      </w:r>
    </w:p>
    <w:p>
      <w:pPr>
        <w:spacing w:after="0" w:line="142" w:lineRule="exact"/>
        <w:rPr>
          <w:rFonts w:ascii="Arial" w:cs="Arial" w:eastAsia="Arial" w:hAnsi="Arial"/>
          <w:sz w:val="18"/>
          <w:szCs w:val="18"/>
          <w:color w:val="auto"/>
        </w:rPr>
      </w:pPr>
    </w:p>
    <w:p>
      <w:pPr>
        <w:ind w:right="20" w:firstLine="464"/>
        <w:spacing w:after="0" w:line="286" w:lineRule="auto"/>
        <w:tabs>
          <w:tab w:leader="none" w:pos="69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Except as disclosed in the Audited Financial Statements, in </w:t>
      </w:r>
      <w:r>
        <w:rPr>
          <w:rFonts w:ascii="Arial" w:cs="Arial" w:eastAsia="Arial" w:hAnsi="Arial"/>
          <w:sz w:val="16"/>
          <w:szCs w:val="16"/>
          <w:u w:val="single" w:color="auto"/>
          <w:color w:val="auto"/>
        </w:rPr>
        <w:t>Schedule 5.09</w:t>
      </w:r>
      <w:r>
        <w:rPr>
          <w:rFonts w:ascii="Arial" w:cs="Arial" w:eastAsia="Arial" w:hAnsi="Arial"/>
          <w:sz w:val="16"/>
          <w:szCs w:val="16"/>
          <w:color w:val="auto"/>
        </w:rPr>
        <w:t xml:space="preserve"> or pursuant to </w:t>
      </w:r>
      <w:r>
        <w:rPr>
          <w:rFonts w:ascii="Arial" w:cs="Arial" w:eastAsia="Arial" w:hAnsi="Arial"/>
          <w:sz w:val="16"/>
          <w:szCs w:val="16"/>
          <w:u w:val="single" w:color="auto"/>
          <w:color w:val="auto"/>
        </w:rPr>
        <w:t>Section 6.03</w:t>
      </w:r>
      <w:r>
        <w:rPr>
          <w:rFonts w:ascii="Arial" w:cs="Arial" w:eastAsia="Arial" w:hAnsi="Arial"/>
          <w:sz w:val="16"/>
          <w:szCs w:val="16"/>
          <w:color w:val="auto"/>
        </w:rPr>
        <w:t>, (i) no ERISA Event has occurred, and neither the Company nor any ERISA Affiliate has actual knowledge of any fact, event or circumstance that could reasonably be expected to constitute or result in an ERISA Event with respect to any Pension Plan, (ii) the Company and each ERISA Affiliate has met, in all material respects,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the Company nor any ERISA Affiliate has actual knowledge of any facts or circumstances that could reasonably be expected to cause the funding target attainment percentage for any such plan to drop below 60% as of the most recent valuation date, (iv) neither the Company nor any ERISA Affiliate has incurred any liability to the PBGC other than for the payment of premiums or obligations of immaterial amounts, and there are no premium payments which have become due that are delinquent or are being contested in good faith, (v) neither the Company nor any ERISA Affiliate has, to its actual knowledge, engaged in a transaction that could be subject to Section 4069 or Section 4212(c) of ERISA, and (vi) to the Company’s actual knowledge, no Pension Plan has been terminated by the plan administrator thereof nor by the PBGC, and no event or circumstance has occurred or exists that could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80" w:right="259" w:bottom="1440" w:gutter="0" w:footer="0" w:header="0"/>
        </w:sectPr>
      </w:pPr>
    </w:p>
    <w:bookmarkStart w:id="118" w:name="page119"/>
    <w:bookmarkEnd w:id="118"/>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reasonably be expected to cause the PBGC to institute proceedings under Title IV of ERISA to terminate any Pension Plan, in each case with respect to each of the foregoing clauses (i) through (vi) of this </w:t>
      </w:r>
      <w:r>
        <w:rPr>
          <w:rFonts w:ascii="Arial" w:cs="Arial" w:eastAsia="Arial" w:hAnsi="Arial"/>
          <w:sz w:val="18"/>
          <w:szCs w:val="18"/>
          <w:u w:val="single" w:color="auto"/>
          <w:color w:val="auto"/>
        </w:rPr>
        <w:t>Section 5.09(c)</w:t>
      </w:r>
      <w:r>
        <w:rPr>
          <w:rFonts w:ascii="Arial" w:cs="Arial" w:eastAsia="Arial" w:hAnsi="Arial"/>
          <w:sz w:val="18"/>
          <w:szCs w:val="18"/>
          <w:color w:val="auto"/>
        </w:rPr>
        <w:t xml:space="preserve">, except as disclosed in the Audited Financial Statements, in </w:t>
      </w:r>
      <w:r>
        <w:rPr>
          <w:rFonts w:ascii="Arial" w:cs="Arial" w:eastAsia="Arial" w:hAnsi="Arial"/>
          <w:sz w:val="18"/>
          <w:szCs w:val="18"/>
          <w:u w:val="single" w:color="auto"/>
          <w:color w:val="auto"/>
        </w:rPr>
        <w:t>Schedule 5.09</w:t>
      </w:r>
      <w:r>
        <w:rPr>
          <w:rFonts w:ascii="Arial" w:cs="Arial" w:eastAsia="Arial" w:hAnsi="Arial"/>
          <w:sz w:val="18"/>
          <w:szCs w:val="18"/>
          <w:color w:val="auto"/>
        </w:rPr>
        <w:t xml:space="preserve"> or pursuant to </w:t>
      </w:r>
      <w:r>
        <w:rPr>
          <w:rFonts w:ascii="Arial" w:cs="Arial" w:eastAsia="Arial" w:hAnsi="Arial"/>
          <w:sz w:val="18"/>
          <w:szCs w:val="18"/>
          <w:u w:val="single" w:color="auto"/>
          <w:color w:val="auto"/>
        </w:rPr>
        <w:t>Section 6.03</w:t>
      </w:r>
      <w:r>
        <w:rPr>
          <w:rFonts w:ascii="Arial" w:cs="Arial" w:eastAsia="Arial" w:hAnsi="Arial"/>
          <w:sz w:val="18"/>
          <w:szCs w:val="18"/>
          <w:color w:val="auto"/>
        </w:rPr>
        <w:t>.</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5.10 Margin Regulations; Investment Company Act.</w:t>
      </w:r>
    </w:p>
    <w:p>
      <w:pPr>
        <w:spacing w:after="0" w:line="96" w:lineRule="exact"/>
        <w:rPr>
          <w:sz w:val="20"/>
          <w:szCs w:val="20"/>
          <w:color w:val="auto"/>
        </w:rPr>
      </w:pPr>
    </w:p>
    <w:p>
      <w:pPr>
        <w:ind w:right="120" w:firstLine="464"/>
        <w:spacing w:after="0" w:line="332" w:lineRule="auto"/>
        <w:tabs>
          <w:tab w:leader="none" w:pos="69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No Borrower is engaged or will engage, principally, or as one of its important activities, in the business of purchasing or carrying margin stock (within the meaning of Regulation U issued by the FRB), or extending credit for the purpose of purchasing or carrying margin stock.</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Neither the Company nor any other Loan Party is regulated under the Investment Company Act of 1940.</w:t>
      </w:r>
    </w:p>
    <w:p>
      <w:pPr>
        <w:spacing w:after="0" w:line="16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b w:val="1"/>
          <w:bCs w:val="1"/>
          <w:color w:val="auto"/>
        </w:rPr>
        <w:t xml:space="preserve">5.11 Disclosure. </w:t>
      </w:r>
      <w:r>
        <w:rPr>
          <w:rFonts w:ascii="Arial" w:cs="Arial" w:eastAsia="Arial" w:hAnsi="Arial"/>
          <w:sz w:val="16"/>
          <w:szCs w:val="16"/>
          <w:color w:val="auto"/>
        </w:rPr>
        <w:t>There is no fact known to any Borrower that has not been disclosed to the Administrative Agent and the Lenders in writing which,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individually or in the aggregate, would reasonably be expected to result in a Material Adverse Effect. No report, financial statement, certificate or other information furnished by or on behalf of any Loan Party to the Administrative Agent or any Lender in connection with the transactions contemplated hereby and the negotiation of this Agreement (including those delivered hereunder or under any other Loan Document (in each case, as modified or supplemented by other information so furnished, when so modified or supplemented)) contains any untrue statement of a material fact or omits to state any material fact necessary to make the statements contained herein or therein, in the light of the circumstances under which they were made, not misleading as of the date made or deemed made (or if such information expressly relates or refers to an earlier date, as of such earlier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projected and forecast financial information, the Company represents only that such projections and forecasts were prepared in good faith based upon assumptions deemed reasonable by the Company or PAA at the time.</w:t>
      </w:r>
    </w:p>
    <w:p>
      <w:pPr>
        <w:spacing w:after="0" w:line="113" w:lineRule="exact"/>
        <w:rPr>
          <w:sz w:val="20"/>
          <w:szCs w:val="20"/>
          <w:color w:val="auto"/>
        </w:rPr>
      </w:pPr>
    </w:p>
    <w:p>
      <w:pPr>
        <w:ind w:right="340" w:firstLine="456"/>
        <w:spacing w:after="0" w:line="309" w:lineRule="auto"/>
        <w:rPr>
          <w:sz w:val="20"/>
          <w:szCs w:val="20"/>
          <w:color w:val="auto"/>
        </w:rPr>
      </w:pPr>
      <w:r>
        <w:rPr>
          <w:rFonts w:ascii="Arial" w:cs="Arial" w:eastAsia="Arial" w:hAnsi="Arial"/>
          <w:sz w:val="15"/>
          <w:szCs w:val="15"/>
          <w:b w:val="1"/>
          <w:bCs w:val="1"/>
          <w:color w:val="auto"/>
        </w:rPr>
        <w:t xml:space="preserve">5.12 Compliance with Laws. </w:t>
      </w:r>
      <w:r>
        <w:rPr>
          <w:rFonts w:ascii="Arial" w:cs="Arial" w:eastAsia="Arial" w:hAnsi="Arial"/>
          <w:sz w:val="15"/>
          <w:szCs w:val="15"/>
          <w:color w:val="auto"/>
        </w:rPr>
        <w:t>Except as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Schedule 5.12</w:t>
      </w:r>
      <w:r>
        <w:rPr>
          <w:rFonts w:ascii="Arial" w:cs="Arial" w:eastAsia="Arial" w:hAnsi="Arial"/>
          <w:sz w:val="15"/>
          <w:szCs w:val="15"/>
          <w:b w:val="1"/>
          <w:bCs w:val="1"/>
          <w:color w:val="auto"/>
        </w:rPr>
        <w:t xml:space="preserve"> </w:t>
      </w:r>
      <w:r>
        <w:rPr>
          <w:rFonts w:ascii="Arial" w:cs="Arial" w:eastAsia="Arial" w:hAnsi="Arial"/>
          <w:sz w:val="15"/>
          <w:szCs w:val="15"/>
          <w:color w:val="auto"/>
        </w:rPr>
        <w:t>or in accordance with</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6.03</w:t>
      </w:r>
      <w:r>
        <w:rPr>
          <w:rFonts w:ascii="Arial" w:cs="Arial" w:eastAsia="Arial" w:hAnsi="Arial"/>
          <w:sz w:val="15"/>
          <w:szCs w:val="15"/>
          <w:color w:val="auto"/>
        </w:rPr>
        <w:t>, each Loan Party is in compliance in all material</w:t>
      </w:r>
      <w:r>
        <w:rPr>
          <w:rFonts w:ascii="Arial" w:cs="Arial" w:eastAsia="Arial" w:hAnsi="Arial"/>
          <w:sz w:val="15"/>
          <w:szCs w:val="15"/>
          <w:b w:val="1"/>
          <w:bCs w:val="1"/>
          <w:color w:val="auto"/>
        </w:rPr>
        <w:t xml:space="preserve"> </w:t>
      </w:r>
      <w:r>
        <w:rPr>
          <w:rFonts w:ascii="Arial" w:cs="Arial" w:eastAsia="Arial" w:hAnsi="Arial"/>
          <w:sz w:val="15"/>
          <w:szCs w:val="15"/>
          <w:color w:val="auto"/>
        </w:rPr>
        <w:t>respects with the requirements of all Laws and all orders, writs, injunctions and decrees applicable to it or to its properties, except in such instances in which</w:t>
      </w:r>
    </w:p>
    <w:p>
      <w:pPr>
        <w:ind w:firstLine="8"/>
        <w:spacing w:after="0" w:line="323" w:lineRule="auto"/>
        <w:tabs>
          <w:tab w:leader="none" w:pos="239" w:val="left"/>
        </w:tabs>
        <w:numPr>
          <w:ilvl w:val="0"/>
          <w:numId w:val="119"/>
        </w:numPr>
        <w:rPr>
          <w:rFonts w:ascii="Arial" w:cs="Arial" w:eastAsia="Arial" w:hAnsi="Arial"/>
          <w:sz w:val="16"/>
          <w:szCs w:val="16"/>
          <w:color w:val="auto"/>
        </w:rPr>
      </w:pPr>
      <w:r>
        <w:rPr>
          <w:rFonts w:ascii="Arial" w:cs="Arial" w:eastAsia="Arial" w:hAnsi="Arial"/>
          <w:sz w:val="16"/>
          <w:szCs w:val="16"/>
          <w:color w:val="auto"/>
        </w:rPr>
        <w:t>such requirement of Law or order, writ, injunction or decree is being contested in good faith, and if necessary, by appropriate proceedings diligently conducted or (b) the failure to comply therewith, either individually or in the aggregate, could not reasonably be expected to have a Material Adverse Effect.</w:t>
      </w:r>
    </w:p>
    <w:p>
      <w:pPr>
        <w:spacing w:after="0" w:line="8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b w:val="1"/>
          <w:bCs w:val="1"/>
          <w:color w:val="auto"/>
        </w:rPr>
        <w:t xml:space="preserve">5.13 Collateral Documents. </w:t>
      </w:r>
      <w:r>
        <w:rPr>
          <w:rFonts w:ascii="Arial" w:cs="Arial" w:eastAsia="Arial" w:hAnsi="Arial"/>
          <w:sz w:val="16"/>
          <w:szCs w:val="16"/>
          <w:color w:val="auto"/>
        </w:rPr>
        <w:t>The provisions of the Collateral Documents are effective to create in favor of the Administrative Agent for the benefit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Secured Parties a legal, valid and enforceable first priority Lien (subject to Liens permitted by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on all right, title and interest of each Borrower in all of such Borrower’s (i) Petroleum Products inventory (excluding tank bottoms and pipeline linefill of such Borrower), (ii) Swap Contracts covering Petroleum Products inventory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(iii) present and future contracts for the sale of Petroleum Products inventory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and Receivables thereunder, and (iv) proceeds and products of the foregoing and all other Collateral described therein. Except for filings completed prior to the Closing Date and as contemplated hereby and by the Collateral Documents, no filing or other action will be necessary to perfect or protect such Liens.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80" w:right="259" w:bottom="1440" w:gutter="0" w:footer="0" w:header="0"/>
        </w:sectPr>
      </w:pPr>
    </w:p>
    <w:bookmarkStart w:id="119" w:name="page120"/>
    <w:bookmarkEnd w:id="11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 AFFIRMATIVE COVENANTS</w:t>
      </w:r>
    </w:p>
    <w:p>
      <w:pPr>
        <w:spacing w:after="0" w:line="177"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So long as any Lender shall have any Commitment hereunder, any Loan or other Obligation hereunder shall remain unpaid or unsatisfied, or (unless a collateral arrangement satisfactory to the L/C Issuer has been entered into) any Letter of Credit shall remain outstanding, the Company shall (and PMCULC, solely as to itself, shall):</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6.01 Financial Statements. </w:t>
      </w:r>
      <w:r>
        <w:rPr>
          <w:rFonts w:ascii="Arial" w:cs="Arial" w:eastAsia="Arial" w:hAnsi="Arial"/>
          <w:sz w:val="16"/>
          <w:szCs w:val="16"/>
          <w:color w:val="auto"/>
        </w:rPr>
        <w:t>Deliver to the Administrative Agent and each Lender the following statements and reports, at the Company’s expense:</w:t>
      </w:r>
    </w:p>
    <w:p>
      <w:pPr>
        <w:spacing w:after="0" w:line="119" w:lineRule="exact"/>
        <w:rPr>
          <w:sz w:val="20"/>
          <w:szCs w:val="20"/>
          <w:color w:val="auto"/>
        </w:rPr>
      </w:pPr>
    </w:p>
    <w:p>
      <w:pPr>
        <w:ind w:right="40" w:firstLine="464"/>
        <w:spacing w:after="0" w:line="289" w:lineRule="auto"/>
        <w:tabs>
          <w:tab w:leader="none" w:pos="69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promptly upon the filing thereof, and in any event within ninety (90) days after the end of each fiscal year, a copy of PAA’s Form 10-K, which report shall include PAA’s complete consolidated financial statements together with all notes thereto, prepared in reasonable detail in accordance with GAAP, together with an opinion, without material qualification, based on an audit using generally accepted auditing standards, by PricewaterhouseCoopers LLP, or other independent certified public accountants selected by the general partner of PAA, stating that such consolidated financial statements have been so prepared, and these financial statements shall contain a consolidated balance sheet as of the end of such fiscal year and consolidated statements of earnings for such fiscal year, and such consolidated financial statements shall set forth in comparative form the corresponding figures for the preceding fiscal year (and, following the termination or release of the PAA Guaranty and within the time periods specified herein, the Company’s complete audited annual consolidated financial statements, prepared in reasonable detail in accordance with GAAP); and</w:t>
      </w:r>
    </w:p>
    <w:p>
      <w:pPr>
        <w:spacing w:after="0" w:line="37" w:lineRule="exact"/>
        <w:rPr>
          <w:rFonts w:ascii="Arial" w:cs="Arial" w:eastAsia="Arial" w:hAnsi="Arial"/>
          <w:sz w:val="16"/>
          <w:szCs w:val="16"/>
          <w:color w:val="auto"/>
        </w:rPr>
      </w:pPr>
    </w:p>
    <w:p>
      <w:pPr>
        <w:ind w:firstLine="464"/>
        <w:spacing w:after="0" w:line="291" w:lineRule="auto"/>
        <w:tabs>
          <w:tab w:leader="none" w:pos="70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promptly upon the filing thereof, and in any event within sixty (60) days after the end of each of the first three fiscal quarters of each fiscal year, a copy of PAA’s Form 10-Q, which report shall include PAA’s unaudited consolidated balance sheet as of the end of such fiscal quarter and consolidated statements of PAA’s earnings and cash flows for such fiscal quarter and for the period from the beginning of the then current fiscal year to the end of such fiscal quarter (and, following the termination or release of the PAA Guaranty and within the time periods specified herein, the Company’s unaudited consolidated balance sheet as of the end of such fiscal quarter and consolidated statements of the Company’s earnings and cash flows for such fiscal quarter and for the period from the beginning of the then current fiscal year to the end of such fiscal quarter).</w:t>
      </w:r>
    </w:p>
    <w:p>
      <w:pPr>
        <w:spacing w:after="0" w:line="12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To the extent any of the foregoing information is contained in materials filed by PAA with the SEC, the Company shall not be separately required to furnish such information under clause (a) or (b) above, but the foregoing shall not be in derogation of the obligation of the Company to furnish the information and materials described in clauses (a) and (b) above at the times specified therein.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274" w:right="299" w:bottom="1440" w:gutter="0" w:footer="0" w:header="0"/>
        </w:sectPr>
      </w:pPr>
    </w:p>
    <w:bookmarkStart w:id="120" w:name="page121"/>
    <w:bookmarkEnd w:id="120"/>
    <w:p>
      <w:pPr>
        <w:ind w:right="28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6.02 Certificates; Other Information. </w:t>
      </w:r>
      <w:r>
        <w:rPr>
          <w:rFonts w:ascii="Arial" w:cs="Arial" w:eastAsia="Arial" w:hAnsi="Arial"/>
          <w:sz w:val="18"/>
          <w:szCs w:val="18"/>
          <w:color w:val="auto"/>
        </w:rPr>
        <w:t>Deliver to the Administrative Agent and each Lender (except as otherwise provided in subsection (c) below), in</w:t>
      </w:r>
      <w:r>
        <w:rPr>
          <w:rFonts w:ascii="Arial" w:cs="Arial" w:eastAsia="Arial" w:hAnsi="Arial"/>
          <w:sz w:val="18"/>
          <w:szCs w:val="18"/>
          <w:b w:val="1"/>
          <w:bCs w:val="1"/>
          <w:color w:val="auto"/>
        </w:rPr>
        <w:t xml:space="preserve"> </w:t>
      </w:r>
      <w:r>
        <w:rPr>
          <w:rFonts w:ascii="Arial" w:cs="Arial" w:eastAsia="Arial" w:hAnsi="Arial"/>
          <w:sz w:val="18"/>
          <w:szCs w:val="18"/>
          <w:color w:val="auto"/>
        </w:rPr>
        <w:t>form and detail reasonably satisfactory to the Administrative Agent:</w:t>
      </w:r>
    </w:p>
    <w:p>
      <w:pPr>
        <w:spacing w:after="0" w:line="126" w:lineRule="exact"/>
        <w:rPr>
          <w:sz w:val="20"/>
          <w:szCs w:val="20"/>
          <w:color w:val="auto"/>
        </w:rPr>
      </w:pPr>
    </w:p>
    <w:p>
      <w:pPr>
        <w:ind w:right="60" w:firstLine="464"/>
        <w:spacing w:after="0" w:line="268" w:lineRule="auto"/>
        <w:tabs>
          <w:tab w:leader="none" w:pos="69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 copy of the certificate delivered to the administrative agent and the lenders under the PAA Credit Agreement pursuant to Section 6.02(a) thereof;</w:t>
      </w:r>
    </w:p>
    <w:p>
      <w:pPr>
        <w:spacing w:after="0" w:line="131" w:lineRule="exact"/>
        <w:rPr>
          <w:rFonts w:ascii="Arial" w:cs="Arial" w:eastAsia="Arial" w:hAnsi="Arial"/>
          <w:sz w:val="18"/>
          <w:szCs w:val="18"/>
          <w:color w:val="auto"/>
        </w:rPr>
      </w:pPr>
    </w:p>
    <w:p>
      <w:pPr>
        <w:ind w:right="380" w:firstLine="464"/>
        <w:spacing w:after="0" w:line="332" w:lineRule="auto"/>
        <w:tabs>
          <w:tab w:leader="none" w:pos="70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on or about (but not later than) the seventeenth (17</w:t>
      </w:r>
      <w:r>
        <w:rPr>
          <w:rFonts w:ascii="Arial" w:cs="Arial" w:eastAsia="Arial" w:hAnsi="Arial"/>
          <w:sz w:val="10"/>
          <w:szCs w:val="10"/>
          <w:color w:val="auto"/>
        </w:rPr>
        <w:t>th</w:t>
      </w:r>
      <w:r>
        <w:rPr>
          <w:rFonts w:ascii="Arial" w:cs="Arial" w:eastAsia="Arial" w:hAnsi="Arial"/>
          <w:sz w:val="16"/>
          <w:szCs w:val="16"/>
          <w:color w:val="auto"/>
        </w:rPr>
        <w:t xml:space="preserve">) day of each month (or the next succeeding Business Day, if the 17th is not a Business Day), a certificate from a Responsible Officer of the Company with respect to the representation and warranty set forth in </w:t>
      </w:r>
      <w:r>
        <w:rPr>
          <w:rFonts w:ascii="Arial" w:cs="Arial" w:eastAsia="Arial" w:hAnsi="Arial"/>
          <w:sz w:val="16"/>
          <w:szCs w:val="16"/>
          <w:u w:val="single" w:color="auto"/>
          <w:color w:val="auto"/>
        </w:rPr>
        <w:t>Section 4.02(d)</w:t>
      </w:r>
      <w:r>
        <w:rPr>
          <w:rFonts w:ascii="Arial" w:cs="Arial" w:eastAsia="Arial" w:hAnsi="Arial"/>
          <w:sz w:val="16"/>
          <w:szCs w:val="16"/>
          <w:color w:val="auto"/>
        </w:rPr>
        <w:t>;</w:t>
      </w:r>
    </w:p>
    <w:p>
      <w:pPr>
        <w:spacing w:after="0" w:line="85" w:lineRule="exact"/>
        <w:rPr>
          <w:rFonts w:ascii="Arial" w:cs="Arial" w:eastAsia="Arial" w:hAnsi="Arial"/>
          <w:sz w:val="16"/>
          <w:szCs w:val="16"/>
          <w:color w:val="auto"/>
        </w:rPr>
      </w:pPr>
    </w:p>
    <w:p>
      <w:pPr>
        <w:jc w:val="both"/>
        <w:ind w:right="300" w:firstLine="464"/>
        <w:spacing w:after="0" w:line="256" w:lineRule="auto"/>
        <w:tabs>
          <w:tab w:leader="none" w:pos="69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promptly, to the Administrative Agent, upon written request, such additional information regarding the business, financial or corporate affairs of the Company or any Subsidiary, or compliance with the terms of the Loan Documents (including supporting information with respect to Collateral Value and the calculation thereof), in each case which are reasonably requested by the Administrative Agent or any Lender and not subject to confidentiality restrictions or attorney-client privilege; and</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notice of any public announcement by Moody’s or S&amp;P of any downgrade in a PAA Debt Rating.</w:t>
      </w:r>
    </w:p>
    <w:p>
      <w:pPr>
        <w:spacing w:after="0" w:line="171"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 xml:space="preserve">Documents required to be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6.02(c)</w:t>
      </w:r>
      <w:r>
        <w:rPr>
          <w:rFonts w:ascii="Arial" w:cs="Arial" w:eastAsia="Arial" w:hAnsi="Arial"/>
          <w:sz w:val="16"/>
          <w:szCs w:val="16"/>
          <w:color w:val="auto"/>
        </w:rPr>
        <w:t xml:space="preserve"> (to the extent any such documents are included in materials otherwise filed with the SEC) may be delivered electronically and if so delivered, shall be deemed to have been delivered on the date (i) on which the Company or PAA posts such documents, or provides a link thereto on PAA’s website on the Internet at the website address listed on </w:t>
      </w:r>
      <w:r>
        <w:rPr>
          <w:rFonts w:ascii="Arial" w:cs="Arial" w:eastAsia="Arial" w:hAnsi="Arial"/>
          <w:sz w:val="16"/>
          <w:szCs w:val="16"/>
          <w:u w:val="single" w:color="auto"/>
          <w:color w:val="auto"/>
        </w:rPr>
        <w:t>Schedule 11.02</w:t>
      </w:r>
      <w:r>
        <w:rPr>
          <w:rFonts w:ascii="Arial" w:cs="Arial" w:eastAsia="Arial" w:hAnsi="Arial"/>
          <w:sz w:val="16"/>
          <w:szCs w:val="16"/>
          <w:color w:val="auto"/>
        </w:rPr>
        <w:t>, (ii) on which such documents are delivered to the Administrative Agent for posting to the Platform or (iii) on which such documents are posted on the Company’s or PAA’s behalf on any other Internet or intranet website, if any, to which each Lender and the Administrative Agent have access (whether a commercial, third-party website or whether sponsored by the Administrative Agent), and in either case, the Company or PAA notifies the Administrative Agent of such posting or link. The Administrative Agent shall have no obligation to request the delivery of or to maintain paper copies of the documents referred to above, and in any event shall have no responsibility to monitor compliance by the Company with any such request by a Lender for delivery, and each Lender shall be solely responsible for requesting delivery to it or maintaining its copies of such documents.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Borrower and PAA hereby acknowledges that (a) the Administrative Agent or its authorized Affiliates will make available to the Lenders and the L/C Issuer materials and/or information provided by or on behalf of such Borrower and PAA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IntraLinks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do not wish to receive material non-public information with respect to any of the Borrowers, PAA or their respective Affiliates, or the respective securities of any of the foregoing, and who may be engaged in investment and other market-related activities with respect to such Persons’ securities. Each Borrower and PAA hereby agrees that (w) all Borrower Materials that it instructs to be made available to Public Lenders shall be clearly and conspicuously marked “PUBLIC” prominently on the first page thereof; (x) by marking Borrower Materials “PUBLIC,” each Borrower and PAA shall be deemed to have authorized the Administrative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274" w:right="259" w:bottom="1440" w:gutter="0" w:footer="0" w:header="0"/>
        </w:sectPr>
      </w:pPr>
    </w:p>
    <w:bookmarkStart w:id="121" w:name="page122"/>
    <w:bookmarkEnd w:id="121"/>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or its authorized Affiliates, the L/C Issuer and the Lenders to treat such Borrower Materials as not containing any material non-public information with respect to any Borrower or PAA or their respective securities for purposes of United States Federal and state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to the extent such Borrower Materials constitute Information, they shall be treated as set forth in </w:t>
      </w:r>
      <w:r>
        <w:rPr>
          <w:rFonts w:ascii="Arial" w:cs="Arial" w:eastAsia="Arial" w:hAnsi="Arial"/>
          <w:sz w:val="18"/>
          <w:szCs w:val="18"/>
          <w:u w:val="single" w:color="auto"/>
          <w:color w:val="auto"/>
        </w:rPr>
        <w:t>Section 11.07</w:t>
      </w:r>
      <w:r>
        <w:rPr>
          <w:rFonts w:ascii="Arial" w:cs="Arial" w:eastAsia="Arial" w:hAnsi="Arial"/>
          <w:sz w:val="18"/>
          <w:szCs w:val="18"/>
          <w:color w:val="auto"/>
        </w:rPr>
        <w:t>); (y) all Borrower Materials so marked “PUBLIC” are permitted to be made available through a portion of the Platform designated “Public Side Information;” and (z) the Administrative Agent or its authorized Affiliates shall be entitled to treat any Borrower Materials that are not marked “PUBLIC” as being suitable only for posting on a portion of the Platform not designated “Public Side Information.”</w:t>
      </w:r>
    </w:p>
    <w:p>
      <w:pPr>
        <w:spacing w:after="0" w:line="138"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6.03 Notices. </w:t>
      </w:r>
      <w:r>
        <w:rPr>
          <w:rFonts w:ascii="Arial" w:cs="Arial" w:eastAsia="Arial" w:hAnsi="Arial"/>
          <w:sz w:val="18"/>
          <w:szCs w:val="18"/>
          <w:color w:val="auto"/>
        </w:rPr>
        <w:t>Promptly notify the Administrative Agent and each Lender not later than five Business Days after any executive officer of the Company has</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w:t>
      </w:r>
    </w:p>
    <w:p>
      <w:pPr>
        <w:spacing w:after="0" w:line="126" w:lineRule="exact"/>
        <w:rPr>
          <w:sz w:val="20"/>
          <w:szCs w:val="20"/>
          <w:color w:val="auto"/>
        </w:rPr>
      </w:pPr>
    </w:p>
    <w:p>
      <w:pPr>
        <w:ind w:left="700" w:hanging="236"/>
        <w:spacing w:after="0"/>
        <w:tabs>
          <w:tab w:leader="none" w:pos="7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of the occurrence of any Default;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of any matter that has resulted or could reasonably be expected to result in a Material Adverse Effect.</w:t>
      </w:r>
    </w:p>
    <w:p>
      <w:pPr>
        <w:spacing w:after="0" w:line="171"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 xml:space="preserve">Each notice pursuant to this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shall be accompanied by a statement of a Responsible Officer of the Company setting forth details of the occurrence referred to therein and stating what action the Company has taken and proposes to take with respect thereto. Each notice pursuant to </w:t>
      </w:r>
      <w:r>
        <w:rPr>
          <w:rFonts w:ascii="Arial" w:cs="Arial" w:eastAsia="Arial" w:hAnsi="Arial"/>
          <w:sz w:val="16"/>
          <w:szCs w:val="16"/>
          <w:u w:val="single" w:color="auto"/>
          <w:color w:val="auto"/>
        </w:rPr>
        <w:t>Section 6.03(a)</w:t>
      </w:r>
      <w:r>
        <w:rPr>
          <w:rFonts w:ascii="Arial" w:cs="Arial" w:eastAsia="Arial" w:hAnsi="Arial"/>
          <w:sz w:val="16"/>
          <w:szCs w:val="16"/>
          <w:color w:val="auto"/>
        </w:rPr>
        <w:t xml:space="preserve"> shall describe with particularity any and all provisions of this Agreement and any other Loan Document that have been breached.</w:t>
      </w:r>
    </w:p>
    <w:p>
      <w:pPr>
        <w:spacing w:after="0" w:line="101" w:lineRule="exact"/>
        <w:rPr>
          <w:sz w:val="20"/>
          <w:szCs w:val="20"/>
          <w:color w:val="auto"/>
        </w:rPr>
      </w:pPr>
    </w:p>
    <w:p>
      <w:pPr>
        <w:ind w:right="280" w:firstLine="456"/>
        <w:spacing w:after="0" w:line="289" w:lineRule="auto"/>
        <w:rPr>
          <w:sz w:val="20"/>
          <w:szCs w:val="20"/>
          <w:color w:val="auto"/>
        </w:rPr>
      </w:pPr>
      <w:r>
        <w:rPr>
          <w:rFonts w:ascii="Arial" w:cs="Arial" w:eastAsia="Arial" w:hAnsi="Arial"/>
          <w:sz w:val="16"/>
          <w:szCs w:val="16"/>
          <w:b w:val="1"/>
          <w:bCs w:val="1"/>
          <w:color w:val="auto"/>
        </w:rPr>
        <w:t xml:space="preserve">6.04 Payment of Taxes, Etc. </w:t>
      </w:r>
      <w:r>
        <w:rPr>
          <w:rFonts w:ascii="Arial" w:cs="Arial" w:eastAsia="Arial" w:hAnsi="Arial"/>
          <w:sz w:val="16"/>
          <w:szCs w:val="16"/>
          <w:color w:val="auto"/>
        </w:rPr>
        <w:t>(a) Timely file (and cause PMCULC to timely file) all required tax returns (including any extensions), (b) timely pay (and</w:t>
      </w:r>
      <w:r>
        <w:rPr>
          <w:rFonts w:ascii="Arial" w:cs="Arial" w:eastAsia="Arial" w:hAnsi="Arial"/>
          <w:sz w:val="16"/>
          <w:szCs w:val="16"/>
          <w:b w:val="1"/>
          <w:bCs w:val="1"/>
          <w:color w:val="auto"/>
        </w:rPr>
        <w:t xml:space="preserve"> </w:t>
      </w:r>
      <w:r>
        <w:rPr>
          <w:rFonts w:ascii="Arial" w:cs="Arial" w:eastAsia="Arial" w:hAnsi="Arial"/>
          <w:sz w:val="16"/>
          <w:szCs w:val="16"/>
          <w:color w:val="auto"/>
        </w:rPr>
        <w:t>cause PMCULC to timely pay) all taxes, assessments, and other governmental charges or levies imposed upon it or upon its income, profits or property, and</w:t>
      </w:r>
    </w:p>
    <w:p>
      <w:pPr>
        <w:spacing w:after="0" w:line="1" w:lineRule="exact"/>
        <w:rPr>
          <w:sz w:val="20"/>
          <w:szCs w:val="20"/>
          <w:color w:val="auto"/>
        </w:rPr>
      </w:pPr>
    </w:p>
    <w:p>
      <w:pPr>
        <w:ind w:right="60" w:firstLine="8"/>
        <w:spacing w:after="0" w:line="331" w:lineRule="auto"/>
        <w:tabs>
          <w:tab w:leader="none" w:pos="239" w:val="left"/>
        </w:tabs>
        <w:numPr>
          <w:ilvl w:val="0"/>
          <w:numId w:val="123"/>
        </w:numPr>
        <w:rPr>
          <w:rFonts w:ascii="Arial" w:cs="Arial" w:eastAsia="Arial" w:hAnsi="Arial"/>
          <w:sz w:val="15"/>
          <w:szCs w:val="15"/>
          <w:color w:val="auto"/>
        </w:rPr>
      </w:pPr>
      <w:r>
        <w:rPr>
          <w:rFonts w:ascii="Arial" w:cs="Arial" w:eastAsia="Arial" w:hAnsi="Arial"/>
          <w:sz w:val="15"/>
          <w:szCs w:val="15"/>
          <w:color w:val="auto"/>
        </w:rPr>
        <w:t>maintain (and cause PMCULC to maintain) appropriate accruals and reserves for all of the foregoing as required by GAAP, except to the extent that (i) it is in good faith contesting the validity thereof by appropriate proceedings, if necessary, diligently conducted and has set aside on its books adequate reserves therefor which are required by GAAP or (ii) such non-filing, non-payment or non-maintenance would not reasonably be expected to result in a Material Adverse Effect.</w:t>
      </w:r>
    </w:p>
    <w:p>
      <w:pPr>
        <w:spacing w:after="0" w:line="8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6.05 Preservation of Existence, Etc. </w:t>
      </w:r>
      <w:r>
        <w:rPr>
          <w:rFonts w:ascii="Arial" w:cs="Arial" w:eastAsia="Arial" w:hAnsi="Arial"/>
          <w:sz w:val="16"/>
          <w:szCs w:val="16"/>
          <w:color w:val="auto"/>
        </w:rPr>
        <w:t>(a) Preserve and maintain (and cause PMCULC to preserve and maintain) its legal existence and good standing under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Laws of the jurisdiction of its organization, (b) take (and cause PMCULC to take) all reasonable action to maintain all rights, privileges, permits, licenses and franchises necessary in the normal conduct of its business, except, in each case (i) where the failure so to maintain or preserve (as the case may be) would not reasonably be expected to cause a Material Adverse Effect or (ii) as permitted in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or as a result of statutory conversions, continuances or similar statutorily-permitted arrangements, and (c) PAA will preserve and maintain its legal existence and good standing under the Laws of the jurisdiction of its organization; except (i) where the failure so to maintain or preserve (as the case may be) would not reasonably be expected to cause a Material Adverse Effect (as defined in the PAA Credit Agreement) or (ii) as a result of statutory conversions.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280" w:right="259" w:bottom="1440" w:gutter="0" w:footer="0" w:header="0"/>
        </w:sectPr>
      </w:pPr>
    </w:p>
    <w:bookmarkStart w:id="122" w:name="page123"/>
    <w:bookmarkEnd w:id="122"/>
    <w:p>
      <w:pPr>
        <w:ind w:right="20"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6.06 Maintenance of Properties. </w:t>
      </w:r>
      <w:r>
        <w:rPr>
          <w:rFonts w:ascii="Arial" w:cs="Arial" w:eastAsia="Arial" w:hAnsi="Arial"/>
          <w:sz w:val="18"/>
          <w:szCs w:val="18"/>
          <w:color w:val="auto"/>
        </w:rPr>
        <w:t>Maintain, preserve and protect (and cause PMCULC to maintain, preserve and protect) all Collateral and maintain all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its other material properties and equipment that are necessary in the operation of its business in good working order and condition, ordinary wear and tear and obsoleteness excepted, in each case (a) except where the failure to do so could not reasonably be expected to have a Material Adverse Effect or (b) as permitted in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or as a result of statutory conversions.</w:t>
      </w:r>
    </w:p>
    <w:p>
      <w:pPr>
        <w:spacing w:after="0" w:line="13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6.07 Maintenance of Insurance. </w:t>
      </w:r>
      <w:r>
        <w:rPr>
          <w:rFonts w:ascii="Arial" w:cs="Arial" w:eastAsia="Arial" w:hAnsi="Arial"/>
          <w:sz w:val="16"/>
          <w:szCs w:val="16"/>
          <w:color w:val="auto"/>
        </w:rPr>
        <w:t>Maintain (and cause PMCULC to maintain), with financially sound and reputable insurance companies, insurance or, 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its option, self-insure in such amounts (after giving effect to any self-insurance compatible with the following standards) and against such risks as are customarily insured by other Persons engaged in the same or similar businesses and owning similar properties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the foregoing provisions of this </w:t>
      </w:r>
      <w:r>
        <w:rPr>
          <w:rFonts w:ascii="Arial" w:cs="Arial" w:eastAsia="Arial" w:hAnsi="Arial"/>
          <w:sz w:val="16"/>
          <w:szCs w:val="16"/>
          <w:u w:val="single" w:color="auto"/>
          <w:color w:val="auto"/>
        </w:rPr>
        <w:t>Section 6.07</w:t>
      </w:r>
      <w:r>
        <w:rPr>
          <w:rFonts w:ascii="Arial" w:cs="Arial" w:eastAsia="Arial" w:hAnsi="Arial"/>
          <w:sz w:val="16"/>
          <w:szCs w:val="16"/>
          <w:color w:val="auto"/>
        </w:rPr>
        <w:t>, the Company or any Subsidiary may effect workers’ compensation or similar insurance in respect of operations in any state or other jurisdiction through any insurance fund operated by such state or other jurisdiction or by causing to be maintained a system or systems of self-insurance in accord with applicable laws. The insurance coverages and amounts will be reasonably determined by the Company, based on coverages carried by prudent owners of similar property, and may be maintained by PAA.</w:t>
      </w:r>
    </w:p>
    <w:p>
      <w:pPr>
        <w:spacing w:after="0" w:line="113" w:lineRule="exact"/>
        <w:rPr>
          <w:sz w:val="20"/>
          <w:szCs w:val="20"/>
          <w:color w:val="auto"/>
        </w:rPr>
      </w:pPr>
    </w:p>
    <w:p>
      <w:pPr>
        <w:jc w:val="both"/>
        <w:ind w:right="420" w:firstLine="456"/>
        <w:spacing w:after="0" w:line="296" w:lineRule="auto"/>
        <w:rPr>
          <w:sz w:val="20"/>
          <w:szCs w:val="20"/>
          <w:color w:val="auto"/>
        </w:rPr>
      </w:pPr>
      <w:r>
        <w:rPr>
          <w:rFonts w:ascii="Arial" w:cs="Arial" w:eastAsia="Arial" w:hAnsi="Arial"/>
          <w:sz w:val="16"/>
          <w:szCs w:val="16"/>
          <w:b w:val="1"/>
          <w:bCs w:val="1"/>
          <w:color w:val="auto"/>
        </w:rPr>
        <w:t xml:space="preserve">6.08 Compliance with Laws; Compliance with Contracts for Sale of Hedged Eligible Inventory. </w:t>
      </w:r>
      <w:r>
        <w:rPr>
          <w:rFonts w:ascii="Arial" w:cs="Arial" w:eastAsia="Arial" w:hAnsi="Arial"/>
          <w:sz w:val="16"/>
          <w:szCs w:val="16"/>
          <w:color w:val="auto"/>
        </w:rPr>
        <w:t>Comply (and cause PMCULC to comply) in all</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 respects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if necessary, diligently conducted, or (b) the failure to comply therewith could not reasonably be expected to have a Material Adverse Effect. Each Borrower will strictly perform and observe all the terms and provisions of each contract for the sale of Hedged Eligible Inventory to be performed or observed by it.</w:t>
      </w:r>
    </w:p>
    <w:p>
      <w:pPr>
        <w:spacing w:after="0" w:line="108" w:lineRule="exact"/>
        <w:rPr>
          <w:sz w:val="20"/>
          <w:szCs w:val="20"/>
          <w:color w:val="auto"/>
        </w:rPr>
      </w:pPr>
    </w:p>
    <w:p>
      <w:pPr>
        <w:ind w:right="860" w:firstLine="456"/>
        <w:spacing w:after="0" w:line="275" w:lineRule="auto"/>
        <w:rPr>
          <w:sz w:val="20"/>
          <w:szCs w:val="20"/>
          <w:color w:val="auto"/>
        </w:rPr>
      </w:pPr>
      <w:r>
        <w:rPr>
          <w:rFonts w:ascii="Arial" w:cs="Arial" w:eastAsia="Arial" w:hAnsi="Arial"/>
          <w:sz w:val="18"/>
          <w:szCs w:val="18"/>
          <w:b w:val="1"/>
          <w:bCs w:val="1"/>
          <w:color w:val="auto"/>
        </w:rPr>
        <w:t xml:space="preserve">6.09 Books and Records. </w:t>
      </w:r>
      <w:r>
        <w:rPr>
          <w:rFonts w:ascii="Arial" w:cs="Arial" w:eastAsia="Arial" w:hAnsi="Arial"/>
          <w:sz w:val="18"/>
          <w:szCs w:val="18"/>
          <w:color w:val="auto"/>
        </w:rPr>
        <w:t>Maintain (and cause PMCULC to maintain) full and accurate books of record and account in conformity with GAAP</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consistently applied.</w:t>
      </w:r>
    </w:p>
    <w:p>
      <w:pPr>
        <w:spacing w:after="0" w:line="12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color w:val="auto"/>
        </w:rPr>
        <w:t xml:space="preserve">6.10 Inspection Rights. </w:t>
      </w:r>
      <w:r>
        <w:rPr>
          <w:rFonts w:ascii="Arial" w:cs="Arial" w:eastAsia="Arial" w:hAnsi="Arial"/>
          <w:sz w:val="16"/>
          <w:szCs w:val="16"/>
          <w:color w:val="auto"/>
        </w:rPr>
        <w:t>Permit (and cause PMCULC to permit) representatives and independent contractors of the Administrative Agent to visit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inspect any of its properties, to examine its corporate, financial and operating records, and to make copies thereof or abstracts therefrom, and to discuss its affairs, finances and accounts with its officers and independent public accountants, all at such reasonable times during normal business hours, upon reasonable advance notice to the Company. Each of the foregoing inspections and examinations shall be made subject to compliance with applicable safety standards and the same conditions applicable to any Borrower in respect of property of such Borrower on the premises of Persons other than such Borrower or an Affiliate of the Company, and all information, books and records furnished or requested to be made, all information to be investigated or verified, all copies and abstracts of all information, books and records and all discussion conducted with any officer, employee or representative of any Borrower, in each case, shall be subject to any applicable attorney-client privilege exceptions which the Company determines is reasonably necessary and compliance with conditions to disclosures under non-disclosure agreements between such Borrower and Persons other than such Borrower or an Affiliate of the Company and the express undertaking of each Person acting at the direction of or on behalf of any Lender Party to be bound by the confidentiality provisions of </w:t>
      </w:r>
      <w:r>
        <w:rPr>
          <w:rFonts w:ascii="Arial" w:cs="Arial" w:eastAsia="Arial" w:hAnsi="Arial"/>
          <w:sz w:val="16"/>
          <w:szCs w:val="16"/>
          <w:u w:val="single" w:color="auto"/>
          <w:color w:val="auto"/>
        </w:rPr>
        <w:t>Section 11.07</w:t>
      </w:r>
      <w:r>
        <w:rPr>
          <w:rFonts w:ascii="Arial" w:cs="Arial" w:eastAsia="Arial" w:hAnsi="Arial"/>
          <w:sz w:val="16"/>
          <w:szCs w:val="16"/>
          <w:color w:val="auto"/>
        </w:rPr>
        <w:t xml:space="preserve"> of this Agreement.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74" w:right="239" w:bottom="1440" w:gutter="0" w:footer="0" w:header="0"/>
        </w:sectPr>
      </w:pPr>
    </w:p>
    <w:bookmarkStart w:id="123" w:name="page124"/>
    <w:bookmarkEnd w:id="123"/>
    <w:p>
      <w:pPr>
        <w:jc w:val="both"/>
        <w:ind w:right="140"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6.11 Use of Proceeds. </w:t>
      </w:r>
      <w:r>
        <w:rPr>
          <w:rFonts w:ascii="Arial" w:cs="Arial" w:eastAsia="Arial" w:hAnsi="Arial"/>
          <w:sz w:val="18"/>
          <w:szCs w:val="18"/>
          <w:color w:val="auto"/>
        </w:rPr>
        <w:t>Use (and cause PMCULC to use) the proceeds of the Borrowings to refinance outstanding Indebtedness under the Existing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finance purchases and storage of Hedged Eligible Inventory and refinance Unreimbursed Amounts, and use (and cause PMCULC to use) all Letters of Credit and Canadian BA’s solely to secure purchases of Hedged Eligible Inventory.</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6.12 Covenant to Give Security. </w:t>
      </w:r>
      <w:r>
        <w:rPr>
          <w:rFonts w:ascii="Arial" w:cs="Arial" w:eastAsia="Arial" w:hAnsi="Arial"/>
          <w:sz w:val="16"/>
          <w:szCs w:val="16"/>
          <w:color w:val="auto"/>
        </w:rPr>
        <w:t>Each Borrower, at its expense, will deliver, to further secure its Obligations whenever requested by Administrative Agent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its sole and absolute discretion, chattel mortgages, security agreements, financing statements and other Collateral Documents in form and substance satisfactory to Administrative Agent for the purpose of granting, confirming, and perfecting first and prior liens or security interests in favor of the Administrative Agent for the benefit of the Lender Parties, subject to applicable Liens permitted pursuant to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in all of such Borrower’s (i) Petroleum Products inventory (excluding tank bottoms, pipeline linefill and other Petroleum Products inventory of such Borrower), (ii) Swap Contracts covering Petroleum Products inventory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(iii) present and future contracts for the sale of Petroleum Products inventory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and Receivables thereunder, and (iv) proceeds and products of the foregoing.</w:t>
      </w:r>
    </w:p>
    <w:p>
      <w:pPr>
        <w:spacing w:after="0" w:line="11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b w:val="1"/>
          <w:bCs w:val="1"/>
          <w:color w:val="auto"/>
        </w:rPr>
        <w:t xml:space="preserve">6.13 Further Assurances. </w:t>
      </w:r>
      <w:r>
        <w:rPr>
          <w:rFonts w:ascii="Arial" w:cs="Arial" w:eastAsia="Arial" w:hAnsi="Arial"/>
          <w:sz w:val="18"/>
          <w:szCs w:val="18"/>
          <w:color w:val="auto"/>
        </w:rPr>
        <w:t>Promptly upon request by the Administrative Agent, deliver (and cause PMCULC to deliver) such Collateral Documents,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form and substance reasonably satisfactory to the Administrative Agent, as the Administrative Agent may reasonably request from time to time, to (i) the fullest extent permitted by applicable law, subject all Collateral of any Borrower to the Liens now or hereafter intended to be covered by any of the Collateral Documents to secure the Obligations of such Borrower, (ii) perfect and maintain the validity, effectiveness and priority of any of the Collateral Documents and any of the Liens intended to be created thereunder, subject to applicable Liens permitted pursuant to </w:t>
      </w:r>
      <w:r>
        <w:rPr>
          <w:rFonts w:ascii="Arial" w:cs="Arial" w:eastAsia="Arial" w:hAnsi="Arial"/>
          <w:sz w:val="18"/>
          <w:szCs w:val="18"/>
          <w:u w:val="single" w:color="auto"/>
          <w:color w:val="auto"/>
        </w:rPr>
        <w:t>Section 7.01</w:t>
      </w:r>
      <w:r>
        <w:rPr>
          <w:rFonts w:ascii="Arial" w:cs="Arial" w:eastAsia="Arial" w:hAnsi="Arial"/>
          <w:sz w:val="18"/>
          <w:szCs w:val="18"/>
          <w:color w:val="auto"/>
        </w:rPr>
        <w:t>, and (iii) assure, convey, grant, assign, transfer, preserve, protect and confirm unto the Secured Parties the rights granted or now or hereafter intended to be granted to the Secured Parties under any Collateral Document.</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 NEGATIVE COVENANTS</w:t>
      </w:r>
    </w:p>
    <w:p>
      <w:pPr>
        <w:spacing w:after="0" w:line="17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So long as any Lender shall have any Commitment hereunder, any Loan or other Obligation hereunder shall remain unpaid or unsatisfied, or (unless a collateral arrangement satisfactory to the L/C Issuer has been entered into) any Letter of Credit shall remain outstanding, no Borrower shall:</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7.01 Liens. </w:t>
      </w:r>
      <w:r>
        <w:rPr>
          <w:rFonts w:ascii="Arial" w:cs="Arial" w:eastAsia="Arial" w:hAnsi="Arial"/>
          <w:sz w:val="18"/>
          <w:szCs w:val="18"/>
          <w:color w:val="auto"/>
        </w:rPr>
        <w:t>Create, incur, assume or permit to exist any Lien upon</w:t>
      </w:r>
    </w:p>
    <w:p>
      <w:pPr>
        <w:spacing w:after="0" w:line="177" w:lineRule="exact"/>
        <w:rPr>
          <w:sz w:val="20"/>
          <w:szCs w:val="20"/>
          <w:color w:val="auto"/>
        </w:rPr>
      </w:pPr>
    </w:p>
    <w:p>
      <w:pPr>
        <w:ind w:right="280" w:firstLine="464"/>
        <w:spacing w:after="0" w:line="259" w:lineRule="auto"/>
        <w:tabs>
          <w:tab w:leader="none" w:pos="69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Collateral except (i) Liens created pursuant to the Collateral Documents, (ii) Permitted Inventory Liens, (iii) statutory Liens in respect of First Purchase Crude Payables, (iv) Broker Liens on margin deposits with respect to Swap Contracts, and (v) any other Liens expressly permitted to encumber such Collateral under any Collateral Document;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274" w:right="259" w:bottom="1440" w:gutter="0" w:footer="0" w:header="0"/>
        </w:sectPr>
      </w:pPr>
    </w:p>
    <w:bookmarkStart w:id="124" w:name="page125"/>
    <w:bookmarkEnd w:id="12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any tank bottoms or pipeline linefill commingled with Petroleum Product inventory constituting Collateral.</w:t>
      </w:r>
    </w:p>
    <w:p>
      <w:pPr>
        <w:spacing w:after="0" w:line="16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b w:val="1"/>
          <w:bCs w:val="1"/>
          <w:color w:val="auto"/>
        </w:rPr>
        <w:t xml:space="preserve">7.02 Fundamental Changes; Dispositions. </w:t>
      </w:r>
      <w:r>
        <w:rPr>
          <w:rFonts w:ascii="Arial" w:cs="Arial" w:eastAsia="Arial" w:hAnsi="Arial"/>
          <w:sz w:val="18"/>
          <w:szCs w:val="18"/>
          <w:color w:val="auto"/>
        </w:rPr>
        <w:t>Merge, dissolve, liquidate, consolidate with or into another Person, or sell, transfer, lease, exchange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otherwise dispose of (whether in one transaction or in a series of related transactions) all or substantially all of its assets (whether now owned or hereafter acquired) to or in favor of any Person, except that, so long as no Default exists or, upon giving pro forma effect thereto, would immediately result therefrom, a Borrower may merge or consolidate with another Subsidiary of PAA,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Borrower is the acquiring or surviving entity and immediately after giving effect thereto, no Default exists.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7.03 Dispositions. </w:t>
      </w:r>
      <w:r>
        <w:rPr>
          <w:rFonts w:ascii="Arial" w:cs="Arial" w:eastAsia="Arial" w:hAnsi="Arial"/>
          <w:sz w:val="16"/>
          <w:szCs w:val="16"/>
          <w:color w:val="auto"/>
        </w:rPr>
        <w:t>Make any sale, transfer, lease, exchange or disposition of any Collateral except in the ordinary course of business on ordinary trade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terms.</w:t>
      </w:r>
    </w:p>
    <w:p>
      <w:pPr>
        <w:spacing w:after="0" w:line="15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7.04 Transactions with Affiliates. </w:t>
      </w:r>
      <w:r>
        <w:rPr>
          <w:rFonts w:ascii="Arial" w:cs="Arial" w:eastAsia="Arial" w:hAnsi="Arial"/>
          <w:sz w:val="16"/>
          <w:szCs w:val="16"/>
          <w:color w:val="auto"/>
        </w:rPr>
        <w:t>Enter into any material transaction of any kind with any Affiliate of the Company, whether or not in the ordinary course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business, other than on terms that are no less favorable to such Borrower as would be obtainable by such Borrower at the time in an arm’s length transaction with a Person other than an Affiliate,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restriction shall not apply to any of the following transactions: (a) transactions between or among the Company and any of its Subsidiaries; (b) any employment, equity award, equity option or equity appreciation agreement or plan entered into by a Borrower in the ordinary course of business of such Borrower; (c) transactions effected in accordance with the terms of tax sharing, management services, indemnification, omnibus and other agreements with PAA and its Affiliates; (d) customary compensation, indemnification and other benefits made available to officers, directors or employees of a Borrower, any of its Subsidiaries or the General Partner, including reimbursement or advancement of out-of-pocket expenses and provisions of officers’ and directors’ liability insurance; and (e) transactions as contemplated by the Company’s agreement of limited partnership or PMCULC’s articles of amalgamation.</w:t>
      </w:r>
    </w:p>
    <w:p>
      <w:pPr>
        <w:spacing w:after="0" w:line="113"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b w:val="1"/>
          <w:bCs w:val="1"/>
          <w:color w:val="auto"/>
        </w:rPr>
        <w:t xml:space="preserve">7.05 Burdensome Agreements. </w:t>
      </w:r>
      <w:r>
        <w:rPr>
          <w:rFonts w:ascii="Arial" w:cs="Arial" w:eastAsia="Arial" w:hAnsi="Arial"/>
          <w:sz w:val="16"/>
          <w:szCs w:val="16"/>
          <w:color w:val="auto"/>
        </w:rPr>
        <w:t>Except as expressly provided for in the Loan Documents, as described in any Schedule hereto or pursuant to a Restriction</w:t>
      </w:r>
      <w:r>
        <w:rPr>
          <w:rFonts w:ascii="Arial" w:cs="Arial" w:eastAsia="Arial" w:hAnsi="Arial"/>
          <w:sz w:val="16"/>
          <w:szCs w:val="16"/>
          <w:b w:val="1"/>
          <w:bCs w:val="1"/>
          <w:color w:val="auto"/>
        </w:rPr>
        <w:t xml:space="preserve"> </w:t>
      </w:r>
      <w:r>
        <w:rPr>
          <w:rFonts w:ascii="Arial" w:cs="Arial" w:eastAsia="Arial" w:hAnsi="Arial"/>
          <w:sz w:val="16"/>
          <w:szCs w:val="16"/>
          <w:color w:val="auto"/>
        </w:rPr>
        <w:t>Exception, the substance of which, in detail reasonably satisfactory to the Administrative Agent, is promptly reported to Administrative Agent, enter into any Contractual Obligation that limits the ability of any Borrower to create, incur, assume or permit to exist Liens on any Collateral.</w:t>
      </w:r>
    </w:p>
    <w:p>
      <w:pPr>
        <w:spacing w:after="0" w:line="97"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b w:val="1"/>
          <w:bCs w:val="1"/>
          <w:color w:val="auto"/>
        </w:rPr>
        <w:t xml:space="preserve">7.06 Use of Proceeds. </w:t>
      </w:r>
      <w:r>
        <w:rPr>
          <w:rFonts w:ascii="Arial" w:cs="Arial" w:eastAsia="Arial" w:hAnsi="Arial"/>
          <w:sz w:val="18"/>
          <w:szCs w:val="18"/>
          <w:color w:val="auto"/>
        </w:rPr>
        <w:t>Use the proceeds of any Credit Extension, whether directly or indirectly, and whether immediately, incidentally or ultimately,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or carry margin stock or to extend credit to others for the purpose of purchasing or carrying margin stock or to refund indebtedness originally incurred for such purpose (within the meaning of Regulation U of the FRB).</w:t>
      </w:r>
    </w:p>
    <w:p>
      <w:pPr>
        <w:spacing w:after="0" w:line="132" w:lineRule="exact"/>
        <w:rPr>
          <w:sz w:val="20"/>
          <w:szCs w:val="20"/>
          <w:color w:val="auto"/>
        </w:rPr>
      </w:pPr>
    </w:p>
    <w:p>
      <w:pPr>
        <w:jc w:val="both"/>
        <w:ind w:right="160" w:firstLine="456"/>
        <w:spacing w:after="0" w:line="262" w:lineRule="auto"/>
        <w:rPr>
          <w:sz w:val="20"/>
          <w:szCs w:val="20"/>
          <w:color w:val="auto"/>
        </w:rPr>
      </w:pPr>
      <w:r>
        <w:rPr>
          <w:rFonts w:ascii="Arial" w:cs="Arial" w:eastAsia="Arial" w:hAnsi="Arial"/>
          <w:sz w:val="18"/>
          <w:szCs w:val="18"/>
          <w:b w:val="1"/>
          <w:bCs w:val="1"/>
          <w:color w:val="auto"/>
        </w:rPr>
        <w:t xml:space="preserve">7.07 PAA Consolidated Leverage Ratio. </w:t>
      </w:r>
      <w:r>
        <w:rPr>
          <w:rFonts w:ascii="Arial" w:cs="Arial" w:eastAsia="Arial" w:hAnsi="Arial"/>
          <w:sz w:val="18"/>
          <w:szCs w:val="18"/>
          <w:color w:val="auto"/>
        </w:rPr>
        <w:t>Permit the PAA Consolidated Leverage Ratio as of the end of any fiscal quarter of PAA to be greater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ratio set forth below opposite such period, calculated, with respect to Consolidated EBITDA (as defined in the PAA Credit Agreement and after giving effect to the provisos set forth therein), on a trailing four-quarter basis: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280" w:right="279" w:bottom="1440" w:gutter="0" w:footer="0" w:header="0"/>
        </w:sectPr>
      </w:pPr>
    </w:p>
    <w:bookmarkStart w:id="125" w:name="page126"/>
    <w:bookmarkEnd w:id="125"/>
    <w:p>
      <w:pPr>
        <w:spacing w:after="0" w:line="1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832"/>
        <w:spacing w:after="0"/>
        <w:rPr>
          <w:sz w:val="20"/>
          <w:szCs w:val="20"/>
          <w:color w:val="auto"/>
        </w:rPr>
      </w:pPr>
      <w:r>
        <w:rPr>
          <w:rFonts w:ascii="Arial" w:cs="Arial" w:eastAsia="Arial" w:hAnsi="Arial"/>
          <w:sz w:val="14"/>
          <w:szCs w:val="14"/>
          <w:b w:val="1"/>
          <w:bCs w:val="1"/>
          <w:color w:val="auto"/>
        </w:rPr>
        <w:t>Applicable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wp:posOffset>
            </wp:positionH>
            <wp:positionV relativeFrom="paragraph">
              <wp:posOffset>0</wp:posOffset>
            </wp:positionV>
            <wp:extent cx="6946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ind w:left="832" w:hanging="832"/>
        <w:spacing w:after="0"/>
        <w:tabs>
          <w:tab w:leader="none" w:pos="83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During an Acquisition Period</w:t>
      </w:r>
    </w:p>
    <w:p>
      <w:pPr>
        <w:spacing w:after="0" w:line="7" w:lineRule="exact"/>
        <w:rPr>
          <w:rFonts w:ascii="Arial" w:cs="Arial" w:eastAsia="Arial" w:hAnsi="Arial"/>
          <w:sz w:val="18"/>
          <w:szCs w:val="18"/>
          <w:color w:val="auto"/>
        </w:rPr>
      </w:pPr>
    </w:p>
    <w:p>
      <w:pPr>
        <w:ind w:left="832"/>
        <w:spacing w:after="0"/>
        <w:rPr>
          <w:rFonts w:ascii="Arial" w:cs="Arial" w:eastAsia="Arial" w:hAnsi="Arial"/>
          <w:sz w:val="18"/>
          <w:szCs w:val="18"/>
          <w:color w:val="auto"/>
        </w:rPr>
      </w:pPr>
      <w:r>
        <w:rPr>
          <w:rFonts w:ascii="Arial" w:cs="Arial" w:eastAsia="Arial" w:hAnsi="Arial"/>
          <w:sz w:val="18"/>
          <w:szCs w:val="18"/>
          <w:color w:val="auto"/>
        </w:rPr>
        <w:t>(as defined in the PAA Credit Agreement)</w:t>
      </w:r>
    </w:p>
    <w:p>
      <w:pPr>
        <w:spacing w:after="0" w:line="16" w:lineRule="exact"/>
        <w:rPr>
          <w:rFonts w:ascii="Arial" w:cs="Arial" w:eastAsia="Arial" w:hAnsi="Arial"/>
          <w:sz w:val="18"/>
          <w:szCs w:val="18"/>
          <w:color w:val="auto"/>
        </w:rPr>
      </w:pPr>
    </w:p>
    <w:p>
      <w:pPr>
        <w:ind w:left="832" w:right="5500" w:hanging="832"/>
        <w:spacing w:after="0" w:line="332" w:lineRule="auto"/>
        <w:tabs>
          <w:tab w:leader="none" w:pos="832" w:val="left"/>
        </w:tabs>
        <w:numPr>
          <w:ilvl w:val="0"/>
          <w:numId w:val="125"/>
        </w:numPr>
        <w:rPr>
          <w:rFonts w:ascii="Arial" w:cs="Arial" w:eastAsia="Arial" w:hAnsi="Arial"/>
          <w:sz w:val="16"/>
          <w:szCs w:val="16"/>
          <w:color w:val="auto"/>
        </w:rPr>
      </w:pPr>
      <w:r>
        <w:rPr>
          <w:rFonts w:ascii="Arial" w:cs="Arial" w:eastAsia="Arial" w:hAnsi="Arial"/>
          <w:sz w:val="16"/>
          <w:szCs w:val="16"/>
          <w:color w:val="auto"/>
        </w:rPr>
        <w:t>Other than during an Acquisition Period (as defined in the PAA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-600075</wp:posOffset>
            </wp:positionV>
            <wp:extent cx="7246620" cy="2832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35" w:lineRule="exact"/>
        <w:rPr>
          <w:sz w:val="20"/>
          <w:szCs w:val="20"/>
          <w:color w:val="auto"/>
        </w:rPr>
      </w:pPr>
    </w:p>
    <w:p>
      <w:pPr>
        <w:ind w:left="452" w:right="1340" w:firstLine="2997"/>
        <w:spacing w:after="0" w:line="347" w:lineRule="auto"/>
        <w:rPr>
          <w:sz w:val="20"/>
          <w:szCs w:val="20"/>
          <w:color w:val="auto"/>
        </w:rPr>
      </w:pPr>
      <w:r>
        <w:rPr>
          <w:rFonts w:ascii="Arial" w:cs="Arial" w:eastAsia="Arial" w:hAnsi="Arial"/>
          <w:sz w:val="18"/>
          <w:szCs w:val="18"/>
          <w:b w:val="1"/>
          <w:bCs w:val="1"/>
          <w:color w:val="auto"/>
        </w:rPr>
        <w:t xml:space="preserve">ARTICLE VIII. EVENTS OF DEFAULT AND REMEDIES 8.01 Events of Default. </w:t>
      </w:r>
      <w:r>
        <w:rPr>
          <w:rFonts w:ascii="Arial" w:cs="Arial" w:eastAsia="Arial" w:hAnsi="Arial"/>
          <w:sz w:val="18"/>
          <w:szCs w:val="18"/>
          <w:color w:val="auto"/>
        </w:rPr>
        <w:t>Any of the following shall constitute an Event of Default: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2"/>
          <w:szCs w:val="12"/>
          <w:b w:val="1"/>
          <w:bCs w:val="1"/>
          <w:color w:val="auto"/>
        </w:rPr>
        <w:t>Maximum Consolidated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Leverage Ratio</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5.50:1.0</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5.00:1.0</w:t>
      </w:r>
    </w:p>
    <w:p>
      <w:pPr>
        <w:spacing w:after="0" w:line="927" w:lineRule="exact"/>
        <w:rPr>
          <w:sz w:val="20"/>
          <w:szCs w:val="20"/>
          <w:color w:val="auto"/>
        </w:rPr>
      </w:pPr>
    </w:p>
    <w:p>
      <w:pPr>
        <w:sectPr>
          <w:pgSz w:w="11900" w:h="16838" w:orient="portrait"/>
          <w:cols w:equalWidth="0" w:num="2">
            <w:col w:w="9292" w:space="720"/>
            <w:col w:w="1400"/>
          </w:cols>
          <w:pgMar w:left="248" w:top="275" w:right="239" w:bottom="1440" w:gutter="0" w:footer="0" w:header="0"/>
        </w:sectPr>
      </w:pPr>
    </w:p>
    <w:p>
      <w:pPr>
        <w:ind w:left="-8" w:right="60" w:firstLine="464"/>
        <w:spacing w:after="0" w:line="305" w:lineRule="auto"/>
        <w:tabs>
          <w:tab w:leader="none" w:pos="687" w:val="left"/>
        </w:tabs>
        <w:numPr>
          <w:ilvl w:val="1"/>
          <w:numId w:val="126"/>
        </w:numPr>
        <w:rPr>
          <w:rFonts w:ascii="Arial" w:cs="Arial" w:eastAsia="Arial" w:hAnsi="Arial"/>
          <w:sz w:val="15"/>
          <w:szCs w:val="15"/>
          <w:color w:val="auto"/>
        </w:rPr>
      </w:pPr>
      <w:r>
        <w:rPr>
          <w:rFonts w:ascii="Arial" w:cs="Arial" w:eastAsia="Arial" w:hAnsi="Arial"/>
          <w:sz w:val="15"/>
          <w:szCs w:val="15"/>
          <w:u w:val="single" w:color="auto"/>
          <w:color w:val="auto"/>
        </w:rPr>
        <w:t>Non-Payment</w:t>
      </w:r>
      <w:r>
        <w:rPr>
          <w:rFonts w:ascii="Arial" w:cs="Arial" w:eastAsia="Arial" w:hAnsi="Arial"/>
          <w:sz w:val="15"/>
          <w:szCs w:val="15"/>
          <w:color w:val="auto"/>
        </w:rPr>
        <w:t xml:space="preserve">. (i) Any Borrower fails to pay (A) when due and payable, any amount of principal of any Loan or any L/C Obligation, (B) within three Business Days after the same becomes due and payable, any interest on any Loan or on any L/C Obligation, or any fee due hereunder pursuant to </w:t>
      </w:r>
      <w:r>
        <w:rPr>
          <w:rFonts w:ascii="Arial" w:cs="Arial" w:eastAsia="Arial" w:hAnsi="Arial"/>
          <w:sz w:val="15"/>
          <w:szCs w:val="15"/>
          <w:u w:val="single" w:color="auto"/>
          <w:color w:val="auto"/>
        </w:rPr>
        <w:t>Section 2.09</w:t>
      </w:r>
      <w:r>
        <w:rPr>
          <w:rFonts w:ascii="Arial" w:cs="Arial" w:eastAsia="Arial" w:hAnsi="Arial"/>
          <w:sz w:val="15"/>
          <w:szCs w:val="15"/>
          <w:color w:val="auto"/>
        </w:rPr>
        <w:t>, or</w:t>
      </w:r>
    </w:p>
    <w:p>
      <w:pPr>
        <w:ind w:left="-8" w:right="440" w:firstLine="8"/>
        <w:spacing w:after="0" w:line="323" w:lineRule="auto"/>
        <w:tabs>
          <w:tab w:leader="none" w:pos="27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within five Business Days after the same becomes due, any other amount payable hereunder or under any other Loan Document, or (ii) PAA fails to pay within three Business Days after the same becomes due and payable, any amount payable under the PAA Guaranty or any other Loan Document; or</w:t>
      </w:r>
    </w:p>
    <w:p>
      <w:pPr>
        <w:spacing w:after="0" w:line="11" w:lineRule="exact"/>
        <w:rPr>
          <w:rFonts w:ascii="Arial" w:cs="Arial" w:eastAsia="Arial" w:hAnsi="Arial"/>
          <w:sz w:val="16"/>
          <w:szCs w:val="16"/>
          <w:color w:val="auto"/>
        </w:rPr>
      </w:pPr>
    </w:p>
    <w:p>
      <w:pPr>
        <w:ind w:left="712" w:hanging="256"/>
        <w:spacing w:after="0"/>
        <w:tabs>
          <w:tab w:leader="none" w:pos="712" w:val="left"/>
        </w:tabs>
        <w:numPr>
          <w:ilvl w:val="1"/>
          <w:numId w:val="127"/>
        </w:numPr>
        <w:rPr>
          <w:rFonts w:ascii="Arial" w:cs="Arial" w:eastAsia="Arial" w:hAnsi="Arial"/>
          <w:sz w:val="16"/>
          <w:szCs w:val="16"/>
          <w:color w:val="auto"/>
        </w:rPr>
      </w:pPr>
      <w:r>
        <w:rPr>
          <w:rFonts w:ascii="Arial" w:cs="Arial" w:eastAsia="Arial" w:hAnsi="Arial"/>
          <w:sz w:val="16"/>
          <w:szCs w:val="16"/>
          <w:u w:val="single" w:color="auto"/>
          <w:color w:val="auto"/>
        </w:rPr>
        <w:t>Specific Covenants</w:t>
      </w:r>
      <w:r>
        <w:rPr>
          <w:rFonts w:ascii="Arial" w:cs="Arial" w:eastAsia="Arial" w:hAnsi="Arial"/>
          <w:sz w:val="16"/>
          <w:szCs w:val="16"/>
          <w:color w:val="auto"/>
        </w:rPr>
        <w:t xml:space="preserve">. Any Borrower fails to perform or observe any term, covenant or agreement contained in any of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VII</w:t>
      </w:r>
      <w:r>
        <w:rPr>
          <w:rFonts w:ascii="Arial" w:cs="Arial" w:eastAsia="Arial" w:hAnsi="Arial"/>
          <w:sz w:val="16"/>
          <w:szCs w:val="16"/>
          <w:color w:val="auto"/>
        </w:rPr>
        <w:t>; or</w:t>
      </w:r>
    </w:p>
    <w:p>
      <w:pPr>
        <w:spacing w:after="0" w:line="113" w:lineRule="exact"/>
        <w:rPr>
          <w:rFonts w:ascii="Arial" w:cs="Arial" w:eastAsia="Arial" w:hAnsi="Arial"/>
          <w:sz w:val="16"/>
          <w:szCs w:val="16"/>
          <w:color w:val="auto"/>
        </w:rPr>
      </w:pPr>
    </w:p>
    <w:p>
      <w:pPr>
        <w:ind w:left="-8" w:right="100" w:firstLine="464"/>
        <w:spacing w:after="0" w:line="259" w:lineRule="auto"/>
        <w:tabs>
          <w:tab w:leader="none" w:pos="687"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Any Loan Party fails to perform or comply with any of its obligations under any other covenant or agreement (not specified in subsection (a) or (b) above) contained in any Loan Document to which it is a party on its part to be performed or complied with and such failure continues for 30 days after notice of such failure is given by the Administrative Agent to the Company; or</w:t>
      </w:r>
    </w:p>
    <w:p>
      <w:pPr>
        <w:spacing w:after="0" w:line="59" w:lineRule="exact"/>
        <w:rPr>
          <w:rFonts w:ascii="Arial" w:cs="Arial" w:eastAsia="Arial" w:hAnsi="Arial"/>
          <w:sz w:val="18"/>
          <w:szCs w:val="18"/>
          <w:color w:val="auto"/>
        </w:rPr>
      </w:pPr>
    </w:p>
    <w:p>
      <w:pPr>
        <w:ind w:left="-8" w:right="220" w:firstLine="464"/>
        <w:spacing w:after="0" w:line="332" w:lineRule="auto"/>
        <w:tabs>
          <w:tab w:leader="none" w:pos="697" w:val="left"/>
        </w:tabs>
        <w:numPr>
          <w:ilvl w:val="1"/>
          <w:numId w:val="127"/>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Any representation or warranty made or deemed made by or on behalf of the Company or PMCULC or by any other Loan Party herein or in any other Loan Document shall be incorrect when made or deemed made in any material respect; or</w:t>
      </w:r>
    </w:p>
    <w:p>
      <w:pPr>
        <w:spacing w:after="0" w:line="4" w:lineRule="exact"/>
        <w:rPr>
          <w:rFonts w:ascii="Arial" w:cs="Arial" w:eastAsia="Arial" w:hAnsi="Arial"/>
          <w:sz w:val="16"/>
          <w:szCs w:val="16"/>
          <w:color w:val="auto"/>
        </w:rPr>
      </w:pPr>
    </w:p>
    <w:p>
      <w:pPr>
        <w:ind w:left="-8" w:right="100" w:firstLine="464"/>
        <w:spacing w:after="0" w:line="290" w:lineRule="auto"/>
        <w:tabs>
          <w:tab w:leader="none" w:pos="687" w:val="left"/>
        </w:tabs>
        <w:numPr>
          <w:ilvl w:val="1"/>
          <w:numId w:val="127"/>
        </w:numPr>
        <w:rPr>
          <w:rFonts w:ascii="Arial" w:cs="Arial" w:eastAsia="Arial" w:hAnsi="Arial"/>
          <w:sz w:val="16"/>
          <w:szCs w:val="16"/>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(i) The Company, PMCULC or any other Subsidiary of the Company (A) fails to make any payment when due and payable (whether by scheduled maturity, required prepayment, acceleration, demand, or otherwise) of any principal of or interest on any Indebtedness (other than Indebtedness hereunder and Indebtedness under Swap Contracts) in an aggregate principal amount, the Dollar Equivalent of which exceeds the Threshold Amount, and such failure continues after the passing of the applicable notice and grace periods, (other than such Indebtedness the validity of which is being contested in good faith, by appropriate proceedings (if necessary) and for which adequate reserves with respect thereto are maintained on the books of the Company, PMCULC or such Subsidiary as required by GAAP) or (B) fails to observe or perform any other agreement or condition relating to any such Indebtedness or contained in any instrument or agreement evidencing, securing or relating thereto, or any other event occurs, in each case, beyond the applicable grace, cure, extension,</w:t>
      </w:r>
    </w:p>
    <w:p>
      <w:pPr>
        <w:spacing w:after="0" w:line="105"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12"/>
          </w:cols>
          <w:pgMar w:left="248" w:top="275" w:right="239" w:bottom="1440" w:gutter="0" w:footer="0" w:header="0"/>
          <w:type w:val="continuous"/>
        </w:sectPr>
      </w:pPr>
    </w:p>
    <w:bookmarkStart w:id="126" w:name="page127"/>
    <w:bookmarkEnd w:id="126"/>
    <w:p>
      <w:pPr>
        <w:ind w:right="60"/>
        <w:spacing w:after="0" w:line="30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forbearance or similar period, if the effect of which failure or other event is to cause, or to permit the holder or holders of such Indebtedness (or a trustee or agent on behalf of such holder or holders)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(ii) there occurs under any Swap Contract an Early Termination Date (as defined in such Swap Contract) resulting from (A) any event of default under such Swap Contract as to which the Company or any Subsidiary is the Defaulting Party (as defined in such Swap Contract) or (B) any Termination Event (as so defined) under such Swap Contract as to which the Company or any Subsidiary is an Affected Party (as so defined) and, in either event, (1) the Swap Termination Value owed by the Company, PMCULC or such Subsidiary as a result thereof is greater than the Threshold Amount (other than amounts under such Swap Contract, the validity of which are being contested in good faith, by appropriate proceedings (if necessary) and for which adequate reserves with respect thereto are maintained on the books of the Company, PMCULC or such Subsidiary as required by GAAP), (2) the effect of such Early Termination Date is to cause such Swap Termination Value to be demanded or to become due, and (3) such Swap Termination Value has not been paid when due; or</w:t>
      </w:r>
    </w:p>
    <w:p>
      <w:pPr>
        <w:spacing w:after="0" w:line="28" w:lineRule="exact"/>
        <w:rPr>
          <w:sz w:val="20"/>
          <w:szCs w:val="20"/>
          <w:color w:val="auto"/>
        </w:rPr>
      </w:pPr>
    </w:p>
    <w:p>
      <w:pPr>
        <w:ind w:firstLine="464"/>
        <w:spacing w:after="0" w:line="288" w:lineRule="auto"/>
        <w:tabs>
          <w:tab w:leader="none" w:pos="676" w:val="left"/>
        </w:tabs>
        <w:numPr>
          <w:ilvl w:val="1"/>
          <w:numId w:val="128"/>
        </w:numPr>
        <w:rPr>
          <w:rFonts w:ascii="Arial" w:cs="Arial" w:eastAsia="Arial" w:hAnsi="Arial"/>
          <w:sz w:val="16"/>
          <w:szCs w:val="16"/>
          <w:color w:val="auto"/>
        </w:rPr>
      </w:pPr>
      <w:r>
        <w:rPr>
          <w:rFonts w:ascii="Arial" w:cs="Arial" w:eastAsia="Arial" w:hAnsi="Arial"/>
          <w:sz w:val="16"/>
          <w:szCs w:val="16"/>
          <w:u w:val="single" w:color="auto"/>
          <w:color w:val="auto"/>
        </w:rPr>
        <w:t>Insolvency Proceedings, Etc.</w:t>
      </w:r>
      <w:r>
        <w:rPr>
          <w:rFonts w:ascii="Arial" w:cs="Arial" w:eastAsia="Arial" w:hAnsi="Arial"/>
          <w:sz w:val="16"/>
          <w:szCs w:val="16"/>
          <w:color w:val="auto"/>
        </w:rPr>
        <w:t xml:space="preserve"> The Company, PMCULC, any other Subsidiary of the Company, the operations, properties or financial condition of which is significant to the Company as of the most recently ended fiscal quarter of the Company, PAA, any other Significant Restricted Person (as such term is defined in the PAA Credit Agreement), Plains All American GP LLC, Plains AAP, L.P., PAA GP LLC or the General Partner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any Collateral 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38" w:lineRule="exact"/>
        <w:rPr>
          <w:rFonts w:ascii="Arial" w:cs="Arial" w:eastAsia="Arial" w:hAnsi="Arial"/>
          <w:sz w:val="16"/>
          <w:szCs w:val="16"/>
          <w:color w:val="auto"/>
        </w:rPr>
      </w:pPr>
    </w:p>
    <w:p>
      <w:pPr>
        <w:jc w:val="both"/>
        <w:ind w:right="20" w:firstLine="464"/>
        <w:spacing w:after="0" w:line="256" w:lineRule="auto"/>
        <w:tabs>
          <w:tab w:leader="none" w:pos="705"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Inability to Pay Debts; Attachment</w:t>
      </w:r>
      <w:r>
        <w:rPr>
          <w:rFonts w:ascii="Arial" w:cs="Arial" w:eastAsia="Arial" w:hAnsi="Arial"/>
          <w:sz w:val="18"/>
          <w:szCs w:val="18"/>
          <w:color w:val="auto"/>
        </w:rPr>
        <w:t>. (i) Any Borrower or PAA becomes unable or admits in writing its inability or fails generally to pay its debts as they become due, or (ii) any writ or warrant of attachment or execution or similar process is issued or levied against all or any material part of the property of any such Person and is not stayed, released, vacated or fully bonded within 60 days (or such longer period for which a stay of enforcement is allowed by applicable Law) after its issue or levy; or</w:t>
      </w:r>
    </w:p>
    <w:p>
      <w:pPr>
        <w:spacing w:after="0" w:line="62" w:lineRule="exact"/>
        <w:rPr>
          <w:rFonts w:ascii="Arial" w:cs="Arial" w:eastAsia="Arial" w:hAnsi="Arial"/>
          <w:sz w:val="18"/>
          <w:szCs w:val="18"/>
          <w:color w:val="auto"/>
        </w:rPr>
      </w:pPr>
    </w:p>
    <w:p>
      <w:pPr>
        <w:ind w:right="240" w:firstLine="464"/>
        <w:spacing w:after="0" w:line="303" w:lineRule="auto"/>
        <w:tabs>
          <w:tab w:leader="none" w:pos="705" w:val="left"/>
        </w:tabs>
        <w:numPr>
          <w:ilvl w:val="1"/>
          <w:numId w:val="128"/>
        </w:numPr>
        <w:rPr>
          <w:rFonts w:ascii="Arial" w:cs="Arial" w:eastAsia="Arial" w:hAnsi="Arial"/>
          <w:sz w:val="15"/>
          <w:szCs w:val="15"/>
          <w:color w:val="auto"/>
        </w:rPr>
      </w:pPr>
      <w:r>
        <w:rPr>
          <w:rFonts w:ascii="Arial" w:cs="Arial" w:eastAsia="Arial" w:hAnsi="Arial"/>
          <w:sz w:val="15"/>
          <w:szCs w:val="15"/>
          <w:u w:val="single" w:color="auto"/>
          <w:color w:val="auto"/>
        </w:rPr>
        <w:t>Judgments</w:t>
      </w:r>
      <w:r>
        <w:rPr>
          <w:rFonts w:ascii="Arial" w:cs="Arial" w:eastAsia="Arial" w:hAnsi="Arial"/>
          <w:sz w:val="15"/>
          <w:szCs w:val="15"/>
          <w:color w:val="auto"/>
        </w:rPr>
        <w:t>. There is entered against any Borrower a final judgment for the payment of money in an aggregate amount (as to all such judgments or orders) the Dollar Equivalent of which exceeds the Threshold Amount (to the extent not covered by independent third-party insurance as to which such insurer has not disputed coverage, or self-insurance reasonably acceptable to the Administrative Agent) at any one time outstanding and prior to the discharge thereof,</w:t>
      </w:r>
    </w:p>
    <w:p>
      <w:pPr>
        <w:spacing w:after="0" w:line="1" w:lineRule="exact"/>
        <w:rPr>
          <w:rFonts w:ascii="Arial" w:cs="Arial" w:eastAsia="Arial" w:hAnsi="Arial"/>
          <w:sz w:val="15"/>
          <w:szCs w:val="15"/>
          <w:color w:val="auto"/>
        </w:rPr>
      </w:pPr>
    </w:p>
    <w:p>
      <w:pPr>
        <w:ind w:right="160" w:firstLine="8"/>
        <w:spacing w:after="0" w:line="323" w:lineRule="auto"/>
        <w:tabs>
          <w:tab w:leader="none" w:pos="21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enforcement proceedings are lawfully commenced by any creditor upon such judgment, or (ii) there is a period of 30 consecutive days after the entry of such judgment during which a discharge, stay of enforcement of such judgment, by reason of a pending appeal or otherwise, is not in effect; 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280" w:right="259" w:bottom="1440" w:gutter="0" w:footer="0" w:header="0"/>
        </w:sectPr>
      </w:pPr>
    </w:p>
    <w:bookmarkStart w:id="127" w:name="page128"/>
    <w:bookmarkEnd w:id="127"/>
    <w:p>
      <w:pPr>
        <w:ind w:right="160" w:firstLine="464"/>
        <w:spacing w:after="0" w:line="298" w:lineRule="auto"/>
        <w:tabs>
          <w:tab w:leader="none" w:pos="666"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ERISA</w:t>
      </w:r>
      <w:r>
        <w:rPr>
          <w:rFonts w:ascii="Arial" w:cs="Arial" w:eastAsia="Arial" w:hAnsi="Arial"/>
          <w:sz w:val="16"/>
          <w:szCs w:val="16"/>
          <w:color w:val="auto"/>
        </w:rPr>
        <w:t>. (i) An ERISA Event occurs with respect to a Pension Plan or Multiemployer Plan which has resulted or could reasonably be expected to result in liability of the Company under Title IV of ERISA to the Pension Plan, Multiemployer Plan or the PBGC in an aggregate amount in excess of the Threshold Amount, or (ii) the Company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31" w:lineRule="exact"/>
        <w:rPr>
          <w:rFonts w:ascii="Arial" w:cs="Arial" w:eastAsia="Arial" w:hAnsi="Arial"/>
          <w:sz w:val="16"/>
          <w:szCs w:val="16"/>
          <w:color w:val="auto"/>
        </w:rPr>
      </w:pPr>
    </w:p>
    <w:p>
      <w:pPr>
        <w:jc w:val="both"/>
        <w:ind w:right="100" w:firstLine="464"/>
        <w:spacing w:after="0" w:line="256" w:lineRule="auto"/>
        <w:tabs>
          <w:tab w:leader="none" w:pos="666"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Invalidity of Loan Documents</w:t>
      </w:r>
      <w:r>
        <w:rPr>
          <w:rFonts w:ascii="Arial" w:cs="Arial" w:eastAsia="Arial" w:hAnsi="Arial"/>
          <w:sz w:val="18"/>
          <w:szCs w:val="18"/>
          <w:color w:val="auto"/>
        </w:rPr>
        <w:t>. Any Loan Document, at any time after its execution and delivery and for any reason other than as expressly permitted hereunder or thereunder or satisfaction in full of all the payment Obligations, ceases to be in full force and effect; or any Loan Party contests in any manner the validity or enforceability of any Loan Document; or any Loan Party denies that it has any or further liability or obligation under any Loan Document, or purports to revoke, terminate or rescind any Loan Document; or</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 or</w:t>
      </w:r>
    </w:p>
    <w:p>
      <w:pPr>
        <w:spacing w:after="0" w:line="90" w:lineRule="exact"/>
        <w:rPr>
          <w:rFonts w:ascii="Arial" w:cs="Arial" w:eastAsia="Arial" w:hAnsi="Arial"/>
          <w:sz w:val="18"/>
          <w:szCs w:val="18"/>
          <w:color w:val="auto"/>
        </w:rPr>
      </w:pPr>
    </w:p>
    <w:p>
      <w:pPr>
        <w:ind w:right="40" w:firstLine="464"/>
        <w:spacing w:after="0" w:line="259" w:lineRule="auto"/>
        <w:tabs>
          <w:tab w:leader="none" w:pos="666"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Any Collateral Document after delivery thereof pursuant to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shall for any reason (other than pursuant to the terms hereof or thereof) cease to create a valid and perfected first priority Lien (subject to Liens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 on the Collateral purported to be covered thereby; or</w:t>
      </w:r>
    </w:p>
    <w:p>
      <w:pPr>
        <w:spacing w:after="0" w:line="59" w:lineRule="exact"/>
        <w:rPr>
          <w:rFonts w:ascii="Arial" w:cs="Arial" w:eastAsia="Arial" w:hAnsi="Arial"/>
          <w:sz w:val="18"/>
          <w:szCs w:val="18"/>
          <w:color w:val="auto"/>
        </w:rPr>
      </w:pPr>
    </w:p>
    <w:p>
      <w:pPr>
        <w:ind w:left="760" w:hanging="296"/>
        <w:spacing w:after="0"/>
        <w:tabs>
          <w:tab w:leader="none" w:pos="7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PAA Event of Default</w:t>
      </w:r>
      <w:r>
        <w:rPr>
          <w:rFonts w:ascii="Arial" w:cs="Arial" w:eastAsia="Arial" w:hAnsi="Arial"/>
          <w:sz w:val="18"/>
          <w:szCs w:val="18"/>
          <w:color w:val="auto"/>
        </w:rPr>
        <w:t>. Any “Event of Default” shall occur, as such term is defined in the PAA Credit Agreement.</w:t>
      </w:r>
    </w:p>
    <w:p>
      <w:pPr>
        <w:spacing w:after="0" w:line="165"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8.02 Remedies Upon Event of Default. </w:t>
      </w:r>
      <w:r>
        <w:rPr>
          <w:rFonts w:ascii="Arial" w:cs="Arial" w:eastAsia="Arial" w:hAnsi="Arial"/>
          <w:sz w:val="18"/>
          <w:szCs w:val="18"/>
          <w:color w:val="auto"/>
        </w:rPr>
        <w:t>If any Event of Default occurs and is continuing, the Administrative Agent shall, at the request of, or may,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of, the Required Lenders, take any or all of the following actions:</w:t>
      </w:r>
    </w:p>
    <w:p>
      <w:pPr>
        <w:spacing w:after="0" w:line="45" w:lineRule="exact"/>
        <w:rPr>
          <w:sz w:val="20"/>
          <w:szCs w:val="20"/>
          <w:color w:val="auto"/>
        </w:rPr>
      </w:pPr>
    </w:p>
    <w:p>
      <w:pPr>
        <w:ind w:right="680" w:firstLine="464"/>
        <w:spacing w:after="0" w:line="332" w:lineRule="auto"/>
        <w:tabs>
          <w:tab w:leader="none" w:pos="69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declare the commitment of each Lender to make Loans and any obligation of the L/C Issuer to make L/C Credit Extensions to be terminated or suspended (as the case may be), whereupon such commitments and obligation shall be terminated or suspended (as the case may be);</w:t>
      </w:r>
    </w:p>
    <w:p>
      <w:pPr>
        <w:spacing w:after="0" w:line="4" w:lineRule="exact"/>
        <w:rPr>
          <w:rFonts w:ascii="Arial" w:cs="Arial" w:eastAsia="Arial" w:hAnsi="Arial"/>
          <w:sz w:val="16"/>
          <w:szCs w:val="16"/>
          <w:color w:val="auto"/>
        </w:rPr>
      </w:pPr>
    </w:p>
    <w:p>
      <w:pPr>
        <w:ind w:right="20" w:firstLine="464"/>
        <w:spacing w:after="0" w:line="259" w:lineRule="auto"/>
        <w:tabs>
          <w:tab w:leader="none" w:pos="70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59" w:lineRule="exact"/>
        <w:rPr>
          <w:rFonts w:ascii="Arial" w:cs="Arial" w:eastAsia="Arial" w:hAnsi="Arial"/>
          <w:sz w:val="18"/>
          <w:szCs w:val="18"/>
          <w:color w:val="auto"/>
        </w:rPr>
      </w:pPr>
    </w:p>
    <w:p>
      <w:pPr>
        <w:ind w:left="700" w:hanging="236"/>
        <w:spacing w:after="0"/>
        <w:tabs>
          <w:tab w:leader="none" w:pos="7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require that the Company Cash Collateralize the L/C Obligations and Canadian BA’s (in an amount equal to the then Outstanding Amount thereof); and</w:t>
      </w:r>
    </w:p>
    <w:p>
      <w:pPr>
        <w:spacing w:after="0" w:line="113" w:lineRule="exact"/>
        <w:rPr>
          <w:rFonts w:ascii="Arial" w:cs="Arial" w:eastAsia="Arial" w:hAnsi="Arial"/>
          <w:sz w:val="16"/>
          <w:szCs w:val="16"/>
          <w:color w:val="auto"/>
        </w:rPr>
      </w:pPr>
    </w:p>
    <w:p>
      <w:pPr>
        <w:ind w:right="600" w:firstLine="464"/>
        <w:spacing w:after="0" w:line="268" w:lineRule="auto"/>
        <w:tabs>
          <w:tab w:leader="none" w:pos="70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exercise on behalf of itself, the Lenders and the L/C Issuer all rights and remedies available to it, the Lenders and the L/C Issuer under the Loan Documents;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80" w:right="239" w:bottom="1440" w:gutter="0" w:footer="0" w:header="0"/>
        </w:sectPr>
      </w:pPr>
    </w:p>
    <w:bookmarkStart w:id="128" w:name="page129"/>
    <w:bookmarkEnd w:id="128"/>
    <w:p>
      <w:pPr>
        <w:spacing w:after="0" w:line="294"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upon the occurrence of an actual or deemed entry of an order for relief with respect to any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that have accrued and are owing as aforesaid shall automatically become due and payable, and the obligation of the Company to Cash Collateralize the L/C Obligations and Canadian BA’s as aforesaid shall automatically become effective, in each case without further act of the Administrative Agent or any Lender.</w:t>
      </w:r>
    </w:p>
    <w:p>
      <w:pPr>
        <w:spacing w:after="0" w:line="110"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8.03 Application of Funds. </w:t>
      </w:r>
      <w:r>
        <w:rPr>
          <w:rFonts w:ascii="Arial" w:cs="Arial" w:eastAsia="Arial" w:hAnsi="Arial"/>
          <w:sz w:val="18"/>
          <w:szCs w:val="18"/>
          <w:color w:val="auto"/>
        </w:rPr>
        <w:t>After the exercise of remedies provided for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8.02</w:t>
      </w:r>
      <w:r>
        <w:rPr>
          <w:rFonts w:ascii="Arial" w:cs="Arial" w:eastAsia="Arial" w:hAnsi="Arial"/>
          <w:sz w:val="18"/>
          <w:szCs w:val="18"/>
          <w:b w:val="1"/>
          <w:bCs w:val="1"/>
          <w:color w:val="auto"/>
        </w:rPr>
        <w:t xml:space="preserve"> </w:t>
      </w:r>
      <w:r>
        <w:rPr>
          <w:rFonts w:ascii="Arial" w:cs="Arial" w:eastAsia="Arial" w:hAnsi="Arial"/>
          <w:sz w:val="18"/>
          <w:szCs w:val="18"/>
          <w:color w:val="auto"/>
        </w:rPr>
        <w:t>(or after the Loans have automatically become immediately due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payable and the L/C Obligations and Canadian BA’s have automatically been required to be Cash Collateralized as set forth in the proviso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any amounts received on account of the Obligations shall, subject to the provisions of </w:t>
      </w:r>
      <w:r>
        <w:rPr>
          <w:rFonts w:ascii="Arial" w:cs="Arial" w:eastAsia="Arial" w:hAnsi="Arial"/>
          <w:sz w:val="18"/>
          <w:szCs w:val="18"/>
          <w:u w:val="single" w:color="auto"/>
          <w:color w:val="auto"/>
        </w:rPr>
        <w:t>Sections 2.16 and 2.17</w:t>
      </w:r>
      <w:r>
        <w:rPr>
          <w:rFonts w:ascii="Arial" w:cs="Arial" w:eastAsia="Arial" w:hAnsi="Arial"/>
          <w:sz w:val="18"/>
          <w:szCs w:val="18"/>
          <w:color w:val="auto"/>
        </w:rPr>
        <w:t>, be applied by the Administrative Agent in the following order:</w:t>
      </w:r>
    </w:p>
    <w:p>
      <w:pPr>
        <w:spacing w:after="0" w:line="14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payable to the Administrative Agent in its capacity as such;</w:t>
      </w:r>
    </w:p>
    <w:p>
      <w:pPr>
        <w:spacing w:after="0" w:line="8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payment of that portion of the Obligations constituting fees, indemnities and other amounts (other than principal, interest and Letter of Credit Fees) payable to the Lenders and the L/C Issuer (including fees, charges and disbursements of counsel to the respective Lenders and the L/C Issuer (including fees and time charges for attorneys who may be employees of any Lender or the L/C Issuer)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ratably among them in proportion to the respective amounts described in this clause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payable to them;</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payment of that portion of the Obligations constituting accrued and unpaid Letter of Credit Fees and interest on the Loans, L/C Borrowings and other Obligations, ratably among the Lenders and the L/C Issuer in proportion to the respective amounts described in this clause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payable to them;</w:t>
      </w:r>
    </w:p>
    <w:p>
      <w:pPr>
        <w:spacing w:after="0" w:line="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Obligations constituting unpaid principal of the Loans and L/C Borrowings, ratably among the Lenders and the L/C Issuer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w:t>
      </w:r>
    </w:p>
    <w:p>
      <w:pPr>
        <w:spacing w:after="0" w:line="132"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u w:val="single" w:color="auto"/>
          <w:color w:val="auto"/>
        </w:rPr>
        <w:t>Fifth</w:t>
      </w:r>
      <w:r>
        <w:rPr>
          <w:rFonts w:ascii="Arial" w:cs="Arial" w:eastAsia="Arial" w:hAnsi="Arial"/>
          <w:sz w:val="15"/>
          <w:szCs w:val="15"/>
          <w:color w:val="auto"/>
        </w:rPr>
        <w:t xml:space="preserve">, to the Administrative Agent for the account of the L/C Issuer, to Cash Collateralize that portion of L/C Obligations comprised of the aggregate undrawn amount of Letters of Credit and Canadian BA’s to the extent not otherwise Cash Collateralized by the Company pursuant to </w:t>
      </w:r>
      <w:r>
        <w:rPr>
          <w:rFonts w:ascii="Arial" w:cs="Arial" w:eastAsia="Arial" w:hAnsi="Arial"/>
          <w:sz w:val="15"/>
          <w:szCs w:val="15"/>
          <w:u w:val="single" w:color="auto"/>
          <w:color w:val="auto"/>
        </w:rPr>
        <w:t>Sections 2.03 and 2.16</w:t>
      </w:r>
      <w:r>
        <w:rPr>
          <w:rFonts w:ascii="Arial" w:cs="Arial" w:eastAsia="Arial" w:hAnsi="Arial"/>
          <w:sz w:val="15"/>
          <w:szCs w:val="15"/>
          <w:color w:val="auto"/>
        </w:rPr>
        <w:t>; and</w:t>
      </w:r>
    </w:p>
    <w:p>
      <w:pPr>
        <w:spacing w:after="0" w:line="62" w:lineRule="exact"/>
        <w:rPr>
          <w:sz w:val="20"/>
          <w:szCs w:val="20"/>
          <w:color w:val="auto"/>
        </w:rPr>
      </w:pPr>
    </w:p>
    <w:p>
      <w:pPr>
        <w:jc w:val="center"/>
        <w:ind w:right="160"/>
        <w:spacing w:after="0" w:line="440" w:lineRule="auto"/>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payment Obligations have been indefeasibly paid in full, to the Company or as otherwise required by Law. 87</w:t>
      </w:r>
    </w:p>
    <w:p>
      <w:pPr>
        <w:sectPr>
          <w:pgSz w:w="11900" w:h="16838" w:orient="portrait"/>
          <w:cols w:equalWidth="0" w:num="1">
            <w:col w:w="11360"/>
          </w:cols>
          <w:pgMar w:left="240" w:top="280" w:right="299" w:bottom="1440" w:gutter="0" w:footer="0" w:header="0"/>
        </w:sectPr>
      </w:pPr>
    </w:p>
    <w:bookmarkStart w:id="129" w:name="page130"/>
    <w:bookmarkEnd w:id="129"/>
    <w:p>
      <w:pPr>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Subject to </w:t>
      </w:r>
      <w:r>
        <w:rPr>
          <w:rFonts w:ascii="Arial" w:cs="Arial" w:eastAsia="Arial" w:hAnsi="Arial"/>
          <w:sz w:val="16"/>
          <w:szCs w:val="16"/>
          <w:u w:val="single" w:color="auto"/>
          <w:color w:val="auto"/>
        </w:rPr>
        <w:t>Sections 2.03(c) and 2.16</w:t>
      </w:r>
      <w:r>
        <w:rPr>
          <w:rFonts w:ascii="Arial" w:cs="Arial" w:eastAsia="Arial" w:hAnsi="Arial"/>
          <w:sz w:val="16"/>
          <w:szCs w:val="16"/>
          <w:color w:val="auto"/>
        </w:rPr>
        <w:t xml:space="preserve">, amounts used to Cash Collateralize the aggregate undrawn amount of Letters of Credit pursuant to clause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payment Obligations, if any, in the order set forth above.</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 ADMINISTRATIVE AGENT</w:t>
      </w:r>
    </w:p>
    <w:p>
      <w:pPr>
        <w:spacing w:after="0" w:line="171"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9.01 Appointment and Authority. </w:t>
      </w:r>
      <w:r>
        <w:rPr>
          <w:rFonts w:ascii="Arial" w:cs="Arial" w:eastAsia="Arial" w:hAnsi="Arial"/>
          <w:sz w:val="16"/>
          <w:szCs w:val="16"/>
          <w:color w:val="auto"/>
        </w:rPr>
        <w:t>(a) Each of the Lenders and the L/C Issuer hereby irrevocably appoints Bank of America to act on its behalf as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no Borrower shall have rights as a third party beneficiary of any of such provisions (other than the right to reasonably approve a successor Administrative Agent pursuant to </w:t>
      </w:r>
      <w:r>
        <w:rPr>
          <w:rFonts w:ascii="Arial" w:cs="Arial" w:eastAsia="Arial" w:hAnsi="Arial"/>
          <w:sz w:val="16"/>
          <w:szCs w:val="16"/>
          <w:u w:val="single" w:color="auto"/>
          <w:color w:val="auto"/>
        </w:rPr>
        <w:t>Section 9.06</w:t>
      </w:r>
      <w:r>
        <w:rPr>
          <w:rFonts w:ascii="Arial" w:cs="Arial" w:eastAsia="Arial" w:hAnsi="Arial"/>
          <w:sz w:val="16"/>
          <w:szCs w:val="16"/>
          <w:color w:val="auto"/>
        </w:rPr>
        <w:t>).</w:t>
      </w:r>
    </w:p>
    <w:p>
      <w:pPr>
        <w:spacing w:after="0" w:line="114" w:lineRule="exact"/>
        <w:rPr>
          <w:sz w:val="20"/>
          <w:szCs w:val="20"/>
          <w:color w:val="auto"/>
        </w:rPr>
      </w:pPr>
    </w:p>
    <w:p>
      <w:pPr>
        <w:ind w:right="180" w:firstLine="464"/>
        <w:spacing w:after="0" w:line="289" w:lineRule="auto"/>
        <w:tabs>
          <w:tab w:leader="none" w:pos="70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Administrative Agent shall also act as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xml:space="preserve">” under the Loan Documents, and each of the Lenders and the L/C Issuer hereby irrevocably appoints and authorizes the Administrative Agent to act as the agent of such Lender and the L/C Issuer for purposes of acquiring, holding and enforcing any and all Liens on Collateral granted by any Borrower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Section 11.04(c)</w:t>
      </w:r>
      <w:r>
        <w:rPr>
          <w:rFonts w:ascii="Arial" w:cs="Arial" w:eastAsia="Arial" w:hAnsi="Arial"/>
          <w:sz w:val="16"/>
          <w:szCs w:val="16"/>
          <w:color w:val="auto"/>
        </w:rPr>
        <w:t>, as though such co-agents, sub-agents and attorneys-in-fact were the “collateral agent” under the Loan Documents) as if set forth in full herein with respect thereto.</w:t>
      </w:r>
    </w:p>
    <w:p>
      <w:pPr>
        <w:spacing w:after="0" w:line="11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9.02 Rights as a Lender. </w:t>
      </w:r>
      <w:r>
        <w:rPr>
          <w:rFonts w:ascii="Arial" w:cs="Arial" w:eastAsia="Arial" w:hAnsi="Arial"/>
          <w:sz w:val="18"/>
          <w:szCs w:val="18"/>
          <w:color w:val="auto"/>
        </w:rPr>
        <w:t>The Person serving as the Administrative Agent hereunder shall have the same rights and powers in its capacity as a Lender as</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any Borrower or any Subsidiary or other Affiliate thereof as if such Person were not the Administrative Agent hereunder and without any duty to account therefor to the Lenders.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9.03 Exculpatory Provisions. </w:t>
      </w:r>
      <w:r>
        <w:rPr>
          <w:rFonts w:ascii="Arial" w:cs="Arial" w:eastAsia="Arial" w:hAnsi="Arial"/>
          <w:sz w:val="16"/>
          <w:szCs w:val="16"/>
          <w:color w:val="auto"/>
        </w:rPr>
        <w:t>The Administrative Agent shall not have any duties or obligations except those expressly set forth herein and in the other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Loan Documents. Without limiting the generality of the foregoing, the Administrative Agent:</w:t>
      </w:r>
    </w:p>
    <w:p>
      <w:pPr>
        <w:spacing w:after="0" w:line="84" w:lineRule="exact"/>
        <w:rPr>
          <w:sz w:val="20"/>
          <w:szCs w:val="20"/>
          <w:color w:val="auto"/>
        </w:rPr>
      </w:pPr>
    </w:p>
    <w:p>
      <w:pPr>
        <w:ind w:left="5620" w:right="1560" w:hanging="4717"/>
        <w:spacing w:after="0" w:line="440" w:lineRule="auto"/>
        <w:tabs>
          <w:tab w:leader="none" w:pos="113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 88</w:t>
      </w:r>
    </w:p>
    <w:p>
      <w:pPr>
        <w:sectPr>
          <w:pgSz w:w="11900" w:h="16838" w:orient="portrait"/>
          <w:cols w:equalWidth="0" w:num="1">
            <w:col w:w="11380"/>
          </w:cols>
          <w:pgMar w:left="240" w:top="280" w:right="279" w:bottom="1440" w:gutter="0" w:footer="0" w:header="0"/>
        </w:sectPr>
      </w:pPr>
    </w:p>
    <w:bookmarkStart w:id="130" w:name="page131"/>
    <w:bookmarkEnd w:id="130"/>
    <w:p>
      <w:pPr>
        <w:ind w:left="460" w:right="100" w:firstLine="443"/>
        <w:spacing w:after="0" w:line="294" w:lineRule="auto"/>
        <w:tabs>
          <w:tab w:leader="none" w:pos="1147" w:val="left"/>
        </w:tabs>
        <w:numPr>
          <w:ilvl w:val="0"/>
          <w:numId w:val="1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not be required to take any action that, in its opinion or the opinion of its counsel, may expose the Administrative Agent to liability or that is contrary to any Loan Document or applicable law; and</w:t>
      </w:r>
    </w:p>
    <w:p>
      <w:pPr>
        <w:spacing w:after="0" w:line="34" w:lineRule="exact"/>
        <w:rPr>
          <w:rFonts w:ascii="Arial" w:cs="Arial" w:eastAsia="Arial" w:hAnsi="Arial"/>
          <w:sz w:val="16"/>
          <w:szCs w:val="16"/>
          <w:color w:val="auto"/>
        </w:rPr>
      </w:pPr>
    </w:p>
    <w:p>
      <w:pPr>
        <w:jc w:val="both"/>
        <w:ind w:left="460" w:right="20" w:firstLine="443"/>
        <w:spacing w:after="0" w:line="259" w:lineRule="auto"/>
        <w:tabs>
          <w:tab w:leader="none" w:pos="113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any of the Borrowers or any of their respective Affiliates that is communicated to or obtained by the Person serving as the Administrative Agent or any of its Affiliates in any capacity.</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8"/>
          <w:szCs w:val="18"/>
          <w:u w:val="single" w:color="auto"/>
          <w:color w:val="auto"/>
        </w:rPr>
        <w:t>Sections 11.01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8.02</w:t>
      </w:r>
      <w:r>
        <w:rPr>
          <w:rFonts w:ascii="Arial" w:cs="Arial" w:eastAsia="Arial" w:hAnsi="Arial"/>
          <w:sz w:val="18"/>
          <w:szCs w:val="18"/>
          <w:color w:val="auto"/>
        </w:rPr>
        <w:t>) or (ii) in the absence of its own gross negligence or willful misconduct. The Administrative Agent shall be deemed not to have knowledge of any Default unless and until notice describing such Default is given to the Administrative Agent by the Company, a Lender or the L/C Issuer.</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sufficiency of any Collateral, or (vi) the satisfaction of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elsewhere herein, other than to confirm receipt of items expressly required to be delivered to the Administrative Agent.</w:t>
      </w:r>
    </w:p>
    <w:p>
      <w:pPr>
        <w:spacing w:after="0" w:line="11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9.04 Reliance by Administrative Agent. </w:t>
      </w:r>
      <w:r>
        <w:rPr>
          <w:rFonts w:ascii="Arial" w:cs="Arial" w:eastAsia="Arial" w:hAnsi="Arial"/>
          <w:sz w:val="16"/>
          <w:szCs w:val="16"/>
          <w:color w:val="auto"/>
        </w:rPr>
        <w:t>The Administrative Agent shall be entitled to rely upon, and shall not incur any liability for relying upon, any</w:t>
      </w:r>
      <w:r>
        <w:rPr>
          <w:rFonts w:ascii="Arial" w:cs="Arial" w:eastAsia="Arial" w:hAnsi="Arial"/>
          <w:sz w:val="16"/>
          <w:szCs w:val="16"/>
          <w:b w:val="1"/>
          <w:bCs w:val="1"/>
          <w:color w:val="auto"/>
        </w:rPr>
        <w:t xml:space="preserve"> </w:t>
      </w:r>
      <w:r>
        <w:rPr>
          <w:rFonts w:ascii="Arial" w:cs="Arial" w:eastAsia="Arial" w:hAnsi="Arial"/>
          <w:sz w:val="16"/>
          <w:szCs w:val="16"/>
          <w:color w:val="auto"/>
        </w:rPr>
        <w:t>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280" w:right="279" w:bottom="1440" w:gutter="0" w:footer="0" w:header="0"/>
        </w:sectPr>
      </w:pPr>
    </w:p>
    <w:bookmarkStart w:id="131" w:name="page132"/>
    <w:bookmarkEnd w:id="13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issuance of such Letter of Credit.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3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9.05 Delegation of Duties. </w:t>
      </w:r>
      <w:r>
        <w:rPr>
          <w:rFonts w:ascii="Arial" w:cs="Arial" w:eastAsia="Arial" w:hAnsi="Arial"/>
          <w:sz w:val="16"/>
          <w:szCs w:val="16"/>
          <w:color w:val="auto"/>
        </w:rPr>
        <w:t>The Administrative Agent may perform any and all of its duties and exercise its rights and powers hereunder or under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Loan Document by or through any one or more sub-agents appointed by the Administrative Agent. In furtherance but not in limitation of the foregoing, certain Canadian administrative operations and duties, including with respect to Borrowings by PMCULC and Canadian collateral, may be performed by Bank of America, N.A., Canada Branch, an affiliate of Administrative Agent, on behalf of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1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9.06 Resignation or Removal of Administrative Agent. </w:t>
      </w:r>
      <w:r>
        <w:rPr>
          <w:rFonts w:ascii="Arial" w:cs="Arial" w:eastAsia="Arial" w:hAnsi="Arial"/>
          <w:sz w:val="16"/>
          <w:szCs w:val="16"/>
          <w:color w:val="auto"/>
        </w:rPr>
        <w:t>(a) The Administrative Agent may at any time give notice of its resignation to the Lenders,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L/C Issuer and the Company, which notice shall set forth the proposed date of resignation, which shall be not less than 30 days after the date of such notice, during which time the Administrative Agent shall continue to act as the Administrative Agent hereunder, unless sooner replaced or removed in accordance with the provisions hereof. In addition, at any time the Person serving as Administrative Agent is a Defaulting Lender pursuant to clause (d) of the definition thereof, the Required Lenders may, to the extent permitted by applicable law, by notice in writing to the Company and such Person, remove such Person as Administrative Agent. Upon receipt of any such notice of resignation or issuance of notice of removal, the Required Lenders shall have the right to appoint a successor (subject to consultation with the Company, unless an Event of Default has occurred and is continuing),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the Required Lenders issue such notice of removal, then the retiring or removed Administrative Agent may on behalf of the Lenders and the L/C Issuer, appoint a successor Administrative Agent meeting the qualifications set forth above (subject to consultations with the Company, unless an Event of Default has occurred and is continuing);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shall notify the Company and the Lenders that no qualifying Person has accepted such appointment, then such resignation or removal shall nonetheless become effective in accordance with such notice and (1)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(2) all payments, communications and determinations provided to be made by, to or through the Administrative Agent shall instead be made by or to each Lender and the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or removed) Administrative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280" w:right="259" w:bottom="1440" w:gutter="0" w:footer="0" w:header="0"/>
        </w:sectPr>
      </w:pPr>
    </w:p>
    <w:bookmarkStart w:id="132" w:name="page133"/>
    <w:bookmarkEnd w:id="13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Agent, and the retiring or removed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Administrative Agent’s resignation or removal hereunder and under the other Loan Documents, the provisions of this Article and </w:t>
      </w:r>
      <w:r>
        <w:rPr>
          <w:rFonts w:ascii="Arial" w:cs="Arial" w:eastAsia="Arial" w:hAnsi="Arial"/>
          <w:sz w:val="16"/>
          <w:szCs w:val="16"/>
          <w:u w:val="single" w:color="auto"/>
          <w:color w:val="auto"/>
        </w:rPr>
        <w:t>Section 11.04</w:t>
      </w:r>
      <w:r>
        <w:rPr>
          <w:rFonts w:ascii="Arial" w:cs="Arial" w:eastAsia="Arial" w:hAnsi="Arial"/>
          <w:sz w:val="16"/>
          <w:szCs w:val="16"/>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120" w:lineRule="exact"/>
        <w:rPr>
          <w:sz w:val="20"/>
          <w:szCs w:val="20"/>
          <w:color w:val="auto"/>
        </w:rPr>
      </w:pPr>
    </w:p>
    <w:p>
      <w:pPr>
        <w:ind w:right="20" w:firstLine="464"/>
        <w:spacing w:after="0" w:line="290" w:lineRule="auto"/>
        <w:tabs>
          <w:tab w:leader="none" w:pos="70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Any resignation by, or removal of, Bank of America as Administrative Agent pursuant to this Section shall also constitute its resignation or removal as L/C Issuer and Swing Line Lender. Upon the acceptance of a successor’s appointment as Administrative Agent hereunder, (a) such successor may succeed to and become vested with all of the rights, powers, privileges and duties of the retiring or removed L/C Issuer and Swing Line Lender, (b) the retiring or removed L/C Issuer and Swing Line Lender shall be discharged from all of their respective duties and obligations hereunder or under the other Loan Documents, and (c) the successor L/C Issuer and Swing Line Lender shall issue letters of credit in substitution for or in support of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1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9.07 Non-Reliance on Administrative Agent and Other Lenders. </w:t>
      </w:r>
      <w:r>
        <w:rPr>
          <w:rFonts w:ascii="Arial" w:cs="Arial" w:eastAsia="Arial" w:hAnsi="Arial"/>
          <w:sz w:val="16"/>
          <w:szCs w:val="16"/>
          <w:color w:val="auto"/>
        </w:rPr>
        <w:t>Each Lender and the L/C Issuer acknowledges that it has, independently and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reliance upon the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11"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 xml:space="preserve">9.08 No Other Duties, Etc. </w:t>
      </w:r>
      <w:r>
        <w:rPr>
          <w:rFonts w:ascii="Arial" w:cs="Arial" w:eastAsia="Arial" w:hAnsi="Arial"/>
          <w:sz w:val="18"/>
          <w:szCs w:val="18"/>
          <w:color w:val="auto"/>
        </w:rPr>
        <w:t>Anything herein to the contrary notwithstanding, none of the Bookrunners, Arrangers or Syndication Agents shall have any</w:t>
      </w:r>
      <w:r>
        <w:rPr>
          <w:rFonts w:ascii="Arial" w:cs="Arial" w:eastAsia="Arial" w:hAnsi="Arial"/>
          <w:sz w:val="18"/>
          <w:szCs w:val="18"/>
          <w:b w:val="1"/>
          <w:bCs w:val="1"/>
          <w:color w:val="auto"/>
        </w:rPr>
        <w:t xml:space="preserve"> </w:t>
      </w:r>
      <w:r>
        <w:rPr>
          <w:rFonts w:ascii="Arial" w:cs="Arial" w:eastAsia="Arial" w:hAnsi="Arial"/>
          <w:sz w:val="18"/>
          <w:szCs w:val="18"/>
          <w:color w:val="auto"/>
        </w:rPr>
        <w:t>powers, duties or responsibilities under this Agreement or any of the other Loan Documents, except in its capacity, as applicable, as the Administrative Agent, a Lender or the L/C Issuer hereunder.</w:t>
      </w:r>
    </w:p>
    <w:p>
      <w:pPr>
        <w:spacing w:after="0" w:line="132"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 xml:space="preserve">9.09 Administrative Agent May File Proofs of Claim. </w:t>
      </w:r>
      <w:r>
        <w:rPr>
          <w:rFonts w:ascii="Arial" w:cs="Arial" w:eastAsia="Arial" w:hAnsi="Arial"/>
          <w:sz w:val="18"/>
          <w:szCs w:val="18"/>
          <w:color w:val="auto"/>
        </w:rPr>
        <w:t>In case of the pendency of any proceeding under any Debtor Relief Law or any other judicial</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280" w:right="299" w:bottom="1440" w:gutter="0" w:footer="0" w:header="0"/>
        </w:sectPr>
      </w:pPr>
    </w:p>
    <w:bookmarkStart w:id="133" w:name="page134"/>
    <w:bookmarkEnd w:id="133"/>
    <w:p>
      <w:pPr>
        <w:ind w:left="460" w:right="100" w:firstLine="443"/>
        <w:spacing w:after="0" w:line="294" w:lineRule="auto"/>
        <w:tabs>
          <w:tab w:leader="none" w:pos="1137" w:val="left"/>
        </w:tabs>
        <w:numPr>
          <w:ilvl w:val="0"/>
          <w:numId w:val="1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Arial" w:cs="Arial" w:eastAsia="Arial" w:hAnsi="Arial"/>
          <w:sz w:val="16"/>
          <w:szCs w:val="16"/>
          <w:u w:val="single" w:color="auto"/>
          <w:color w:val="auto"/>
        </w:rPr>
        <w:t>Sections 2.03(h)</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2.09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11.04</w:t>
      </w:r>
      <w:r>
        <w:rPr>
          <w:rFonts w:ascii="Arial" w:cs="Arial" w:eastAsia="Arial" w:hAnsi="Arial"/>
          <w:sz w:val="16"/>
          <w:szCs w:val="16"/>
          <w:color w:val="auto"/>
        </w:rPr>
        <w:t>) allowed in such judicial proceeding; and</w:t>
      </w:r>
    </w:p>
    <w:p>
      <w:pPr>
        <w:spacing w:after="0" w:line="34" w:lineRule="exact"/>
        <w:rPr>
          <w:rFonts w:ascii="Arial" w:cs="Arial" w:eastAsia="Arial" w:hAnsi="Arial"/>
          <w:sz w:val="16"/>
          <w:szCs w:val="16"/>
          <w:color w:val="auto"/>
        </w:rPr>
      </w:pPr>
    </w:p>
    <w:p>
      <w:pPr>
        <w:ind w:left="460" w:right="460" w:firstLine="443"/>
        <w:spacing w:after="0" w:line="268"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to collect and receive any monies or other property payable or deliverable on any such claims and to distribute the same in accordance with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1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xml:space="preserve">, in each case, in accordance with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14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in any such proceeding.</w:t>
      </w:r>
    </w:p>
    <w:p>
      <w:pPr>
        <w:spacing w:after="0" w:line="10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color w:val="auto"/>
        </w:rPr>
        <w:t xml:space="preserve">9.10 Collateral Matters. </w:t>
      </w:r>
      <w:r>
        <w:rPr>
          <w:rFonts w:ascii="Arial" w:cs="Arial" w:eastAsia="Arial" w:hAnsi="Arial"/>
          <w:sz w:val="16"/>
          <w:szCs w:val="16"/>
          <w:color w:val="auto"/>
        </w:rPr>
        <w:t>The Lenders and the L/C Issuer irrevocably authorize the Administrative Agent, at its option and in its discretion, to release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Lien on any property granted to or held by the Administrative Agent under any Loan Document (i) upon termination of the Aggregate Commitments and payment in full of all payment Obligations (other than contingent indemnification obligations) and the expiration or termination of all Letters of Credit (other than Letters of Credit as to which other arrangements satisfactory to the Administrative Agent and the L/C Issuer shall have been made), (ii) that is sold or to be sold as part of or in connection with any sale not prohibited hereunder or under any other Loan Document, or (iii) subject to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if approved, authorized or ratified in writing by the Required Lenders. Upon request by the Administrative Agent at any time, the Required Lenders will confirm in writing the Administrative Agent’s authority to release or subordinate its interest in particular types or items of property pursuant to this </w:t>
      </w: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In each case as specified in this </w:t>
      </w: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the Administrative Agent will, at the Company’s expense, execute and deliver to the Company such documents as the Company may reasonably request to evidence the release of such item of Collateral from the assignment and security interest granted under the Collateral Documents or to subordinate its interest in such item, in each case in accordance with the terms of the Loan Documents and this </w:t>
      </w:r>
      <w:r>
        <w:rPr>
          <w:rFonts w:ascii="Arial" w:cs="Arial" w:eastAsia="Arial" w:hAnsi="Arial"/>
          <w:sz w:val="16"/>
          <w:szCs w:val="16"/>
          <w:u w:val="single" w:color="auto"/>
          <w:color w:val="auto"/>
        </w:rPr>
        <w:t>Section 9.10</w:t>
      </w:r>
      <w:r>
        <w:rPr>
          <w:rFonts w:ascii="Arial" w:cs="Arial" w:eastAsia="Arial" w:hAnsi="Arial"/>
          <w:sz w:val="16"/>
          <w:szCs w:val="16"/>
          <w:color w:val="auto"/>
        </w:rPr>
        <w: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280" w:right="25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 CONTINUING GUARANTY</w:t>
      </w:r>
    </w:p>
    <w:p>
      <w:pPr>
        <w:spacing w:after="0" w:line="17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color w:val="auto"/>
        </w:rPr>
        <w:t xml:space="preserve">10.01 PAA Guaranty. </w:t>
      </w:r>
      <w:r>
        <w:rPr>
          <w:rFonts w:ascii="Arial" w:cs="Arial" w:eastAsia="Arial" w:hAnsi="Arial"/>
          <w:sz w:val="16"/>
          <w:szCs w:val="16"/>
          <w:color w:val="auto"/>
        </w:rPr>
        <w:t>PAA hereby absolutely and unconditionally guarantees, as a guaranty of payment and not merely as a guaranty of collection, prompt</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when due, whether at stated maturity, by required prepayment, upon acceleration, demand or otherwise, and at all times thereafter, of any and all of the payment Obligations, whether for principal, interest, premiums, fees, indemnities, damages, costs, expenses or otherwise, of each Borrower to the Lender Parties, and whether arising hereunder or under any other Loan Document (including all renewals, extensions, amendments, refinancings and other modifications thereof and all costs, attorneys’ fees and expenses incurred by the Lender Parties in connection with the collection or enforcement thereof). The Administrative Agent’s books and records showing the amount of the payment Obligations of each Borrower shall be admissible in evidence in any action or proceeding, and shall be binding upon PAA, and conclusive absent manifest error for the purpose of establishing the amount of the payment Obligations of each Borrower. This PAA Guaranty shall not be affected by the genuineness, validity, regularity or enforceability of the Obligations of any Borrower or any instrument or agreement evidencing any Obligations of any Borrower, or by the existence, validity, enforceability, perfection, non-perfection or extent of any collateral therefor, or by any fact or circumstance relating to the Obligations which might otherwise constitute a defense to the obligations of PAA under this PAA Guaranty, and PAA hereby irrevocably waives any defenses it may now have or hereafter acquire in any way relating to any or all of the foregoing.</w:t>
      </w:r>
    </w:p>
    <w:p>
      <w:pPr>
        <w:spacing w:after="0" w:line="11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5"/>
          <w:szCs w:val="15"/>
          <w:b w:val="1"/>
          <w:bCs w:val="1"/>
          <w:color w:val="auto"/>
        </w:rPr>
        <w:t xml:space="preserve">10.02 Rights of Lenders. </w:t>
      </w:r>
      <w:r>
        <w:rPr>
          <w:rFonts w:ascii="Arial" w:cs="Arial" w:eastAsia="Arial" w:hAnsi="Arial"/>
          <w:sz w:val="15"/>
          <w:szCs w:val="15"/>
          <w:color w:val="auto"/>
        </w:rPr>
        <w:t>PAA consents and agrees that the Lender Parties may, at any time and from time to time, without notice or demand, and without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affecting the enforceability or continuing effectiveness hereof, in each case, unless otherwise set forth herein, including in respect of </w:t>
      </w:r>
      <w:r>
        <w:rPr>
          <w:rFonts w:ascii="Arial" w:cs="Arial" w:eastAsia="Arial" w:hAnsi="Arial"/>
          <w:sz w:val="15"/>
          <w:szCs w:val="15"/>
          <w:u w:val="single" w:color="auto"/>
          <w:color w:val="auto"/>
        </w:rPr>
        <w:t>Section 11.01</w:t>
      </w:r>
      <w:r>
        <w:rPr>
          <w:rFonts w:ascii="Arial" w:cs="Arial" w:eastAsia="Arial" w:hAnsi="Arial"/>
          <w:sz w:val="15"/>
          <w:szCs w:val="15"/>
          <w:color w:val="auto"/>
        </w:rPr>
        <w:t>: (a) amend, extend, renew, compromise, discharge, accelerate or otherwise change the time for payment or the terms of the Obligations of any Borrower or any part thereof;</w:t>
      </w:r>
    </w:p>
    <w:p>
      <w:pPr>
        <w:spacing w:after="0" w:line="1" w:lineRule="exact"/>
        <w:rPr>
          <w:sz w:val="20"/>
          <w:szCs w:val="20"/>
          <w:color w:val="auto"/>
        </w:rPr>
      </w:pPr>
    </w:p>
    <w:p>
      <w:pPr>
        <w:ind w:right="40" w:firstLine="8"/>
        <w:spacing w:after="0" w:line="292" w:lineRule="auto"/>
        <w:tabs>
          <w:tab w:leader="none" w:pos="249"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take, hold, exchange, enforce, waive, release, fail to perfect, sell, or otherwise dispose of any security for the payment of this PAA Guaranty or any Obligations of any Borrower; (c) apply such security and direct the order or manner of sale thereof as the Administrative Agent, the L/C Issuer and the Lenders in their sole discretion may determine; and (d) release or substitute one or more of any endorsers or other guarantors of any of the Obligations of any Borrower. Without limiting the generality of the foregoing, PAA consents to the taking of, or failure to take, any action by the Lender Parties which might in any manner or to any extent vary the risks of PAA under this PAA Guaranty or which, but for this provision, might operate as a discharge of PAA.</w:t>
      </w:r>
    </w:p>
    <w:p>
      <w:pPr>
        <w:spacing w:after="0" w:line="11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10.03 Collateral Matters. </w:t>
      </w:r>
      <w:r>
        <w:rPr>
          <w:rFonts w:ascii="Arial" w:cs="Arial" w:eastAsia="Arial" w:hAnsi="Arial"/>
          <w:sz w:val="16"/>
          <w:szCs w:val="16"/>
          <w:color w:val="auto"/>
        </w:rPr>
        <w:t>PAA waives (a) any defense arising by reason of any disability or other defense of any Borrower or any other guarantor, or the</w:t>
      </w:r>
      <w:r>
        <w:rPr>
          <w:rFonts w:ascii="Arial" w:cs="Arial" w:eastAsia="Arial" w:hAnsi="Arial"/>
          <w:sz w:val="16"/>
          <w:szCs w:val="16"/>
          <w:b w:val="1"/>
          <w:bCs w:val="1"/>
          <w:color w:val="auto"/>
        </w:rPr>
        <w:t xml:space="preserve"> </w:t>
      </w:r>
      <w:r>
        <w:rPr>
          <w:rFonts w:ascii="Arial" w:cs="Arial" w:eastAsia="Arial" w:hAnsi="Arial"/>
          <w:sz w:val="16"/>
          <w:szCs w:val="16"/>
          <w:color w:val="auto"/>
        </w:rPr>
        <w:t>cessation from any cause whatsoever (including any act or omission of any Lender Party) of the liability of any Borrower; (b) any defense based on any claim that PAA’s obligations exceed or are more burdensome than those of any Borrower; (c) the benefit of any statute of limitations affecting PAA’s liability hereunder;</w:t>
      </w:r>
    </w:p>
    <w:p>
      <w:pPr>
        <w:spacing w:after="0" w:line="1" w:lineRule="exact"/>
        <w:rPr>
          <w:sz w:val="20"/>
          <w:szCs w:val="20"/>
          <w:color w:val="auto"/>
        </w:rPr>
      </w:pPr>
    </w:p>
    <w:p>
      <w:pPr>
        <w:ind w:left="260" w:hanging="252"/>
        <w:spacing w:after="0"/>
        <w:tabs>
          <w:tab w:leader="none" w:pos="2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any right to proceed against any Borrower, proceed against or exhaust any security for the Obligations of any Borrower, or pursue any other remedy in the</w:t>
      </w:r>
    </w:p>
    <w:p>
      <w:pPr>
        <w:spacing w:after="0" w:line="174"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93</w:t>
      </w:r>
    </w:p>
    <w:p>
      <w:pPr>
        <w:sectPr>
          <w:pgSz w:w="11900" w:h="16838" w:orient="portrait"/>
          <w:cols w:equalWidth="0" w:num="1">
            <w:col w:w="11420"/>
          </w:cols>
          <w:pgMar w:left="240" w:top="274" w:right="239" w:bottom="1440" w:gutter="0" w:footer="0" w:header="0"/>
        </w:sectPr>
      </w:pPr>
    </w:p>
    <w:bookmarkStart w:id="135" w:name="page136"/>
    <w:bookmarkEnd w:id="135"/>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any Lender Party whatsoever; (e) any benefit of and any right to participate in any security now or hereafter held by any Lender Party; and (f) to the fullest extent permitted by law, any and all other defenses or benefits that may be derived from or afforded by applicable law limiting the liability of or exonerating guarantors or sureties. PAA expressly waives all setoffs and counterclaims and all presentments, demands for payment or performance, notices of nonpayment or nonperformance, protests, notices of protest, notices of dishonor and all other notices or demands of any kind or nature whatsoever with respect to the Obligations of any Borrower, and all notices of acceptance of this PAA Guaranty or of the existence, creation or incurrence of new or additional Obligations of any Borrower.</w:t>
      </w:r>
    </w:p>
    <w:p>
      <w:pPr>
        <w:spacing w:after="0" w:line="138" w:lineRule="exact"/>
        <w:rPr>
          <w:sz w:val="20"/>
          <w:szCs w:val="20"/>
          <w:color w:val="auto"/>
        </w:rPr>
      </w:pPr>
    </w:p>
    <w:p>
      <w:pPr>
        <w:ind w:right="400" w:firstLine="456"/>
        <w:spacing w:after="0" w:line="262" w:lineRule="auto"/>
        <w:rPr>
          <w:sz w:val="20"/>
          <w:szCs w:val="20"/>
          <w:color w:val="auto"/>
        </w:rPr>
      </w:pPr>
      <w:r>
        <w:rPr>
          <w:rFonts w:ascii="Arial" w:cs="Arial" w:eastAsia="Arial" w:hAnsi="Arial"/>
          <w:sz w:val="18"/>
          <w:szCs w:val="18"/>
          <w:b w:val="1"/>
          <w:bCs w:val="1"/>
          <w:color w:val="auto"/>
        </w:rPr>
        <w:t xml:space="preserve">10.04 Obligations Independent. </w:t>
      </w:r>
      <w:r>
        <w:rPr>
          <w:rFonts w:ascii="Arial" w:cs="Arial" w:eastAsia="Arial" w:hAnsi="Arial"/>
          <w:sz w:val="18"/>
          <w:szCs w:val="18"/>
          <w:color w:val="auto"/>
        </w:rPr>
        <w:t>The obligations of PAA hereunder are those of primary obligor, and not merely as surety, and are independent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of each Borrower and the obligations of any other guarantor, and a separate action may be brought against PAA to enforce this PAA Guaranty whether or not any Borrower or any other person or entity is joined as a party.</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 xml:space="preserve">10.05 Subrogation. </w:t>
      </w:r>
      <w:r>
        <w:rPr>
          <w:rFonts w:ascii="Arial" w:cs="Arial" w:eastAsia="Arial" w:hAnsi="Arial"/>
          <w:sz w:val="18"/>
          <w:szCs w:val="18"/>
          <w:color w:val="auto"/>
        </w:rPr>
        <w:t>PAA shall not exercise any right of subrogation, contribution, indemnity, reimbursement or similar rights with respect to any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it makes under this PAA Guaranty until all of the Obligations of the Borrowers and any amounts payable under this PAA Guaranty have been indefeasibly paid in full and the Commitments are terminated. If any amounts are paid to PAA in violation of the foregoing limitation, then such amounts shall be held in trust for the benefit of the Lender Parties and shall forthwith be paid to the Lender Parties to reduce the amount of the Obligations of the Borrowers, whether matured or unmatured.</w:t>
      </w:r>
    </w:p>
    <w:p>
      <w:pPr>
        <w:spacing w:after="0" w:line="13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10.06 Termination; Reinstatement. </w:t>
      </w:r>
      <w:r>
        <w:rPr>
          <w:rFonts w:ascii="Arial" w:cs="Arial" w:eastAsia="Arial" w:hAnsi="Arial"/>
          <w:sz w:val="16"/>
          <w:szCs w:val="16"/>
          <w:color w:val="auto"/>
        </w:rPr>
        <w:t>This PAA Guaranty is a continuing and irrevocable guaranty of all payment Obligations of each Borrower now or</w:t>
      </w:r>
      <w:r>
        <w:rPr>
          <w:rFonts w:ascii="Arial" w:cs="Arial" w:eastAsia="Arial" w:hAnsi="Arial"/>
          <w:sz w:val="16"/>
          <w:szCs w:val="16"/>
          <w:b w:val="1"/>
          <w:bCs w:val="1"/>
          <w:color w:val="auto"/>
        </w:rPr>
        <w:t xml:space="preserve"> </w:t>
      </w:r>
      <w:r>
        <w:rPr>
          <w:rFonts w:ascii="Arial" w:cs="Arial" w:eastAsia="Arial" w:hAnsi="Arial"/>
          <w:sz w:val="16"/>
          <w:szCs w:val="16"/>
          <w:color w:val="auto"/>
        </w:rPr>
        <w:t>hereafter existing and shall remain in full force and effect until all payment Obligations of each Borrower are indefeasibly paid in full in cash and the Commitments with respect to each Borrower are terminated. Notwithstanding the foregoing, this PAA Guaranty shall continue in full force and effect or be revived, as the case may be, if any payment by or on behalf of any Borrower or PAA is made, or any of the Lender Parties exercises its right of setoff, in respect of the payment Obligations of any Borrower and such payment or the proceeds of such setoff or any part thereof is subsequently invalidated, declared to be fraudulent or preferential, set aside or required (including pursuant to any settlement entered into by any of the Lender Parties in their discretion) to be repaid to a trustee, receiver or any other party, in connection with any proceeding under any Debtor Relief Laws or otherwise, all as if such payment had not been made or such setoff had not occurred and whether or not the Lender Parties are in possession of or have released this PAA Guaranty and regardless of any prior revocation, rescission, termination or reduction. The obligations of PAA under this paragraph shall survive termination of this PAA Guaranty.</w:t>
      </w:r>
    </w:p>
    <w:p>
      <w:pPr>
        <w:spacing w:after="0" w:line="113"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10.07 Subordination. </w:t>
      </w:r>
      <w:r>
        <w:rPr>
          <w:rFonts w:ascii="Arial" w:cs="Arial" w:eastAsia="Arial" w:hAnsi="Arial"/>
          <w:sz w:val="18"/>
          <w:szCs w:val="18"/>
          <w:color w:val="auto"/>
        </w:rPr>
        <w:t>PAA agrees that, upon the occurrence and during the continuation of an Event of Default, the payment of all Indebtedness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owing to PAA, whether now existing or hereafter arising, including but not limited to any obligation of any Borrower to PAA as subrogee of the Lender Parties or resulting from PAA’s performance under this PAA Guaranty, shall be subordinated to the indefeasible payment in full in cash of all payment Obligations of the Borrowers. Upon the occurrence and during the continuation of an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280" w:right="239" w:bottom="1440" w:gutter="0" w:footer="0" w:header="0"/>
        </w:sectPr>
      </w:pPr>
    </w:p>
    <w:bookmarkStart w:id="136" w:name="page137"/>
    <w:bookmarkEnd w:id="136"/>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Event of Default, any such obligation or indebtedness of any Borrower to PAA shall be enforced and performance received by PAA as trustee for the Lender Parties and, upon the written request of the Required Lenders, the proceeds thereof shall be paid over to the Administrative Agent, for the benefit of the Lender Parties, on account of the payment Obligations of the Borrowers, to be applied in accordance with </w:t>
      </w:r>
      <w:r>
        <w:rPr>
          <w:rFonts w:ascii="Arial" w:cs="Arial" w:eastAsia="Arial" w:hAnsi="Arial"/>
          <w:sz w:val="18"/>
          <w:szCs w:val="18"/>
          <w:u w:val="single" w:color="auto"/>
          <w:color w:val="auto"/>
        </w:rPr>
        <w:t>Section 8.03</w:t>
      </w:r>
      <w:r>
        <w:rPr>
          <w:rFonts w:ascii="Arial" w:cs="Arial" w:eastAsia="Arial" w:hAnsi="Arial"/>
          <w:sz w:val="18"/>
          <w:szCs w:val="18"/>
          <w:color w:val="auto"/>
        </w:rPr>
        <w:t>, but without reducing or affecting in any manner the liability of PAA under this PAA Guaranty.</w:t>
      </w:r>
    </w:p>
    <w:p>
      <w:pPr>
        <w:spacing w:after="0" w:line="137"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10.08 Stay of Acceleration. </w:t>
      </w:r>
      <w:r>
        <w:rPr>
          <w:rFonts w:ascii="Arial" w:cs="Arial" w:eastAsia="Arial" w:hAnsi="Arial"/>
          <w:sz w:val="18"/>
          <w:szCs w:val="18"/>
          <w:color w:val="auto"/>
        </w:rPr>
        <w:t>If acceleration of the time for payment of any of the Obligations of any Borrower is stayed, in connection with any case</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commenced by or against PAA or any Borrower under any Debtor Relief Laws, or otherwise, all such amounts shall nonetheless be payable by PAA upon demand by the Lender Parties.</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color w:val="auto"/>
        </w:rPr>
        <w:t xml:space="preserve">10.09 Condition of Borrowers. </w:t>
      </w:r>
      <w:r>
        <w:rPr>
          <w:rFonts w:ascii="Arial" w:cs="Arial" w:eastAsia="Arial" w:hAnsi="Arial"/>
          <w:sz w:val="18"/>
          <w:szCs w:val="18"/>
          <w:color w:val="auto"/>
        </w:rPr>
        <w:t>PAA acknowledges and agrees that it has the sole responsibility for, and has adequate means of, obtaining from each</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such information concerning the financial condition, business and operations of the Borrowers and any such other guarantor as PAA requires, and that none of the Lender Parties has any duty, and PAA is not relying on the Lender Parties at any time, to disclose to PAA any information relating to the business, operations or financial condition of any Borrower (PAA waiving any duty on the part of the Lender Parties to disclose such information and any defense relating to the failure to provide the same).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 MISCELLANEOUS</w:t>
      </w:r>
    </w:p>
    <w:p>
      <w:pPr>
        <w:spacing w:after="0" w:line="171"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 xml:space="preserve">11.01 Amendments, Etc. </w:t>
      </w:r>
      <w:r>
        <w:rPr>
          <w:rFonts w:ascii="Arial" w:cs="Arial" w:eastAsia="Arial" w:hAnsi="Arial"/>
          <w:sz w:val="16"/>
          <w:szCs w:val="16"/>
          <w:color w:val="auto"/>
        </w:rPr>
        <w:t>No amendment or waiver of any provision of this Agreement or any other Loan Document, and no consent to any departure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Borrower or any other Loan Party therefrom, shall be effective unless in writing signed by the Required Lenders and each Borrower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amendment, waiver or consent shall:</w:t>
      </w:r>
    </w:p>
    <w:p>
      <w:pPr>
        <w:spacing w:after="0" w:line="28" w:lineRule="exact"/>
        <w:rPr>
          <w:sz w:val="20"/>
          <w:szCs w:val="20"/>
          <w:color w:val="auto"/>
        </w:rPr>
      </w:pPr>
    </w:p>
    <w:p>
      <w:pPr>
        <w:ind w:left="700" w:hanging="236"/>
        <w:spacing w:after="0"/>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waive any condition set forth in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without the written consent of each Lender;</w:t>
      </w:r>
    </w:p>
    <w:p>
      <w:pPr>
        <w:spacing w:after="0" w:line="90"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extend or increase the Commitment of any Lender (or reinstate any Commitment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without the written consent of such Lender;</w:t>
      </w:r>
    </w:p>
    <w:p>
      <w:pPr>
        <w:spacing w:after="0" w:line="50" w:lineRule="exact"/>
        <w:rPr>
          <w:rFonts w:ascii="Arial" w:cs="Arial" w:eastAsia="Arial" w:hAnsi="Arial"/>
          <w:sz w:val="18"/>
          <w:szCs w:val="18"/>
          <w:color w:val="auto"/>
        </w:rPr>
      </w:pPr>
    </w:p>
    <w:p>
      <w:pPr>
        <w:ind w:right="20" w:firstLine="464"/>
        <w:spacing w:after="0" w:line="259" w:lineRule="auto"/>
        <w:tabs>
          <w:tab w:leader="none" w:pos="69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(excluding mandatory prepayments) of principal, interest, fees or other amounts due to the Lenders (or any of them) hereunder or under any other Loan Document without the written consent of each Lender directly affected thereby;</w:t>
      </w:r>
    </w:p>
    <w:p>
      <w:pPr>
        <w:spacing w:after="0" w:line="59" w:lineRule="exact"/>
        <w:rPr>
          <w:rFonts w:ascii="Arial" w:cs="Arial" w:eastAsia="Arial" w:hAnsi="Arial"/>
          <w:sz w:val="18"/>
          <w:szCs w:val="18"/>
          <w:color w:val="auto"/>
        </w:rPr>
      </w:pPr>
    </w:p>
    <w:p>
      <w:pPr>
        <w:ind w:right="320" w:firstLine="464"/>
        <w:spacing w:after="0" w:line="298" w:lineRule="auto"/>
        <w:tabs>
          <w:tab w:leader="none" w:pos="70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reduce the principal of, or the rate of interest specified herein on, any Loan or L/C Borrowing, or (subject to clause (iv) of the second proviso to this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any fees or other amounts payable hereunder or under any other Loan Document without the written consent of each Lender directly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only the consent of the Required Lenders shall be necessary (i) to amend the definition of “Default Rate” or to waive any obligation of any Borrower to pay interest at the Default Rate, except with respect to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280" w:right="239" w:bottom="1440" w:gutter="0" w:footer="0" w:header="0"/>
        </w:sectPr>
      </w:pPr>
    </w:p>
    <w:bookmarkStart w:id="137" w:name="page138"/>
    <w:bookmarkEnd w:id="137"/>
    <w:p>
      <w:pPr>
        <w:jc w:val="both"/>
        <w:ind w:right="4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on past-due principal of any Loan, which shall require the written consent of each Lender, or (ii) to amend any financial covenant hereunder (or any defined term used therein) even if the effect of such amendment would be to reduce the rate of interest on any Loan or L/C Borrowing or to reduce any fee payable hereunder;</w:t>
      </w:r>
    </w:p>
    <w:p>
      <w:pPr>
        <w:spacing w:after="0" w:line="59" w:lineRule="exact"/>
        <w:rPr>
          <w:sz w:val="20"/>
          <w:szCs w:val="20"/>
          <w:color w:val="auto"/>
        </w:rPr>
      </w:pPr>
    </w:p>
    <w:p>
      <w:pPr>
        <w:ind w:left="700" w:hanging="236"/>
        <w:spacing w:after="0"/>
        <w:tabs>
          <w:tab w:leader="none" w:pos="7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change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in a manner that would alter the pro rata sharing of payments required thereby without the written consent of each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Lender;</w:t>
      </w:r>
    </w:p>
    <w:p>
      <w:pPr>
        <w:spacing w:after="0" w:line="83" w:lineRule="exact"/>
        <w:rPr>
          <w:rFonts w:ascii="Arial" w:cs="Arial" w:eastAsia="Arial" w:hAnsi="Arial"/>
          <w:sz w:val="16"/>
          <w:szCs w:val="16"/>
          <w:color w:val="auto"/>
        </w:rPr>
      </w:pPr>
    </w:p>
    <w:p>
      <w:pPr>
        <w:jc w:val="both"/>
        <w:ind w:right="420" w:firstLine="464"/>
        <w:spacing w:after="0" w:line="259" w:lineRule="auto"/>
        <w:tabs>
          <w:tab w:leader="none" w:pos="67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59" w:lineRule="exact"/>
        <w:rPr>
          <w:rFonts w:ascii="Arial" w:cs="Arial" w:eastAsia="Arial" w:hAnsi="Arial"/>
          <w:sz w:val="18"/>
          <w:szCs w:val="18"/>
          <w:color w:val="auto"/>
        </w:rPr>
      </w:pPr>
    </w:p>
    <w:p>
      <w:pPr>
        <w:ind w:right="260" w:firstLine="464"/>
        <w:spacing w:after="0" w:line="254" w:lineRule="auto"/>
        <w:tabs>
          <w:tab w:leader="none" w:pos="70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release all or substantially all of the Collateral of any Borrower in any transaction or series of related transactions, or release any Borrower from the negative pledge covenant set forth in </w:t>
      </w:r>
      <w:r>
        <w:rPr>
          <w:rFonts w:ascii="Arial" w:cs="Arial" w:eastAsia="Arial" w:hAnsi="Arial"/>
          <w:sz w:val="18"/>
          <w:szCs w:val="18"/>
          <w:u w:val="single" w:color="auto"/>
          <w:color w:val="auto"/>
        </w:rPr>
        <w:t>Section 7.05</w:t>
      </w:r>
      <w:r>
        <w:rPr>
          <w:rFonts w:ascii="Arial" w:cs="Arial" w:eastAsia="Arial" w:hAnsi="Arial"/>
          <w:sz w:val="18"/>
          <w:szCs w:val="18"/>
          <w:color w:val="auto"/>
        </w:rPr>
        <w:t>, (i) without the written consent of each Lender or (ii) unless (x) all Obligations of such Borrower have been paid in full, assumed by the other Borrower or Cash Collateralized (or any combination thereof) and all Commitments in favor of such Borrower have been terminated and (y) the Administrative Agent and Lenders shall have received a certificate from a Responsible Officer of the Company with respect to the representation and warranty set forth in Section 4.02(d)) as it pertains to the non-released Borrower’s Obligations and the non-released Borrower’s Collateral Value; or</w:t>
      </w:r>
    </w:p>
    <w:p>
      <w:pPr>
        <w:spacing w:after="0" w:line="63" w:lineRule="exact"/>
        <w:rPr>
          <w:rFonts w:ascii="Arial" w:cs="Arial" w:eastAsia="Arial" w:hAnsi="Arial"/>
          <w:sz w:val="18"/>
          <w:szCs w:val="18"/>
          <w:color w:val="auto"/>
        </w:rPr>
      </w:pPr>
    </w:p>
    <w:p>
      <w:pPr>
        <w:ind w:left="720" w:hanging="256"/>
        <w:spacing w:after="0"/>
        <w:tabs>
          <w:tab w:leader="none" w:pos="7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release all or substantially all of the value of the PAA Guaranty, without the written consent of each Lender;</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 no amendment, waiver or consent shall, unless in writing and signed by the L/C Issuer in addition to the Lenders required above, affect the rights or duties of the L/C Issuer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and (iv) the Fee Letters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280" w:right="279" w:bottom="1440" w:gutter="0" w:footer="0" w:header="0"/>
        </w:sectPr>
      </w:pPr>
    </w:p>
    <w:bookmarkStart w:id="138" w:name="page139"/>
    <w:bookmarkEnd w:id="13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11.02 Notices; Effectiveness; Electronic Communication.</w:t>
      </w:r>
    </w:p>
    <w:p>
      <w:pPr>
        <w:spacing w:after="0" w:line="96" w:lineRule="exact"/>
        <w:rPr>
          <w:sz w:val="20"/>
          <w:szCs w:val="20"/>
          <w:color w:val="auto"/>
        </w:rPr>
      </w:pPr>
    </w:p>
    <w:p>
      <w:pPr>
        <w:ind w:right="240" w:firstLine="464"/>
        <w:spacing w:after="0" w:line="298" w:lineRule="auto"/>
        <w:tabs>
          <w:tab w:leader="none" w:pos="695"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Notices Generally</w:t>
      </w:r>
      <w:r>
        <w:rPr>
          <w:rFonts w:ascii="Arial" w:cs="Arial" w:eastAsia="Arial" w:hAnsi="Arial"/>
          <w:sz w:val="16"/>
          <w:szCs w:val="16"/>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or other electronic transmission as follows, and all notices and other communications expressly permitted hereunder to be given by telephone shall be made to the applicable telephone number, as follows:</w:t>
      </w:r>
    </w:p>
    <w:p>
      <w:pPr>
        <w:spacing w:after="0" w:line="31" w:lineRule="exact"/>
        <w:rPr>
          <w:rFonts w:ascii="Arial" w:cs="Arial" w:eastAsia="Arial" w:hAnsi="Arial"/>
          <w:sz w:val="16"/>
          <w:szCs w:val="16"/>
          <w:color w:val="auto"/>
        </w:rPr>
      </w:pPr>
    </w:p>
    <w:p>
      <w:pPr>
        <w:ind w:left="460" w:right="260" w:firstLine="443"/>
        <w:spacing w:after="0" w:line="268" w:lineRule="auto"/>
        <w:tabs>
          <w:tab w:leader="none" w:pos="1108"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if to any Borrower, PAA, the Administrative Agent, the L/C Issuer or the Swing Line Lender, to the address, telecopier number, electronic mail address or telephone number specified for such Person on </w:t>
      </w:r>
      <w:r>
        <w:rPr>
          <w:rFonts w:ascii="Arial" w:cs="Arial" w:eastAsia="Arial" w:hAnsi="Arial"/>
          <w:sz w:val="18"/>
          <w:szCs w:val="18"/>
          <w:u w:val="single" w:color="auto"/>
          <w:color w:val="auto"/>
        </w:rPr>
        <w:t>Schedule 11.02</w:t>
      </w:r>
      <w:r>
        <w:rPr>
          <w:rFonts w:ascii="Arial" w:cs="Arial" w:eastAsia="Arial" w:hAnsi="Arial"/>
          <w:sz w:val="18"/>
          <w:szCs w:val="18"/>
          <w:color w:val="auto"/>
        </w:rPr>
        <w:t>; and</w:t>
      </w:r>
    </w:p>
    <w:p>
      <w:pPr>
        <w:spacing w:after="0" w:line="50" w:lineRule="exact"/>
        <w:rPr>
          <w:rFonts w:ascii="Arial" w:cs="Arial" w:eastAsia="Arial" w:hAnsi="Arial"/>
          <w:sz w:val="18"/>
          <w:szCs w:val="18"/>
          <w:color w:val="auto"/>
        </w:rPr>
      </w:pPr>
    </w:p>
    <w:p>
      <w:pPr>
        <w:ind w:left="460" w:right="220" w:firstLine="443"/>
        <w:spacing w:after="0" w:line="294" w:lineRule="auto"/>
        <w:tabs>
          <w:tab w:leader="none" w:pos="1157" w:val="left"/>
        </w:tabs>
        <w:numPr>
          <w:ilvl w:val="1"/>
          <w:numId w:val="141"/>
        </w:numPr>
        <w:rPr>
          <w:rFonts w:ascii="Arial" w:cs="Arial" w:eastAsia="Arial" w:hAnsi="Arial"/>
          <w:sz w:val="16"/>
          <w:szCs w:val="16"/>
          <w:color w:val="auto"/>
        </w:rPr>
      </w:pPr>
      <w:r>
        <w:rPr>
          <w:rFonts w:ascii="Arial" w:cs="Arial" w:eastAsia="Arial" w:hAnsi="Arial"/>
          <w:sz w:val="16"/>
          <w:szCs w:val="16"/>
          <w:color w:val="auto"/>
        </w:rPr>
        <w:t>if to any other Lender,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 and its Affiliates), if such questionnaire has been received by the Person sending such notice or communication, or if such questionnaire has not been received by such sending Person, to such address as may be reasonably believed to be correct by such sending Person.</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 The Company and PMCULC hereby agree that any notice, demand, consent, acknowledgment, direction, certification or other communication delivered to the Company in accordance with the terms of this Agreement shall constitute delivery to, and shall be deemed to have been delivered to PMCULC.</w:t>
      </w:r>
    </w:p>
    <w:p>
      <w:pPr>
        <w:spacing w:after="0" w:line="120" w:lineRule="exact"/>
        <w:rPr>
          <w:sz w:val="20"/>
          <w:szCs w:val="20"/>
          <w:color w:val="auto"/>
        </w:rPr>
      </w:pPr>
    </w:p>
    <w:p>
      <w:pPr>
        <w:ind w:right="40" w:firstLine="464"/>
        <w:spacing w:after="0" w:line="291" w:lineRule="auto"/>
        <w:tabs>
          <w:tab w:leader="none" w:pos="705"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Electronic Communications</w:t>
      </w:r>
      <w:r>
        <w:rPr>
          <w:rFonts w:ascii="Arial" w:cs="Arial" w:eastAsia="Arial" w:hAnsi="Arial"/>
          <w:sz w:val="16"/>
          <w:szCs w:val="16"/>
          <w:color w:val="auto"/>
        </w:rPr>
        <w:t xml:space="preserve">. Notices and other communications to the Lenders and the L/C Issuer hereunder may be delivered or furnished by electronic communication (including e-mail and Internet or intranet websites)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Lender or the L/C Issuer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if such Lender or the L/C Issuer, as applicable, has notified the Administrative Agent and the Company that it is incapable of receiving notices under such Article by electronic communication. The Administrative Agent or the Company may,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Unless the Administrative Agent otherwise prescribes, (i) notices and other communications sent to an e-mail address shall be deemed received upon the sender’s receipt of an acknowledgement from the intended recipient (such as by the “return receipt requested”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274" w:right="239" w:bottom="1440" w:gutter="0" w:footer="0" w:header="0"/>
        </w:sectPr>
      </w:pPr>
    </w:p>
    <w:bookmarkStart w:id="139" w:name="page140"/>
    <w:bookmarkEnd w:id="13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function, as available, return e-mail or other written acknowledgement),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43" w:lineRule="exact"/>
        <w:rPr>
          <w:sz w:val="20"/>
          <w:szCs w:val="20"/>
          <w:color w:val="auto"/>
        </w:rPr>
      </w:pPr>
    </w:p>
    <w:p>
      <w:pPr>
        <w:ind w:firstLine="464"/>
        <w:spacing w:after="0" w:line="286" w:lineRule="auto"/>
        <w:tabs>
          <w:tab w:leader="none" w:pos="695" w:val="left"/>
        </w:tabs>
        <w:numPr>
          <w:ilvl w:val="1"/>
          <w:numId w:val="143"/>
        </w:numPr>
        <w:rPr>
          <w:rFonts w:ascii="Arial" w:cs="Arial" w:eastAsia="Arial" w:hAnsi="Arial"/>
          <w:sz w:val="16"/>
          <w:szCs w:val="16"/>
          <w:color w:val="auto"/>
        </w:rPr>
      </w:pPr>
      <w:r>
        <w:rPr>
          <w:rFonts w:ascii="Arial" w:cs="Arial" w:eastAsia="Arial" w:hAnsi="Arial"/>
          <w:sz w:val="16"/>
          <w:szCs w:val="16"/>
          <w:u w:val="single" w:color="auto"/>
          <w:color w:val="auto"/>
        </w:rPr>
        <w:t>The Platform</w:t>
      </w:r>
      <w:r>
        <w:rPr>
          <w:rFonts w:ascii="Arial" w:cs="Arial" w:eastAsia="Arial" w:hAnsi="Arial"/>
          <w:sz w:val="16"/>
          <w:szCs w:val="16"/>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6"/>
          <w:szCs w:val="16"/>
          <w:u w:val="single" w:color="auto"/>
          <w:color w:val="auto"/>
        </w:rPr>
        <w:t>Agent Parties</w:t>
      </w:r>
      <w:r>
        <w:rPr>
          <w:rFonts w:ascii="Arial" w:cs="Arial" w:eastAsia="Arial" w:hAnsi="Arial"/>
          <w:sz w:val="16"/>
          <w:szCs w:val="16"/>
          <w:color w:val="auto"/>
        </w:rPr>
        <w:t xml:space="preserve">”) have any liability to any Borrower, PAA, any Lender, the L/C Issuer or any other Person for losses, claims, damages, liabilities or expenses of any kind (whether in tort, contract or otherwise) arising out of any Borrower’s or the Administrative Agent’s transmission of Borrower Materials through the Internet, except to the extent that such losses, claims, damages, liabilities or expenses have resulted from such Agent Party’s gross negligence, willful misconduct or material breach of any of its obligations under any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any party hereto, Related Party of any party hereto or Agent Party have any liability to each other party hereto, its Related Parties, any Agent Party or any other Person for indirect, special, incidental, consequential or punitive damages (as opposed to direct or actual damages).</w:t>
      </w:r>
    </w:p>
    <w:p>
      <w:pPr>
        <w:spacing w:after="0" w:line="124" w:lineRule="exact"/>
        <w:rPr>
          <w:rFonts w:ascii="Arial" w:cs="Arial" w:eastAsia="Arial" w:hAnsi="Arial"/>
          <w:sz w:val="16"/>
          <w:szCs w:val="16"/>
          <w:color w:val="auto"/>
        </w:rPr>
      </w:pPr>
    </w:p>
    <w:p>
      <w:pPr>
        <w:ind w:right="100" w:firstLine="464"/>
        <w:spacing w:after="0" w:line="302" w:lineRule="auto"/>
        <w:tabs>
          <w:tab w:leader="none" w:pos="705" w:val="left"/>
        </w:tabs>
        <w:numPr>
          <w:ilvl w:val="1"/>
          <w:numId w:val="143"/>
        </w:numPr>
        <w:rPr>
          <w:rFonts w:ascii="Arial" w:cs="Arial" w:eastAsia="Arial" w:hAnsi="Arial"/>
          <w:sz w:val="15"/>
          <w:szCs w:val="15"/>
          <w:color w:val="auto"/>
        </w:rPr>
      </w:pPr>
      <w:r>
        <w:rPr>
          <w:rFonts w:ascii="Arial" w:cs="Arial" w:eastAsia="Arial" w:hAnsi="Arial"/>
          <w:sz w:val="15"/>
          <w:szCs w:val="15"/>
          <w:u w:val="single" w:color="auto"/>
          <w:color w:val="auto"/>
        </w:rPr>
        <w:t>Change of Address, Etc</w:t>
      </w:r>
      <w:r>
        <w:rPr>
          <w:rFonts w:ascii="Arial" w:cs="Arial" w:eastAsia="Arial" w:hAnsi="Arial"/>
          <w:sz w:val="15"/>
          <w:szCs w:val="15"/>
          <w:color w:val="auto"/>
        </w:rPr>
        <w:t>. Each of the Borrowers, PAA, the Administrative Agent, the L/C Issuer and the Swing 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the Company, the Administrative Agent, the L/C Issuer and the Swing Line Lender. In addition, each Lender agrees to notify the Administrative Agent from time to time to ensure that the Administrative Agent has on record</w:t>
      </w:r>
    </w:p>
    <w:p>
      <w:pPr>
        <w:spacing w:after="0" w:line="2" w:lineRule="exact"/>
        <w:rPr>
          <w:rFonts w:ascii="Arial" w:cs="Arial" w:eastAsia="Arial" w:hAnsi="Arial"/>
          <w:sz w:val="15"/>
          <w:szCs w:val="15"/>
          <w:color w:val="auto"/>
        </w:rPr>
      </w:pPr>
    </w:p>
    <w:p>
      <w:pPr>
        <w:ind w:right="40" w:firstLine="8"/>
        <w:spacing w:after="0" w:line="288" w:lineRule="auto"/>
        <w:tabs>
          <w:tab w:leader="none" w:pos="21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Company or its Subsidiaries or their respective securities for purposes of United States Federal or state securities laws.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60"/>
          </w:cols>
          <w:pgMar w:left="240" w:top="280" w:right="299" w:bottom="1440" w:gutter="0" w:footer="0" w:header="0"/>
        </w:sectPr>
      </w:pPr>
    </w:p>
    <w:bookmarkStart w:id="140" w:name="page141"/>
    <w:bookmarkEnd w:id="140"/>
    <w:p>
      <w:pPr>
        <w:ind w:right="180" w:firstLine="464"/>
        <w:spacing w:after="0" w:line="286" w:lineRule="auto"/>
        <w:tabs>
          <w:tab w:leader="none" w:pos="695" w:val="left"/>
        </w:tabs>
        <w:numPr>
          <w:ilvl w:val="1"/>
          <w:numId w:val="14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Reliance by Administrative Agent, L/C Issuer and Lenders</w:t>
      </w:r>
      <w:r>
        <w:rPr>
          <w:rFonts w:ascii="Arial" w:cs="Arial" w:eastAsia="Arial" w:hAnsi="Arial"/>
          <w:sz w:val="16"/>
          <w:szCs w:val="16"/>
          <w:color w:val="auto"/>
        </w:rPr>
        <w:t>. The Administrative Agent, the L/C Issuer and the Lenders shall be entitled to rely and act upon any notices (including telephonic Committed Loan Notices and Swing Line Loan Notices) purportedly given by or on behalf of any Borrower even if</w:t>
      </w:r>
    </w:p>
    <w:p>
      <w:pPr>
        <w:ind w:left="220" w:hanging="212"/>
        <w:spacing w:after="0"/>
        <w:tabs>
          <w:tab w:leader="none" w:pos="22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such notices were not made in a manner specified herein, were incomplete or were not preceded or followed by any other form of notice specified herein, or</w:t>
      </w:r>
    </w:p>
    <w:p>
      <w:pPr>
        <w:spacing w:after="0" w:line="32" w:lineRule="exact"/>
        <w:rPr>
          <w:rFonts w:ascii="Arial" w:cs="Arial" w:eastAsia="Arial" w:hAnsi="Arial"/>
          <w:sz w:val="16"/>
          <w:szCs w:val="16"/>
          <w:color w:val="auto"/>
        </w:rPr>
      </w:pPr>
    </w:p>
    <w:p>
      <w:pPr>
        <w:jc w:val="both"/>
        <w:ind w:firstLine="8"/>
        <w:spacing w:after="0" w:line="295" w:lineRule="auto"/>
        <w:tabs>
          <w:tab w:leader="none" w:pos="258"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the terms thereof, as understood by the recipient, varied from any confirmation thereof. The Company shall indemnify the Administrative Agent, the L/C Issuer, each Lender and the Related Parties of each of them from all losses, costs, expenses and liabilities resulting from the reliance by such Person on each notice purportedly given by or on behalf of any Borrower, as provided in </w:t>
      </w:r>
      <w:r>
        <w:rPr>
          <w:rFonts w:ascii="Arial" w:cs="Arial" w:eastAsia="Arial" w:hAnsi="Arial"/>
          <w:sz w:val="16"/>
          <w:szCs w:val="16"/>
          <w:u w:val="single" w:color="auto"/>
          <w:color w:val="auto"/>
        </w:rPr>
        <w:t>Section 11.04(b)</w:t>
      </w:r>
      <w:r>
        <w:rPr>
          <w:rFonts w:ascii="Arial" w:cs="Arial" w:eastAsia="Arial" w:hAnsi="Arial"/>
          <w:sz w:val="16"/>
          <w:szCs w:val="16"/>
          <w:color w:val="auto"/>
        </w:rPr>
        <w:t>. All telephone notices to and other telephonic communications with the Administrative Agent may be recorded by any person a party thereto, and each of the parties hereto consent to such recording.</w:t>
      </w:r>
    </w:p>
    <w:p>
      <w:pPr>
        <w:spacing w:after="0" w:line="10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11.03 No Waiver; Cumulative Remedies; Enforcement; Nature of Obligations. </w:t>
      </w:r>
      <w:r>
        <w:rPr>
          <w:rFonts w:ascii="Arial" w:cs="Arial" w:eastAsia="Arial" w:hAnsi="Arial"/>
          <w:sz w:val="18"/>
          <w:szCs w:val="18"/>
          <w:color w:val="auto"/>
        </w:rPr>
        <w:t>No failure by any Lender, the L/C Issuer or the Administrative Agent to</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and no delay by 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45"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for the benefit of all the Lenders and the L/C Issuer;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(subject to the terms of</w:t>
      </w:r>
    </w:p>
    <w:p>
      <w:pPr>
        <w:ind w:right="20"/>
        <w:spacing w:after="0" w:line="292" w:lineRule="auto"/>
        <w:rPr>
          <w:sz w:val="20"/>
          <w:szCs w:val="20"/>
          <w:color w:val="auto"/>
        </w:rPr>
      </w:pP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and (ii) in addition to the matters set forth in clauses (b), (c) and (d) of the preceding proviso and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any Lender may, with the consent of the Required Lenders, enforce any rights and remedies available to it and as authorized by the Required Lenders.</w:t>
      </w:r>
    </w:p>
    <w:p>
      <w:pPr>
        <w:spacing w:after="0" w:line="117" w:lineRule="exact"/>
        <w:rPr>
          <w:sz w:val="20"/>
          <w:szCs w:val="20"/>
          <w:color w:val="auto"/>
        </w:rPr>
      </w:pPr>
    </w:p>
    <w:p>
      <w:pPr>
        <w:jc w:val="both"/>
        <w:ind w:right="100" w:firstLine="456"/>
        <w:spacing w:after="0" w:line="323" w:lineRule="auto"/>
        <w:rPr>
          <w:sz w:val="20"/>
          <w:szCs w:val="20"/>
          <w:color w:val="auto"/>
        </w:rPr>
      </w:pPr>
      <w:r>
        <w:rPr>
          <w:rFonts w:ascii="Arial" w:cs="Arial" w:eastAsia="Arial" w:hAnsi="Arial"/>
          <w:sz w:val="15"/>
          <w:szCs w:val="15"/>
          <w:color w:val="auto"/>
        </w:rPr>
        <w:t xml:space="preserve">All Obligations which are incurred by two or more Loan Parties shall be their joint and several obligations and liabilities of such Loan Parties; </w:t>
      </w:r>
      <w:r>
        <w:rPr>
          <w:rFonts w:ascii="Arial" w:cs="Arial" w:eastAsia="Arial" w:hAnsi="Arial"/>
          <w:sz w:val="15"/>
          <w:szCs w:val="15"/>
          <w:u w:val="single" w:color="auto"/>
          <w:color w:val="auto"/>
        </w:rPr>
        <w:t>provided</w:t>
      </w:r>
      <w:r>
        <w:rPr>
          <w:rFonts w:ascii="Arial" w:cs="Arial" w:eastAsia="Arial" w:hAnsi="Arial"/>
          <w:sz w:val="15"/>
          <w:szCs w:val="15"/>
          <w:color w:val="auto"/>
        </w:rPr>
        <w:t>, the Lender Parties acknowledge and agree that as of the First Amendment Effective Date (i) Borrowings and requests for Credit Extensions made or to be made hereunder by any requesting Borrower are to be made by such requesting Borrower severally and not jointly and severally by the Borrowers, and (ii) Loans, L/C Obligations and Canadian BA’s of any Borrower are to be such Borrower’s several Obligations, and not joint and several Obligations among all Borrowers.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280" w:right="279" w:bottom="1440" w:gutter="0" w:footer="0" w:header="0"/>
        </w:sectPr>
      </w:pPr>
    </w:p>
    <w:bookmarkStart w:id="141" w:name="page142"/>
    <w:bookmarkEnd w:id="141"/>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11.04 Expenses; Indemnity; Damage Waiver.</w:t>
      </w:r>
    </w:p>
    <w:p>
      <w:pPr>
        <w:spacing w:after="0" w:line="96" w:lineRule="exact"/>
        <w:rPr>
          <w:sz w:val="20"/>
          <w:szCs w:val="20"/>
          <w:color w:val="auto"/>
        </w:rPr>
      </w:pPr>
    </w:p>
    <w:p>
      <w:pPr>
        <w:ind w:left="-20" w:firstLine="464"/>
        <w:spacing w:after="0" w:line="287" w:lineRule="auto"/>
        <w:tabs>
          <w:tab w:leader="none" w:pos="675"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xml:space="preserve">. The Company shall pay (i) all reasonable out-of-pocket expenses incurred by the Administrative Agent and its Affiliates (including the reasonable fees, charges and disbursements of counsel for the Administrative Agent), in connection with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 in connection with the issuance, amendment, renewal or extension of any Letter of Credit or any demand for payment thereunder and (iii) all out-of-pocket expenses incurred by the Administrative Agent, any Lender or the L/C Issuer (including the fees, charges and disbursements of any counsel for the Administrative Agent, any Lender or the L/C Issuer),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 other than expenses of a Defaulting Lender proximately caused by conduct, acts or omissions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the definition of “Defaulting Lender”.</w:t>
      </w:r>
    </w:p>
    <w:p>
      <w:pPr>
        <w:spacing w:after="0" w:line="41" w:lineRule="exact"/>
        <w:rPr>
          <w:rFonts w:ascii="Arial" w:cs="Arial" w:eastAsia="Arial" w:hAnsi="Arial"/>
          <w:sz w:val="16"/>
          <w:szCs w:val="16"/>
          <w:color w:val="auto"/>
        </w:rPr>
      </w:pPr>
    </w:p>
    <w:p>
      <w:pPr>
        <w:ind w:left="-20" w:right="60" w:firstLine="464"/>
        <w:spacing w:after="0" w:line="308" w:lineRule="auto"/>
        <w:tabs>
          <w:tab w:leader="none" w:pos="685" w:val="left"/>
        </w:tabs>
        <w:numPr>
          <w:ilvl w:val="0"/>
          <w:numId w:val="147"/>
        </w:numPr>
        <w:rPr>
          <w:rFonts w:ascii="Arial" w:cs="Arial" w:eastAsia="Arial" w:hAnsi="Arial"/>
          <w:sz w:val="15"/>
          <w:szCs w:val="15"/>
          <w:color w:val="auto"/>
        </w:rPr>
      </w:pPr>
      <w:r>
        <w:rPr>
          <w:rFonts w:ascii="Arial" w:cs="Arial" w:eastAsia="Arial" w:hAnsi="Arial"/>
          <w:sz w:val="15"/>
          <w:szCs w:val="15"/>
          <w:u w:val="single" w:color="auto"/>
          <w:color w:val="auto"/>
        </w:rPr>
        <w:t>Indemnification by the Company</w:t>
      </w:r>
      <w:r>
        <w:rPr>
          <w:rFonts w:ascii="Arial" w:cs="Arial" w:eastAsia="Arial" w:hAnsi="Arial"/>
          <w:sz w:val="15"/>
          <w:szCs w:val="15"/>
          <w:color w:val="auto"/>
        </w:rPr>
        <w:t>. The Company shall indemnify the Administrative Agent (and any sub-agent thereof), each Lender and the L/C Issuer (each such Person being called an “</w:t>
      </w:r>
      <w:r>
        <w:rPr>
          <w:rFonts w:ascii="Arial" w:cs="Arial" w:eastAsia="Arial" w:hAnsi="Arial"/>
          <w:sz w:val="15"/>
          <w:szCs w:val="15"/>
          <w:u w:val="single" w:color="auto"/>
          <w:color w:val="auto"/>
        </w:rPr>
        <w:t>Indemnitee</w:t>
      </w:r>
      <w:r>
        <w:rPr>
          <w:rFonts w:ascii="Arial" w:cs="Arial" w:eastAsia="Arial" w:hAnsi="Arial"/>
          <w:sz w:val="15"/>
          <w:szCs w:val="15"/>
          <w:color w:val="auto"/>
        </w:rPr>
        <w:t xml:space="preserve">”) against any and all liabilities, obligations, claims, losses, damages, penalties, fines, actions, judgments, suits, settlements, costs, expenses or disbursements (including reasonable fees of attorneys, accountants, experts and advisors) of any kind or nature whatsoever (in this section collectively called “liabilities and costs”) which to any extent (in whole or in part) may be imposed on, incurred by, or asserted against such Lender Party growing out of, resulting from or in any other way associated with the Loan Documents and the transactions and events (including the enforcement or defense thereof) at any time associated therewith or contemplated therein and the Borrowers’ use of Loan proceeds (whether arising in contract or in tort or otherwise and including any violation or noncompliance with any Environmental Laws by any Indemnitee or any other Person or any liabilities or duties of any Indemnitee or any other Person with respect to Hazardous Materials found in or released into the environment). In the case of an investigation, litigation or proceeding to which the indemnity in this </w:t>
      </w:r>
      <w:r>
        <w:rPr>
          <w:rFonts w:ascii="Arial" w:cs="Arial" w:eastAsia="Arial" w:hAnsi="Arial"/>
          <w:sz w:val="15"/>
          <w:szCs w:val="15"/>
          <w:u w:val="single" w:color="auto"/>
          <w:color w:val="auto"/>
        </w:rPr>
        <w:t>Section 11.04</w:t>
      </w:r>
      <w:r>
        <w:rPr>
          <w:rFonts w:ascii="Arial" w:cs="Arial" w:eastAsia="Arial" w:hAnsi="Arial"/>
          <w:sz w:val="15"/>
          <w:szCs w:val="15"/>
          <w:color w:val="auto"/>
        </w:rPr>
        <w:t xml:space="preserve"> applies, such indemnity shall be effective whether or not such investigation, litigation or proceeding is brought by the Company, any of its equity holders, Affiliates or creditors or an Indemnitee or any third party and whether or not an Indemnitee is otherwise a party thereto.</w:t>
      </w:r>
    </w:p>
    <w:p>
      <w:pPr>
        <w:spacing w:after="0" w:line="103" w:lineRule="exact"/>
        <w:rPr>
          <w:rFonts w:ascii="Arial" w:cs="Arial" w:eastAsia="Arial" w:hAnsi="Arial"/>
          <w:sz w:val="15"/>
          <w:szCs w:val="15"/>
          <w:color w:val="auto"/>
        </w:rPr>
      </w:pPr>
    </w:p>
    <w:p>
      <w:pPr>
        <w:ind w:left="-20" w:right="20" w:firstLine="464"/>
        <w:spacing w:after="0" w:line="262" w:lineRule="auto"/>
        <w:tabs>
          <w:tab w:leader="none" w:pos="675"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THE FOREGOING INDEMNIFICATION SHALL APPLY WHETHER OR NOT SUCH LIABILITIES AND COSTS ARE IN ANY WAY OR TO ANY EXTENT OWED, IN WHOLE OR IN PART, UNDER ANY CLAIM OR THEORY OF STRICT LIABILITY OR CAUSED, IN WHOLE OR IN PART, BY ANY NEGLIGENT ACT OR OMISSION OF ANY KIND BY ANY INDEMNITEE</w:t>
      </w:r>
      <w:r>
        <w:rPr>
          <w:rFonts w:ascii="Arial" w:cs="Arial" w:eastAsia="Arial" w:hAnsi="Arial"/>
          <w:sz w:val="18"/>
          <w:szCs w:val="18"/>
          <w:color w:val="auto"/>
        </w:rPr>
        <w:t>, provided only that no Indemnitee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60" w:top="274" w:right="239"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entitled under this section to receive indemnification for that portion, if any, of any liabilities and costs which (i) is proximately caused by its own</w:t>
      </w:r>
    </w:p>
    <w:p>
      <w:pPr>
        <w:spacing w:after="0" w:line="38" w:lineRule="exact"/>
        <w:rPr>
          <w:sz w:val="20"/>
          <w:szCs w:val="20"/>
          <w:color w:val="auto"/>
        </w:rPr>
      </w:pPr>
    </w:p>
    <w:p>
      <w:pPr>
        <w:jc w:val="both"/>
        <w:ind w:right="60" w:firstLine="8"/>
        <w:spacing w:after="0" w:line="281" w:lineRule="auto"/>
        <w:tabs>
          <w:tab w:leader="none" w:pos="288"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individual gross negligence or willful misconduct, as determined by a court of competent jurisdiction in a final judgment, or (B) material breach of any of its obligations hereunder or under any other Loan Documents, as determined by a court of competent jurisdiction in a final judgment, (ii) arises by reason of a claim</w:t>
      </w:r>
    </w:p>
    <w:p>
      <w:pPr>
        <w:spacing w:after="0" w:line="1" w:lineRule="exact"/>
        <w:rPr>
          <w:rFonts w:ascii="Arial" w:cs="Arial" w:eastAsia="Arial" w:hAnsi="Arial"/>
          <w:sz w:val="16"/>
          <w:szCs w:val="16"/>
          <w:color w:val="auto"/>
        </w:rPr>
      </w:pPr>
    </w:p>
    <w:p>
      <w:pPr>
        <w:ind w:firstLine="8"/>
        <w:spacing w:after="0" w:line="285" w:lineRule="auto"/>
        <w:tabs>
          <w:tab w:leader="none" w:pos="288"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by any one or more Indemnitees against any one or more other Indemnitees or (B) by an equity-interest owner of any Indemnitee against any one or more Indemnitees, so long as in either such case, such claim is not proximately caused solely by the breach hereunder or under any other Loan Document by the Company or its Affiliates or (iii) are incurred by an Indemnitee that is a Defaulting Lender, and such liabilities or costs are proximately caused by conduct, acts or omissions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the definition of “Defaulting Lender”. If any Person (including the Company or any of its Affiliates) ever alleges gross negligence or willful misconduct pursuant to the preceding clause (i)(A) (but, for the avoidance of doubt, not with respect to an allegation of a material breach pursuant to the preceding clause (i)(B)) by any Indemnitee, the indemnification provided for in this section shall nonetheless be paid upon demand, subject to later adjustment or reimbursement, until such time as a court of competent jurisdiction enters a final judgment as to the extent and effect of the alleged gross negligence or willful misconduct. As used in this section the term “Indemnitee” shall refer not only to each Person designated as a Lender Party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but also to each director, officer, trustee, agent, attorney, employee, representative and Affiliate of such Persons. So long as no Default has occurred and is continuing and the Company is financially solvent, no Indemnitee may settle any claim to be indemnified without the consent of the Company, such consent not to be unreasonably withheld; provided that the Company may not reasonably withhold consent to any settlement that an Indemnitee proposes, if the Company does not have the financial ability to pay all its obligations outstanding and asserted against the Company at that time, including the maximum potential claims against the Indemnitee to be indemnified pursuant to this </w:t>
      </w:r>
      <w:r>
        <w:rPr>
          <w:rFonts w:ascii="Arial" w:cs="Arial" w:eastAsia="Arial" w:hAnsi="Arial"/>
          <w:sz w:val="16"/>
          <w:szCs w:val="16"/>
          <w:u w:val="single" w:color="auto"/>
          <w:color w:val="auto"/>
        </w:rPr>
        <w:t>Section 11.04</w:t>
      </w:r>
      <w:r>
        <w:rPr>
          <w:rFonts w:ascii="Arial" w:cs="Arial" w:eastAsia="Arial" w:hAnsi="Arial"/>
          <w:sz w:val="16"/>
          <w:szCs w:val="16"/>
          <w:color w:val="auto"/>
        </w:rPr>
        <w:t>.</w:t>
      </w:r>
    </w:p>
    <w:p>
      <w:pPr>
        <w:spacing w:after="0" w:line="124" w:lineRule="exact"/>
        <w:rPr>
          <w:rFonts w:ascii="Arial" w:cs="Arial" w:eastAsia="Arial" w:hAnsi="Arial"/>
          <w:sz w:val="16"/>
          <w:szCs w:val="16"/>
          <w:color w:val="auto"/>
        </w:rPr>
      </w:pPr>
    </w:p>
    <w:p>
      <w:pPr>
        <w:ind w:firstLine="464"/>
        <w:spacing w:after="0" w:line="289" w:lineRule="auto"/>
        <w:tabs>
          <w:tab w:leader="none" w:pos="705" w:val="left"/>
        </w:tabs>
        <w:numPr>
          <w:ilvl w:val="1"/>
          <w:numId w:val="149"/>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the Company for any reason fails to indefeasibly pay any amount required under subsection (a) or (b) of this Section to be paid by it to the Administrative Agent (or any sub-agent thereof), the L/C Issuer or any applicable Related Party of any of the foregoing, without affecting the Company’s payment obligations with respect thereto, each Lender severally agrees to pay to the Administrative Agent (or any such sub-agent), the L/C Issuer or such Related Party, as the case may be, such Lender’s Applicable Percentage (determined as of the time that the applicable unreimbursed expense or indemnity payment is sought)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(or any such sub-agent) or the L/C Issuer in its capacity as such, or against any Related Party of any of the foregoing acting for the Administrative Agent (or any such sub-agent) or L/C Issuer in connection with such capacity. The obligations of the Lenders under this subsection (d) are subject to the provisions of </w:t>
      </w:r>
      <w:r>
        <w:rPr>
          <w:rFonts w:ascii="Arial" w:cs="Arial" w:eastAsia="Arial" w:hAnsi="Arial"/>
          <w:sz w:val="16"/>
          <w:szCs w:val="16"/>
          <w:u w:val="single" w:color="auto"/>
          <w:color w:val="auto"/>
        </w:rPr>
        <w:t>Section 2.12(d)</w:t>
      </w:r>
      <w:r>
        <w:rPr>
          <w:rFonts w:ascii="Arial" w:cs="Arial" w:eastAsia="Arial" w:hAnsi="Arial"/>
          <w:sz w:val="16"/>
          <w:szCs w:val="16"/>
          <w:color w:val="auto"/>
        </w:rPr>
        <w:t>.</w:t>
      </w:r>
    </w:p>
    <w:p>
      <w:pPr>
        <w:spacing w:after="0" w:line="118" w:lineRule="exact"/>
        <w:rPr>
          <w:rFonts w:ascii="Arial" w:cs="Arial" w:eastAsia="Arial" w:hAnsi="Arial"/>
          <w:sz w:val="16"/>
          <w:szCs w:val="16"/>
          <w:color w:val="auto"/>
        </w:rPr>
      </w:pPr>
    </w:p>
    <w:p>
      <w:pPr>
        <w:ind w:right="80" w:firstLine="464"/>
        <w:spacing w:after="0" w:line="259" w:lineRule="auto"/>
        <w:tabs>
          <w:tab w:leader="none" w:pos="695"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xml:space="preserve"> To the fullest extent permitted by applicable law, no party hereto or Related Party of any party hereto shall assert, and hereby waives, any claim against each other party hereto and its Related Parties (including, as applicable, each Indemnitee), on any theory of liability, for special, indirect, consequential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280" w:right="259" w:bottom="1440" w:gutter="0" w:footer="0" w:header="0"/>
        </w:sectPr>
      </w:pPr>
    </w:p>
    <w:bookmarkStart w:id="143" w:name="page144"/>
    <w:bookmarkEnd w:id="143"/>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subsection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other than as a result of such Indemnitee’s gross negligence, willful misconduct or material breach of any of its obligations under any Loan Document.</w:t>
      </w:r>
    </w:p>
    <w:p>
      <w:pPr>
        <w:spacing w:after="0" w:line="39" w:lineRule="exact"/>
        <w:rPr>
          <w:sz w:val="20"/>
          <w:szCs w:val="20"/>
          <w:color w:val="auto"/>
        </w:rPr>
      </w:pPr>
    </w:p>
    <w:p>
      <w:pPr>
        <w:ind w:right="320" w:firstLine="464"/>
        <w:spacing w:after="0" w:line="268" w:lineRule="auto"/>
        <w:tabs>
          <w:tab w:leader="none" w:pos="676"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 and the Company’s receipt of reasonably detailed invoices or statements related thereto.</w:t>
      </w:r>
    </w:p>
    <w:p>
      <w:pPr>
        <w:spacing w:after="0" w:line="50" w:lineRule="exact"/>
        <w:rPr>
          <w:rFonts w:ascii="Arial" w:cs="Arial" w:eastAsia="Arial" w:hAnsi="Arial"/>
          <w:sz w:val="18"/>
          <w:szCs w:val="18"/>
          <w:color w:val="auto"/>
        </w:rPr>
      </w:pPr>
    </w:p>
    <w:p>
      <w:pPr>
        <w:ind w:right="460" w:firstLine="464"/>
        <w:spacing w:after="0" w:line="332" w:lineRule="auto"/>
        <w:tabs>
          <w:tab w:leader="none" w:pos="705"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agreements in this Section shall survive the resignation of the Administrative Agent, the L/C Issuer and the Swing Line Lender, the replacement of any Lender, the termination of the Aggregate Commitments and the repayment, satisfaction or discharge of all the other Obligations.</w:t>
      </w:r>
    </w:p>
    <w:p>
      <w:pPr>
        <w:spacing w:after="0" w:line="7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color w:val="auto"/>
        </w:rPr>
        <w:t xml:space="preserve">11.05 Payments Set Aside. </w:t>
      </w:r>
      <w:r>
        <w:rPr>
          <w:rFonts w:ascii="Arial" w:cs="Arial" w:eastAsia="Arial" w:hAnsi="Arial"/>
          <w:sz w:val="16"/>
          <w:szCs w:val="16"/>
          <w:color w:val="auto"/>
        </w:rPr>
        <w:t>To the extent that any payment by or on behalf of any Borrower is made to the Administrative Agent, the L/C Issuer or any</w:t>
      </w:r>
      <w:r>
        <w:rPr>
          <w:rFonts w:ascii="Arial" w:cs="Arial" w:eastAsia="Arial" w:hAnsi="Arial"/>
          <w:sz w:val="16"/>
          <w:szCs w:val="16"/>
          <w:b w:val="1"/>
          <w:bCs w:val="1"/>
          <w:color w:val="auto"/>
        </w:rPr>
        <w:t xml:space="preserve"> </w:t>
      </w:r>
      <w:r>
        <w:rPr>
          <w:rFonts w:ascii="Arial" w:cs="Arial" w:eastAsia="Arial" w:hAnsi="Arial"/>
          <w:sz w:val="16"/>
          <w:szCs w:val="16"/>
          <w:color w:val="auto"/>
        </w:rPr>
        <w:t>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 under clause (b) of the preceding sentence shall survive the payment in full of the Obligations and the termination of this Agreement.</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11.06 Successors and Assigns.</w:t>
      </w:r>
    </w:p>
    <w:p>
      <w:pPr>
        <w:spacing w:after="0" w:line="96" w:lineRule="exact"/>
        <w:rPr>
          <w:sz w:val="20"/>
          <w:szCs w:val="20"/>
          <w:color w:val="auto"/>
        </w:rPr>
      </w:pPr>
    </w:p>
    <w:p>
      <w:pPr>
        <w:ind w:firstLine="464"/>
        <w:spacing w:after="0" w:line="302" w:lineRule="auto"/>
        <w:tabs>
          <w:tab w:leader="none" w:pos="695" w:val="left"/>
        </w:tabs>
        <w:numPr>
          <w:ilvl w:val="1"/>
          <w:numId w:val="151"/>
        </w:numPr>
        <w:rPr>
          <w:rFonts w:ascii="Arial" w:cs="Arial" w:eastAsia="Arial" w:hAnsi="Arial"/>
          <w:sz w:val="15"/>
          <w:szCs w:val="15"/>
          <w:color w:val="auto"/>
        </w:rPr>
      </w:pPr>
      <w:r>
        <w:rPr>
          <w:rFonts w:ascii="Arial" w:cs="Arial" w:eastAsia="Arial" w:hAnsi="Arial"/>
          <w:sz w:val="15"/>
          <w:szCs w:val="15"/>
          <w:u w:val="single" w:color="auto"/>
          <w:color w:val="auto"/>
        </w:rPr>
        <w:t>Successors and Assigns Generally</w:t>
      </w:r>
      <w:r>
        <w:rPr>
          <w:rFonts w:ascii="Arial" w:cs="Arial" w:eastAsia="Arial" w:hAnsi="Arial"/>
          <w:sz w:val="15"/>
          <w:szCs w:val="15"/>
          <w:color w:val="auto"/>
        </w:rPr>
        <w:t>. The provisions of this Agreement shall be binding upon and inure to the benefit of the parties hereto and their respective successors and assigns permitted hereby, except that no Borrower may assign or otherwise transfer any of its rights or obligations hereunder (other than assignments by PMCULC to, and corresponding assumptions by, the Company) without the prior written consent of the Administrative Agent and each Lender and no Lender may assign or otherwise transfer any of its rights or obligations hereunder except (i) to an assignee in accordance with the provisions of subsection</w:t>
      </w:r>
    </w:p>
    <w:p>
      <w:pPr>
        <w:spacing w:after="0" w:line="2" w:lineRule="exact"/>
        <w:rPr>
          <w:rFonts w:ascii="Arial" w:cs="Arial" w:eastAsia="Arial" w:hAnsi="Arial"/>
          <w:sz w:val="15"/>
          <w:szCs w:val="15"/>
          <w:color w:val="auto"/>
        </w:rPr>
      </w:pPr>
    </w:p>
    <w:p>
      <w:pPr>
        <w:ind w:left="260" w:hanging="252"/>
        <w:spacing w:after="0"/>
        <w:tabs>
          <w:tab w:leader="none" w:pos="2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of this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280" w:right="259" w:bottom="1440" w:gutter="0" w:footer="0" w:header="0"/>
        </w:sectPr>
      </w:pPr>
    </w:p>
    <w:bookmarkStart w:id="144" w:name="page145"/>
    <w:bookmarkEnd w:id="144"/>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 and the Lenders) any legal or equitable right, remedy or claim under or by reason of this Agreement.</w:t>
      </w:r>
    </w:p>
    <w:p>
      <w:pPr>
        <w:spacing w:after="0" w:line="35" w:lineRule="exact"/>
        <w:rPr>
          <w:sz w:val="20"/>
          <w:szCs w:val="20"/>
          <w:color w:val="auto"/>
        </w:rPr>
      </w:pPr>
    </w:p>
    <w:p>
      <w:pPr>
        <w:ind w:right="140" w:firstLine="464"/>
        <w:spacing w:after="0" w:line="306" w:lineRule="auto"/>
        <w:tabs>
          <w:tab w:leader="none" w:pos="705"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Assignments by Lenders</w:t>
      </w:r>
      <w:r>
        <w:rPr>
          <w:rFonts w:ascii="Arial" w:cs="Arial" w:eastAsia="Arial" w:hAnsi="Arial"/>
          <w:sz w:val="16"/>
          <w:szCs w:val="16"/>
          <w:color w:val="auto"/>
        </w:rPr>
        <w:t xml:space="preserve">. Any Lender may at any time assign to one or more Eligible Assignees all or a portion of its rights and obligations under this Agreement (including all or a portion of its Commitment and the Loans (including for purposes of this subsection (b), participations in L/C Obligations and in Swing Line Loans, and Canadian BA’s) at the time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assignment shall be subject to the following conditions:</w:t>
      </w:r>
    </w:p>
    <w:p>
      <w:pPr>
        <w:spacing w:after="0" w:line="25" w:lineRule="exact"/>
        <w:rPr>
          <w:rFonts w:ascii="Arial" w:cs="Arial" w:eastAsia="Arial" w:hAnsi="Arial"/>
          <w:sz w:val="16"/>
          <w:szCs w:val="16"/>
          <w:color w:val="auto"/>
        </w:rPr>
      </w:pPr>
    </w:p>
    <w:p>
      <w:pPr>
        <w:ind w:left="1120" w:hanging="217"/>
        <w:spacing w:after="0"/>
        <w:tabs>
          <w:tab w:leader="none" w:pos="1120"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160" w:firstLine="421"/>
        <w:spacing w:after="0" w:line="332" w:lineRule="auto"/>
        <w:tabs>
          <w:tab w:leader="none" w:pos="1627" w:val="left"/>
        </w:tabs>
        <w:numPr>
          <w:ilvl w:val="2"/>
          <w:numId w:val="153"/>
        </w:numPr>
        <w:rPr>
          <w:rFonts w:ascii="Arial" w:cs="Arial" w:eastAsia="Arial" w:hAnsi="Arial"/>
          <w:sz w:val="16"/>
          <w:szCs w:val="16"/>
          <w:color w:val="auto"/>
        </w:rPr>
      </w:pPr>
      <w:r>
        <w:rPr>
          <w:rFonts w:ascii="Arial" w:cs="Arial" w:eastAsia="Arial" w:hAnsi="Arial"/>
          <w:sz w:val="16"/>
          <w:szCs w:val="16"/>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4" w:lineRule="exact"/>
        <w:rPr>
          <w:rFonts w:ascii="Arial" w:cs="Arial" w:eastAsia="Arial" w:hAnsi="Arial"/>
          <w:sz w:val="16"/>
          <w:szCs w:val="16"/>
          <w:color w:val="auto"/>
        </w:rPr>
      </w:pPr>
    </w:p>
    <w:p>
      <w:pPr>
        <w:ind w:left="920" w:firstLine="421"/>
        <w:spacing w:after="0" w:line="289" w:lineRule="auto"/>
        <w:tabs>
          <w:tab w:leader="none" w:pos="1618" w:val="left"/>
        </w:tabs>
        <w:numPr>
          <w:ilvl w:val="2"/>
          <w:numId w:val="153"/>
        </w:numPr>
        <w:rPr>
          <w:rFonts w:ascii="Arial" w:cs="Arial" w:eastAsia="Arial" w:hAnsi="Arial"/>
          <w:sz w:val="16"/>
          <w:szCs w:val="16"/>
          <w:color w:val="auto"/>
        </w:rPr>
      </w:pPr>
      <w:r>
        <w:rPr>
          <w:rFonts w:ascii="Arial" w:cs="Arial" w:eastAsia="Arial" w:hAnsi="Arial"/>
          <w:sz w:val="16"/>
          <w:szCs w:val="16"/>
          <w:color w:val="auto"/>
        </w:rPr>
        <w:t xml:space="preserve">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37" w:lineRule="exact"/>
        <w:rPr>
          <w:rFonts w:ascii="Arial" w:cs="Arial" w:eastAsia="Arial" w:hAnsi="Arial"/>
          <w:sz w:val="16"/>
          <w:szCs w:val="16"/>
          <w:color w:val="auto"/>
        </w:rPr>
      </w:pPr>
    </w:p>
    <w:p>
      <w:pPr>
        <w:jc w:val="both"/>
        <w:ind w:left="460" w:right="180" w:firstLine="443"/>
        <w:spacing w:after="0" w:line="259" w:lineRule="auto"/>
        <w:tabs>
          <w:tab w:leader="none" w:pos="1156"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Loans or the Commitment assigned, except that this clause (ii) shall not apply to rights in respect of the Swing Line Lender’s rights and obligations in respect of Swing Line Loans;</w:t>
      </w:r>
    </w:p>
    <w:p>
      <w:pPr>
        <w:spacing w:after="0" w:line="59" w:lineRule="exact"/>
        <w:rPr>
          <w:rFonts w:ascii="Arial" w:cs="Arial" w:eastAsia="Arial" w:hAnsi="Arial"/>
          <w:sz w:val="18"/>
          <w:szCs w:val="18"/>
          <w:color w:val="auto"/>
        </w:rPr>
      </w:pPr>
    </w:p>
    <w:p>
      <w:pPr>
        <w:ind w:left="460" w:right="260" w:firstLine="443"/>
        <w:spacing w:after="0" w:line="268" w:lineRule="auto"/>
        <w:tabs>
          <w:tab w:leader="none" w:pos="1205"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xml:space="preserve">. No consent shall be required for any such assignment except to the extent required by </w:t>
      </w:r>
      <w:r>
        <w:rPr>
          <w:rFonts w:ascii="Arial" w:cs="Arial" w:eastAsia="Arial" w:hAnsi="Arial"/>
          <w:sz w:val="18"/>
          <w:szCs w:val="18"/>
          <w:u w:val="single" w:color="auto"/>
          <w:color w:val="auto"/>
        </w:rPr>
        <w:t>subsection (b)(i)(B)</w:t>
      </w:r>
      <w:r>
        <w:rPr>
          <w:rFonts w:ascii="Arial" w:cs="Arial" w:eastAsia="Arial" w:hAnsi="Arial"/>
          <w:sz w:val="18"/>
          <w:szCs w:val="18"/>
          <w:color w:val="auto"/>
        </w:rPr>
        <w:t xml:space="preserve"> of this Section and, in addition: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280" w:right="259" w:bottom="1440" w:gutter="0" w:footer="0" w:header="0"/>
        </w:sectPr>
      </w:pPr>
    </w:p>
    <w:bookmarkStart w:id="145" w:name="page146"/>
    <w:bookmarkEnd w:id="145"/>
    <w:p>
      <w:pPr>
        <w:ind w:left="460" w:right="160" w:firstLine="421"/>
        <w:spacing w:after="0" w:line="256" w:lineRule="auto"/>
        <w:tabs>
          <w:tab w:leader="none" w:pos="1167" w:val="left"/>
        </w:tabs>
        <w:numPr>
          <w:ilvl w:val="2"/>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consent of the Company (such consent not to be unreasonably withheld) shall be required unless (1) an Event of Default has occurred and is continuing at the time of such assignment or (2) such assignment is to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be deemed to have consented to any such assignment unless it shall object thereto by written notice to the Administrative Agent within five (5) Business Days after having received notice thereof;</w:t>
      </w:r>
    </w:p>
    <w:p>
      <w:pPr>
        <w:spacing w:after="0" w:line="62" w:lineRule="exact"/>
        <w:rPr>
          <w:rFonts w:ascii="Arial" w:cs="Arial" w:eastAsia="Arial" w:hAnsi="Arial"/>
          <w:sz w:val="18"/>
          <w:szCs w:val="18"/>
          <w:color w:val="auto"/>
        </w:rPr>
      </w:pPr>
    </w:p>
    <w:p>
      <w:pPr>
        <w:ind w:left="460" w:right="200" w:firstLine="421"/>
        <w:spacing w:after="0" w:line="332" w:lineRule="auto"/>
        <w:tabs>
          <w:tab w:leader="none" w:pos="1158" w:val="left"/>
        </w:tabs>
        <w:numPr>
          <w:ilvl w:val="2"/>
          <w:numId w:val="154"/>
        </w:numPr>
        <w:rPr>
          <w:rFonts w:ascii="Arial" w:cs="Arial" w:eastAsia="Arial" w:hAnsi="Arial"/>
          <w:sz w:val="16"/>
          <w:szCs w:val="16"/>
          <w:color w:val="auto"/>
        </w:rPr>
      </w:pPr>
      <w:r>
        <w:rPr>
          <w:rFonts w:ascii="Arial" w:cs="Arial" w:eastAsia="Arial" w:hAnsi="Arial"/>
          <w:sz w:val="16"/>
          <w:szCs w:val="16"/>
          <w:color w:val="auto"/>
        </w:rPr>
        <w:t>the consent of the Administrative Agent (such consent not to be unreasonably withheld, delayed or conditioned) shall be required if such assignment is to a Person that is not a Lender, an Affiliate of such Lender or an Approved Fund with respect to such Lender;</w:t>
      </w:r>
    </w:p>
    <w:p>
      <w:pPr>
        <w:spacing w:after="0" w:line="4" w:lineRule="exact"/>
        <w:rPr>
          <w:rFonts w:ascii="Arial" w:cs="Arial" w:eastAsia="Arial" w:hAnsi="Arial"/>
          <w:sz w:val="16"/>
          <w:szCs w:val="16"/>
          <w:color w:val="auto"/>
        </w:rPr>
      </w:pPr>
    </w:p>
    <w:p>
      <w:pPr>
        <w:ind w:left="460" w:right="120" w:firstLine="421"/>
        <w:spacing w:after="0" w:line="357" w:lineRule="auto"/>
        <w:tabs>
          <w:tab w:leader="none" w:pos="1158" w:val="left"/>
        </w:tabs>
        <w:numPr>
          <w:ilvl w:val="2"/>
          <w:numId w:val="154"/>
        </w:numPr>
        <w:rPr>
          <w:rFonts w:ascii="Arial" w:cs="Arial" w:eastAsia="Arial" w:hAnsi="Arial"/>
          <w:sz w:val="15"/>
          <w:szCs w:val="15"/>
          <w:color w:val="auto"/>
        </w:rPr>
      </w:pPr>
      <w:r>
        <w:rPr>
          <w:rFonts w:ascii="Arial" w:cs="Arial" w:eastAsia="Arial" w:hAnsi="Arial"/>
          <w:sz w:val="15"/>
          <w:szCs w:val="15"/>
          <w:color w:val="auto"/>
        </w:rPr>
        <w:t>the consent of the L/C Issuer (such consent not to be unreasonably withheld, delayed or conditioned) shall be required for any assignment that increases the obligation of such assignee to participate in exposure under one or more Letters of Credit (whether or not then outstanding); and</w:t>
      </w:r>
    </w:p>
    <w:p>
      <w:pPr>
        <w:ind w:left="460" w:right="340" w:firstLine="421"/>
        <w:spacing w:after="0" w:line="268" w:lineRule="auto"/>
        <w:tabs>
          <w:tab w:leader="none" w:pos="1167" w:val="left"/>
        </w:tabs>
        <w:numPr>
          <w:ilvl w:val="2"/>
          <w:numId w:val="154"/>
        </w:numPr>
        <w:rPr>
          <w:rFonts w:ascii="Arial" w:cs="Arial" w:eastAsia="Arial" w:hAnsi="Arial"/>
          <w:sz w:val="18"/>
          <w:szCs w:val="18"/>
          <w:color w:val="auto"/>
        </w:rPr>
      </w:pPr>
      <w:r>
        <w:rPr>
          <w:rFonts w:ascii="Arial" w:cs="Arial" w:eastAsia="Arial" w:hAnsi="Arial"/>
          <w:sz w:val="18"/>
          <w:szCs w:val="18"/>
          <w:color w:val="auto"/>
        </w:rPr>
        <w:t>the consent of the Swing Line Lender (such consent not to be unreasonably withheld, delayed or conditioned) shall be required for any assignment.</w:t>
      </w:r>
    </w:p>
    <w:p>
      <w:pPr>
        <w:spacing w:after="0" w:line="50" w:lineRule="exact"/>
        <w:rPr>
          <w:rFonts w:ascii="Arial" w:cs="Arial" w:eastAsia="Arial" w:hAnsi="Arial"/>
          <w:sz w:val="18"/>
          <w:szCs w:val="18"/>
          <w:color w:val="auto"/>
        </w:rPr>
      </w:pPr>
    </w:p>
    <w:p>
      <w:pPr>
        <w:ind w:firstLine="443"/>
        <w:spacing w:after="0" w:line="256" w:lineRule="auto"/>
        <w:tabs>
          <w:tab w:leader="none" w:pos="735" w:val="left"/>
        </w:tabs>
        <w:numPr>
          <w:ilvl w:val="1"/>
          <w:numId w:val="155"/>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permitted by </w:t>
      </w:r>
      <w:r>
        <w:rPr>
          <w:rFonts w:ascii="Arial" w:cs="Arial" w:eastAsia="Arial" w:hAnsi="Arial"/>
          <w:sz w:val="18"/>
          <w:szCs w:val="18"/>
          <w:u w:val="single" w:color="auto"/>
          <w:color w:val="auto"/>
        </w:rPr>
        <w:t>Section 11.06(b)</w:t>
      </w:r>
      <w:r>
        <w:rPr>
          <w:rFonts w:ascii="Arial" w:cs="Arial" w:eastAsia="Arial" w:hAnsi="Arial"/>
          <w:sz w:val="18"/>
          <w:szCs w:val="18"/>
          <w:color w:val="auto"/>
        </w:rPr>
        <w:t xml:space="preserve">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1"/>
          <w:numId w:val="155"/>
        </w:numPr>
        <w:rPr>
          <w:rFonts w:ascii="Arial" w:cs="Arial" w:eastAsia="Arial" w:hAnsi="Arial"/>
          <w:sz w:val="16"/>
          <w:szCs w:val="16"/>
          <w:color w:val="auto"/>
        </w:rPr>
      </w:pPr>
      <w:r>
        <w:rPr>
          <w:rFonts w:ascii="Arial" w:cs="Arial" w:eastAsia="Arial" w:hAnsi="Arial"/>
          <w:sz w:val="16"/>
          <w:szCs w:val="16"/>
          <w:u w:val="single" w:color="auto"/>
          <w:color w:val="auto"/>
        </w:rPr>
        <w:t>No Assignment to Certain Persons</w:t>
      </w:r>
      <w:r>
        <w:rPr>
          <w:rFonts w:ascii="Arial" w:cs="Arial" w:eastAsia="Arial" w:hAnsi="Arial"/>
          <w:sz w:val="16"/>
          <w:szCs w:val="16"/>
          <w:color w:val="auto"/>
        </w:rPr>
        <w:t>. No such assignment shall be made (A) to the Company or any of the Company’s Affiliates or Subsidiaries, or</w:t>
      </w:r>
    </w:p>
    <w:p>
      <w:pPr>
        <w:spacing w:after="0" w:line="38" w:lineRule="exact"/>
        <w:rPr>
          <w:rFonts w:ascii="Arial" w:cs="Arial" w:eastAsia="Arial" w:hAnsi="Arial"/>
          <w:sz w:val="16"/>
          <w:szCs w:val="16"/>
          <w:color w:val="auto"/>
        </w:rPr>
      </w:pPr>
    </w:p>
    <w:p>
      <w:pPr>
        <w:ind w:right="420" w:firstLine="4"/>
        <w:spacing w:after="0" w:line="261" w:lineRule="auto"/>
        <w:tabs>
          <w:tab w:leader="none" w:pos="27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to any Defaulting Lender or any of its Subsidiaries, or any Person who, upon becoming a Lender hereunder, would constitute any of the foregoing Persons described in this clause (B), or (C) to a natural person.</w:t>
      </w:r>
    </w:p>
    <w:p>
      <w:pPr>
        <w:spacing w:after="0" w:line="56" w:lineRule="exact"/>
        <w:rPr>
          <w:rFonts w:ascii="Arial" w:cs="Arial" w:eastAsia="Arial" w:hAnsi="Arial"/>
          <w:sz w:val="18"/>
          <w:szCs w:val="18"/>
          <w:color w:val="auto"/>
        </w:rPr>
      </w:pPr>
    </w:p>
    <w:p>
      <w:pPr>
        <w:ind w:right="20" w:firstLine="443"/>
        <w:spacing w:after="0" w:line="268" w:lineRule="auto"/>
        <w:tabs>
          <w:tab w:leader="none" w:pos="735"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No Assignment Resulting in Additional Indemnified Taxes</w:t>
      </w:r>
      <w:r>
        <w:rPr>
          <w:rFonts w:ascii="Arial" w:cs="Arial" w:eastAsia="Arial" w:hAnsi="Arial"/>
          <w:sz w:val="18"/>
          <w:szCs w:val="18"/>
          <w:color w:val="auto"/>
        </w:rPr>
        <w:t>. No such assignment shall be made to any Person that, through its Lending Offices, is not capable of lending Canadian Dollars to each Borrower without the imposition of any additional Indemnified Taxes.</w:t>
      </w:r>
    </w:p>
    <w:p>
      <w:pPr>
        <w:spacing w:after="0" w:line="50" w:lineRule="exact"/>
        <w:rPr>
          <w:rFonts w:ascii="Arial" w:cs="Arial" w:eastAsia="Arial" w:hAnsi="Arial"/>
          <w:sz w:val="18"/>
          <w:szCs w:val="18"/>
          <w:color w:val="auto"/>
        </w:rPr>
      </w:pPr>
    </w:p>
    <w:p>
      <w:pPr>
        <w:ind w:right="420" w:firstLine="443"/>
        <w:spacing w:after="0" w:line="323" w:lineRule="auto"/>
        <w:tabs>
          <w:tab w:leader="none" w:pos="784" w:val="left"/>
        </w:tabs>
        <w:numPr>
          <w:ilvl w:val="1"/>
          <w:numId w:val="156"/>
        </w:numPr>
        <w:rPr>
          <w:rFonts w:ascii="Arial" w:cs="Arial" w:eastAsia="Arial" w:hAnsi="Arial"/>
          <w:sz w:val="15"/>
          <w:szCs w:val="15"/>
          <w:color w:val="auto"/>
        </w:rPr>
      </w:pPr>
      <w:r>
        <w:rPr>
          <w:rFonts w:ascii="Arial" w:cs="Arial" w:eastAsia="Arial" w:hAnsi="Arial"/>
          <w:sz w:val="15"/>
          <w:szCs w:val="15"/>
          <w:u w:val="single" w:color="auto"/>
          <w:color w:val="auto"/>
        </w:rPr>
        <w:t>Certain Additional Payments</w:t>
      </w:r>
      <w:r>
        <w:rPr>
          <w:rFonts w:ascii="Arial" w:cs="Arial" w:eastAsia="Arial" w:hAnsi="Arial"/>
          <w:sz w:val="15"/>
          <w:szCs w:val="15"/>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w:t>
      </w:r>
    </w:p>
    <w:p>
      <w:pPr>
        <w:spacing w:after="0" w:line="8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960"/>
          </w:cols>
          <w:pgMar w:left="700" w:top="280" w:right="239" w:bottom="1440" w:gutter="0" w:footer="0" w:header="0"/>
        </w:sectPr>
      </w:pPr>
    </w:p>
    <w:bookmarkStart w:id="146" w:name="page147"/>
    <w:bookmarkEnd w:id="146"/>
    <w:p>
      <w:pPr>
        <w:ind w:left="4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Committed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3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11.04</w:t>
      </w:r>
      <w:r>
        <w:rPr>
          <w:rFonts w:ascii="Arial" w:cs="Arial" w:eastAsia="Arial" w:hAnsi="Arial"/>
          <w:sz w:val="16"/>
          <w:szCs w:val="16"/>
          <w:color w:val="auto"/>
        </w:rPr>
        <w:t xml:space="preserve"> with respect to facts and circumstances occurring prior to the effective date of such assignment. Upon request, each Borrower (at its expense) shall execute and deliver a Note to the assignee Lender against receipt by such Borrower of the cancelled original Note issued by such Borrower to the assignor, if its entire Commitment was assigned, or evidence that such assignor’s Note is marked to reflect its reduction.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42" w:lineRule="exact"/>
        <w:rPr>
          <w:sz w:val="20"/>
          <w:szCs w:val="20"/>
          <w:color w:val="auto"/>
        </w:rPr>
      </w:pPr>
    </w:p>
    <w:p>
      <w:pPr>
        <w:ind w:right="100" w:firstLine="464"/>
        <w:spacing w:after="0" w:line="288" w:lineRule="auto"/>
        <w:tabs>
          <w:tab w:leader="none" w:pos="695"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acting solely for this purpose as an agent of the Borrowers (and such agency being solely for tax purposes), shall maintain at the Administrative Agent’s Office a copy of each Assignment and Assumption delivered to it and a register for the recordation of the names and addresses of the Lenders, and the Commitments of, and principal amounts (and stated interest) of the Loans and L/C Obligations owing to, each Lender pursuant to the terms hereof from time to time and recordation of Assignments and Assumptions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the Borrowers, the Administrative 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Company and any Lender, at any reasonable time and from time to time upon reasonable prior notice, and the Administrative Agent shall provide any information therein as the Company shall reasonably request from time to time.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280" w:right="239" w:bottom="1440" w:gutter="0" w:footer="0" w:header="0"/>
        </w:sectPr>
      </w:pPr>
    </w:p>
    <w:bookmarkStart w:id="147" w:name="page148"/>
    <w:bookmarkEnd w:id="147"/>
    <w:p>
      <w:pPr>
        <w:ind w:firstLine="464"/>
        <w:spacing w:after="0" w:line="290" w:lineRule="auto"/>
        <w:tabs>
          <w:tab w:leader="none" w:pos="705"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Participations</w:t>
      </w:r>
      <w:r>
        <w:rPr>
          <w:rFonts w:ascii="Arial" w:cs="Arial" w:eastAsia="Arial" w:hAnsi="Arial"/>
          <w:sz w:val="16"/>
          <w:szCs w:val="16"/>
          <w:color w:val="auto"/>
        </w:rPr>
        <w:t>. Any Lender may at any time, without the consent of, or notice to, any Borrower or the Administrative Agent, sell participations to any Person (other than a natural person, a Defaulting Lender or the Company or any of the Company’s Affiliates or Subsidiaries) (each,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and/or obligations under this Agreement (including all or a portion of its Commitment and/or the Loans (including such Lender’s participations in L/C Obligations and/or Swing Line Loans owing to it and Canadian BA’s);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 shall continue to deal solely and directly with such Lender in connection with such Lender’s rights and obligations under this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agreement or instrument pursuant to which a Lender sells such a participation shall provide that such Lender shall retain the sole right to enforce this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such Lender will not, without the consent of the Participant, agree to any amendment, waiver or other modification described in the first proviso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Section 11.01</w:t>
      </w:r>
      <w:r>
        <w:rPr>
          <w:rFonts w:ascii="Arial" w:cs="Arial" w:eastAsia="Arial" w:hAnsi="Arial"/>
          <w:sz w:val="15"/>
          <w:szCs w:val="15"/>
          <w:color w:val="auto"/>
        </w:rPr>
        <w:t xml:space="preserve"> that affects such Participant. Subject to subsection (e) of this Section, each Borrower agrees that each Participant shall be entitled to the benefits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(subject to the requirements and limitations therein, including the requirements under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(it being understood that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documentation required under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shall be delivered to the participating Lender) and the obligations imposed by such Sections and shall be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replacement pursuant to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to the same extent as if it were a Lender and had acquired its interest by assignment pursuant to subsection (b) of this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Section. Each Lender that sells a participation agrees, at such Lender’s request and expense, to use reasonable efforts to cooperate with the Company to effectuate</w:t>
      </w:r>
    </w:p>
    <w:p>
      <w:pPr>
        <w:spacing w:after="0" w:line="4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the provisions of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with respect to any Participant. To the extent permitted by law, each Participant also shall be entitled to the benefits of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Participant agrees to be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as though it were a Lender. Each Lender that sells a participation shall, solely for tax purposes, maintain a register on which it enters the name and address of each Participant in such Lender’s Loans and the principal amounts (and stated interest) of each such Participant’s interest in such Lender’s Loans or other obligations under the Loan Documents (the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its Participant Register to any Person (including the identity of any Participant or any information relating to a Participant’s interest in such Lender’s commitments, loans, letters of credit or its other obligations under any Loan Document) except to the extent that such disclosure is necessary to establish that such commitment, loan, letter of credit or other obligation is in registered form under Section 5f.103-1(c) of the Treasury regulations. The entries in the Participant Register shall be conclusive absent manifest error, and such Lender shall treat each Person whose name is recorded in such Lender’s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280" w:right="259" w:bottom="1440" w:gutter="0" w:footer="0" w:header="0"/>
        </w:sectPr>
      </w:pPr>
    </w:p>
    <w:bookmarkStart w:id="148" w:name="page149"/>
    <w:bookmarkEnd w:id="148"/>
    <w:p>
      <w:pPr>
        <w:ind w:right="20" w:firstLine="464"/>
        <w:spacing w:after="0" w:line="255" w:lineRule="auto"/>
        <w:tabs>
          <w:tab w:leader="none" w:pos="695"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Limitations upon Participant Rights</w:t>
      </w:r>
      <w:r>
        <w:rPr>
          <w:rFonts w:ascii="Arial" w:cs="Arial" w:eastAsia="Arial" w:hAnsi="Arial"/>
          <w:sz w:val="18"/>
          <w:szCs w:val="18"/>
          <w:color w:val="auto"/>
        </w:rPr>
        <w:t xml:space="preserve">. A Participant shall not be entitled to receive any greater payment under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Company’s prior written consent. A Participant that would be a Foreign Lender if it were a Lender shall not be entitled to the benefits of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unless the Company is notified of the participation sold to such Participant and such Participant agrees, for the benefit of the Borrowers, to comply and complies with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as though it were a Lender.</w:t>
      </w:r>
    </w:p>
    <w:p>
      <w:pPr>
        <w:spacing w:after="0" w:line="142" w:lineRule="exact"/>
        <w:rPr>
          <w:rFonts w:ascii="Arial" w:cs="Arial" w:eastAsia="Arial" w:hAnsi="Arial"/>
          <w:sz w:val="18"/>
          <w:szCs w:val="18"/>
          <w:color w:val="auto"/>
        </w:rPr>
      </w:pPr>
    </w:p>
    <w:p>
      <w:pPr>
        <w:ind w:firstLine="464"/>
        <w:spacing w:after="0" w:line="256" w:lineRule="auto"/>
        <w:tabs>
          <w:tab w:leader="none" w:pos="676"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or any central bank having jurisdiction over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43" w:lineRule="exact"/>
        <w:rPr>
          <w:rFonts w:ascii="Arial" w:cs="Arial" w:eastAsia="Arial" w:hAnsi="Arial"/>
          <w:sz w:val="18"/>
          <w:szCs w:val="18"/>
          <w:color w:val="auto"/>
        </w:rPr>
      </w:pPr>
    </w:p>
    <w:p>
      <w:pPr>
        <w:ind w:right="60" w:firstLine="464"/>
        <w:spacing w:after="0" w:line="286" w:lineRule="auto"/>
        <w:tabs>
          <w:tab w:leader="none" w:pos="705"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Resignation as L/C Issuer or Swing Line Lender after Assignment</w:t>
      </w:r>
      <w:r>
        <w:rPr>
          <w:rFonts w:ascii="Arial" w:cs="Arial" w:eastAsia="Arial" w:hAnsi="Arial"/>
          <w:sz w:val="16"/>
          <w:szCs w:val="16"/>
          <w:color w:val="auto"/>
        </w:rPr>
        <w:t xml:space="preserve">. Notwithstanding anything to the contrary contained herein, if at any time Bank of America assigns all of its Commitment and Loans pursuant to subsection (b) above, Bank of America may, (i) upon 30 days’ notice to the Company and the Lenders, resign as L/C Issuer and/or (ii) upon 30 days’ notice to the Company, resign as Swing Line Lender. In the event of any such resignation as L/C Issuer or Swing Line Lender, the Company shall be entitled to appoint from among the Lenders a successor L/C Issuer (subject to such successor’s acceptance) or Swing Line Lender (subject to such successor’s acceptance)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failure by the Company to appoint any such successor shall affect the resignation of Bank of America as L/C Issuer or Swing 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Upon the appointment of a successor L/C Issuer, (a) such successor shall succeed to and become vested with all of the rights, powers, privileges and duties of the retiring L/C Issuer,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24" w:lineRule="exact"/>
        <w:rPr>
          <w:rFonts w:ascii="Arial" w:cs="Arial" w:eastAsia="Arial" w:hAnsi="Arial"/>
          <w:sz w:val="16"/>
          <w:szCs w:val="16"/>
          <w:color w:val="auto"/>
        </w:rPr>
      </w:pPr>
    </w:p>
    <w:p>
      <w:pPr>
        <w:ind w:right="400" w:firstLine="464"/>
        <w:spacing w:after="0" w:line="298" w:lineRule="auto"/>
        <w:tabs>
          <w:tab w:leader="none" w:pos="705"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Lost Notes</w:t>
      </w:r>
      <w:r>
        <w:rPr>
          <w:rFonts w:ascii="Arial" w:cs="Arial" w:eastAsia="Arial" w:hAnsi="Arial"/>
          <w:sz w:val="16"/>
          <w:szCs w:val="16"/>
          <w:color w:val="auto"/>
        </w:rPr>
        <w:t>. Upon receipt of an affidavit reasonably satisfactory to the Company of an officer of any Lender as to the loss, theft, destruction or mutilation of its Note which is not of public record, and, in the case of any such loss, theft, destruction or mutilation, upon cancellation of such Note, each Borrower will execute and deliver, in lieu thereof, a replacement Note in the principal amount of such Lender’s then Commitment or if no Commitment is in effect, the outstanding principal amount owed to such Lender and otherwise of like tenor.</w:t>
      </w:r>
    </w:p>
    <w:p>
      <w:pPr>
        <w:spacing w:after="0" w:line="107"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 xml:space="preserve">11.07 Treatment of Certain Information; Confidentiality. </w:t>
      </w:r>
      <w:r>
        <w:rPr>
          <w:rFonts w:ascii="Arial" w:cs="Arial" w:eastAsia="Arial" w:hAnsi="Arial"/>
          <w:sz w:val="18"/>
          <w:szCs w:val="18"/>
          <w:color w:val="auto"/>
        </w:rPr>
        <w:t>Each of the Administrative Agent, the Lenders and the L/C Issuer (for itself and each of its</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Parties) agrees to maintain the confidentiality of the Information (as defined below), except that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280" w:right="239" w:bottom="1440" w:gutter="0" w:footer="0" w:header="0"/>
        </w:sectPr>
      </w:pPr>
    </w:p>
    <w:bookmarkStart w:id="149" w:name="page150"/>
    <w:bookmarkEnd w:id="14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and will maintain such confidences), (b) to the extent requested or required by applicable laws or regulations or by any subpoena or similar legal process, including in connection with any pledge or assignment made pursuant to </w:t>
      </w:r>
      <w:r>
        <w:rPr>
          <w:rFonts w:ascii="Arial" w:cs="Arial" w:eastAsia="Arial" w:hAnsi="Arial"/>
          <w:sz w:val="16"/>
          <w:szCs w:val="16"/>
          <w:u w:val="single" w:color="auto"/>
          <w:color w:val="auto"/>
        </w:rPr>
        <w:t>Section 11.06(f)</w:t>
      </w:r>
      <w:r>
        <w:rPr>
          <w:rFonts w:ascii="Arial" w:cs="Arial" w:eastAsia="Arial" w:hAnsi="Arial"/>
          <w:sz w:val="16"/>
          <w:szCs w:val="16"/>
          <w:color w:val="auto"/>
        </w:rPr>
        <w:t xml:space="preserve">, (c) subject to this </w:t>
      </w:r>
      <w:r>
        <w:rPr>
          <w:rFonts w:ascii="Arial" w:cs="Arial" w:eastAsia="Arial" w:hAnsi="Arial"/>
          <w:sz w:val="16"/>
          <w:szCs w:val="16"/>
          <w:u w:val="single" w:color="auto"/>
          <w:color w:val="auto"/>
        </w:rPr>
        <w:t>Section 11.07</w:t>
      </w:r>
      <w:r>
        <w:rPr>
          <w:rFonts w:ascii="Arial" w:cs="Arial" w:eastAsia="Arial" w:hAnsi="Arial"/>
          <w:sz w:val="16"/>
          <w:szCs w:val="16"/>
          <w:color w:val="auto"/>
        </w:rPr>
        <w:t xml:space="preserve">, to any other party hereto, (d) in connection with the exercise of any remedies hereunder or under any other Loan Document or any action or proceeding relating to this Agreement or any other Loan Document or in connection with any Default or anticipated Default, the enforcement of rights hereunder or thereunder, (e) subject to an agreement containing provisions substantially the same as those of this Section, to (i) any assignee of or Participant in, or any prospective assignee of or Participant in, any of its rights or obligations under this Agreement or any Proposed Lender invited to be a Lender pursuant to </w:t>
      </w:r>
      <w:r>
        <w:rPr>
          <w:rFonts w:ascii="Arial" w:cs="Arial" w:eastAsia="Arial" w:hAnsi="Arial"/>
          <w:sz w:val="16"/>
          <w:szCs w:val="16"/>
          <w:u w:val="single" w:color="auto"/>
          <w:color w:val="auto"/>
        </w:rPr>
        <w:t>Section 2.15(c)</w:t>
      </w:r>
      <w:r>
        <w:rPr>
          <w:rFonts w:ascii="Arial" w:cs="Arial" w:eastAsia="Arial" w:hAnsi="Arial"/>
          <w:sz w:val="16"/>
          <w:szCs w:val="16"/>
          <w:color w:val="auto"/>
        </w:rPr>
        <w:t xml:space="preserve"> or (ii) any actual or prospective counterparty (or its advisors) to any swap or derivative transaction relating to, and requested by, any Borrower and its obligations, (f) with the consent of the Company or (g) to the extent such Information (x) becomes publicly available other than as a result of a breach of this Section or (y) becomes available to the Administrative Agent, any Lender, the L/C Issuer or any of their respective Affiliates on a nonconfidential basis from a source other than the Company.</w:t>
      </w:r>
    </w:p>
    <w:p>
      <w:pPr>
        <w:spacing w:after="0" w:line="12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purposes of this Section, “Information” means all information received from the Company, PAA or any Subsidiary relating to the Company, PAA or any Subsidiary, or any Affiliate of any of them, or any of their respective businesses, other than any such information that is available to the Administrative Agent, any Lender or the L/C Issuer on a nonconfidential basis prior to disclosure by the Company or any Subsidiary, provided that, in the case of information received from the Company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20"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Each of the Administrative Agent, the Lenders and the L/C Issuer acknowledges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8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11.08 Right of Setoff. </w:t>
      </w:r>
      <w:r>
        <w:rPr>
          <w:rFonts w:ascii="Arial" w:cs="Arial" w:eastAsia="Arial" w:hAnsi="Arial"/>
          <w:sz w:val="18"/>
          <w:szCs w:val="18"/>
          <w:color w:val="auto"/>
        </w:rPr>
        <w:t>At any time and from time to time during the continuance of any Event of Default, each Lender and the L/C Issuer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to the fullest extent permitted by applicable law, to set off and apply against the payment Obligations then due and payable (without notice to any Borrower or PAA) any and all deposits (general or special, time or demand, provisional or final, in whatever currency) at any time held and other obligations (in whatever currency) at any time owing by such Lender, the L/C Issuer or any such Affiliate to or for the credit or the account of such Borrower or PAA; provided, that in the event that any Defaulting Lender shall exercise any such right of setoff, (x) all amounts so set off shall be paid over immediately to the Administrative Agent for further application in accordance with the</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40"/>
          </w:cols>
          <w:pgMar w:left="240" w:top="280" w:right="319" w:bottom="1440" w:gutter="0" w:footer="0" w:header="0"/>
        </w:sectPr>
      </w:pPr>
    </w:p>
    <w:bookmarkStart w:id="150" w:name="page151"/>
    <w:bookmarkEnd w:id="150"/>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provisions of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Company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11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color w:val="auto"/>
        </w:rPr>
        <w:t xml:space="preserve">11.09 Interest Rate Limitation. </w:t>
      </w:r>
      <w:r>
        <w:rPr>
          <w:rFonts w:ascii="Arial" w:cs="Arial" w:eastAsia="Arial" w:hAnsi="Arial"/>
          <w:sz w:val="16"/>
          <w:szCs w:val="16"/>
          <w:color w:val="auto"/>
        </w:rPr>
        <w:t>Notwithstanding anything to the contrary contained in any Loan Document, the interest paid or agreed to be paid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Loan Documents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xml:space="preserve">”). If the Administrative Agent or any Lender shall receive interest in an amount that exceeds the Maximum Rate, the excess interest shall be applied to the principal of the Loans or, if it exceeds such unpaid principal, refunded to the appropriate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In no event shall the aggregate “interest” (as defined in section 347 of the Criminal Code (Canada)) payable by PMCULC under the Loan Documents exceed the maximum effective annual rate of interest on the “credit advanced” (as defined in that section) permitted under that section and, if any payment, collection or demand pursuant to this Agreement in respect of “interest” (as defined in that section) is determined to be contrary to the provisions of that section, such payment, collection or demand shall be deemed to have been made by mutual mistake of PMCULC, Administrative Agent and Lenders and the amount of such excess payment or collection shall be refunded to PMCULC. For purposes of any Notes made by PMCULC, the effective annual rate of interest shall be determined in accordance with generally accepted actuarial practices and principles over the term applicable thereto on the basis of annual compounding of the lawfully permitted rate of interest and, in the event of dispute, a certificate of a Fellow of the Canadian Institute of Actuaries appointed by Administrative Agent shall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for the purposes of such determination.</w:t>
      </w:r>
    </w:p>
    <w:p>
      <w:pPr>
        <w:spacing w:after="0" w:line="11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11.10 Counterparts; Integration; Effectiveness. </w:t>
      </w:r>
      <w:r>
        <w:rPr>
          <w:rFonts w:ascii="Arial" w:cs="Arial" w:eastAsia="Arial" w:hAnsi="Arial"/>
          <w:sz w:val="16"/>
          <w:szCs w:val="16"/>
          <w:color w:val="auto"/>
        </w:rPr>
        <w:t>This Agreement may be executed in counterparts (and by different parties hereto in different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6"/>
          <w:szCs w:val="16"/>
          <w:u w:val="single" w:color="auto"/>
          <w:color w:val="auto"/>
        </w:rPr>
        <w:t>Section 4.01</w:t>
      </w:r>
      <w:r>
        <w:rPr>
          <w:rFonts w:ascii="Arial" w:cs="Arial" w:eastAsia="Arial" w:hAnsi="Arial"/>
          <w:sz w:val="16"/>
          <w:szCs w:val="16"/>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other electronic imaging means shall be effective as delivery of a manually executed counterpart of this Agreement.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280" w:right="259" w:bottom="1440" w:gutter="0" w:footer="0" w:header="0"/>
        </w:sectPr>
      </w:pPr>
    </w:p>
    <w:bookmarkStart w:id="151" w:name="page152"/>
    <w:bookmarkEnd w:id="151"/>
    <w:p>
      <w:pPr>
        <w:ind w:right="260" w:firstLine="456"/>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11.11 Survival of Representations and Warranties. </w:t>
      </w:r>
      <w:r>
        <w:rPr>
          <w:rFonts w:ascii="Arial" w:cs="Arial" w:eastAsia="Arial" w:hAnsi="Arial"/>
          <w:sz w:val="16"/>
          <w:szCs w:val="16"/>
          <w:color w:val="auto"/>
        </w:rPr>
        <w:t>All representations and warranties made hereunder and in any other Loan Document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1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 xml:space="preserve">11.12 Severability. </w:t>
      </w:r>
      <w:r>
        <w:rPr>
          <w:rFonts w:ascii="Arial" w:cs="Arial" w:eastAsia="Arial" w:hAnsi="Arial"/>
          <w:sz w:val="16"/>
          <w:szCs w:val="16"/>
          <w:color w:val="auto"/>
        </w:rPr>
        <w:t>If any provision of this Agreement or the other Loan Documents is held to be illegal, invalid or unenforceable, (a) the legality, validity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6"/>
          <w:szCs w:val="16"/>
          <w:u w:val="single" w:color="auto"/>
          <w:color w:val="auto"/>
        </w:rPr>
        <w:t>Section 11.12</w:t>
      </w:r>
      <w:r>
        <w:rPr>
          <w:rFonts w:ascii="Arial" w:cs="Arial" w:eastAsia="Arial" w:hAnsi="Arial"/>
          <w:sz w:val="16"/>
          <w:szCs w:val="16"/>
          <w:color w:val="auto"/>
        </w:rPr>
        <w:t>, if and to the extent that the enforceability of any provisions in this Agreement relating to Defaulting Lenders shall be limited by Debtor Relief Laws, as determined in good faith by the Administrative Agent, the L/C Issuer, then such provisions shall be deemed to be in effect only to the extent not so limited.</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11.13 Replacement of Lenders. </w:t>
      </w:r>
      <w:r>
        <w:rPr>
          <w:rFonts w:ascii="Arial" w:cs="Arial" w:eastAsia="Arial" w:hAnsi="Arial"/>
          <w:sz w:val="16"/>
          <w:szCs w:val="16"/>
          <w:color w:val="auto"/>
        </w:rPr>
        <w:t>If (i) any Lender requests compensation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3.04</w:t>
      </w:r>
      <w:r>
        <w:rPr>
          <w:rFonts w:ascii="Arial" w:cs="Arial" w:eastAsia="Arial" w:hAnsi="Arial"/>
          <w:sz w:val="16"/>
          <w:szCs w:val="16"/>
          <w:b w:val="1"/>
          <w:bCs w:val="1"/>
          <w:color w:val="auto"/>
        </w:rPr>
        <w:t xml:space="preserve"> </w:t>
      </w:r>
      <w:r>
        <w:rPr>
          <w:rFonts w:ascii="Arial" w:cs="Arial" w:eastAsia="Arial" w:hAnsi="Arial"/>
          <w:sz w:val="16"/>
          <w:szCs w:val="16"/>
          <w:color w:val="auto"/>
        </w:rPr>
        <w:t>or gives a notice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3.02</w:t>
      </w:r>
      <w:r>
        <w:rPr>
          <w:rFonts w:ascii="Arial" w:cs="Arial" w:eastAsia="Arial" w:hAnsi="Arial"/>
          <w:sz w:val="16"/>
          <w:szCs w:val="16"/>
          <w:b w:val="1"/>
          <w:bCs w:val="1"/>
          <w:color w:val="auto"/>
        </w:rPr>
        <w:t xml:space="preserve"> </w:t>
      </w:r>
      <w:r>
        <w:rPr>
          <w:rFonts w:ascii="Arial" w:cs="Arial" w:eastAsia="Arial" w:hAnsi="Arial"/>
          <w:sz w:val="16"/>
          <w:szCs w:val="16"/>
          <w:color w:val="auto"/>
        </w:rPr>
        <w:t>and does not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subsequently designate a different Lending Office or assign its rights and obligations hereunder to another of its offices, branches or affiliates as provided in </w:t>
      </w:r>
      <w:r>
        <w:rPr>
          <w:rFonts w:ascii="Arial" w:cs="Arial" w:eastAsia="Arial" w:hAnsi="Arial"/>
          <w:sz w:val="16"/>
          <w:szCs w:val="16"/>
          <w:u w:val="single" w:color="auto"/>
          <w:color w:val="auto"/>
        </w:rPr>
        <w:t>Section 3.06(a)</w:t>
      </w:r>
      <w:r>
        <w:rPr>
          <w:rFonts w:ascii="Arial" w:cs="Arial" w:eastAsia="Arial" w:hAnsi="Arial"/>
          <w:sz w:val="16"/>
          <w:szCs w:val="16"/>
          <w:color w:val="auto"/>
        </w:rPr>
        <w:t xml:space="preserve">, (ii) any Borrower is required to pay any additional amount to any Lender or any Governmental Authority for the account of any Lender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(iii) any Lender is a Defaulting Lender, (iv) other than as set forth in the immediately succeeding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any Lender fails to consent to an election, consent, amendment, waiver or other modification to this Agreement or any other Loan Document that requires the consent of (A) the Required Lenders, and such election, consent, amendment, waiver or other modification is otherwise consented to by the Required Lenders, or (B) all Lenders (or all Lenders directly affected thereby), and such election, consent, amendment, waiver or other modification is otherwise consented to by Supermajority Lenders, (v) any Lender is a Non-Extending Lender or (vi) any other circumstance exists hereunder that gives the Company the right to replace a Lender as a party hereto,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6"/>
          <w:szCs w:val="16"/>
          <w:u w:val="single" w:color="auto"/>
          <w:color w:val="auto"/>
        </w:rPr>
        <w:t>Section 11.06</w:t>
      </w:r>
      <w:r>
        <w:rPr>
          <w:rFonts w:ascii="Arial" w:cs="Arial" w:eastAsia="Arial" w:hAnsi="Arial"/>
          <w:sz w:val="16"/>
          <w:szCs w:val="16"/>
          <w:color w:val="auto"/>
        </w:rPr>
        <w:t>), all of its interests, rights and obligations under this Agreement and the related Loan Documents to an assignee that shall assume such obligations (which assignee may be another Lender, if a Lender accepts such assignment), provided that:</w:t>
      </w:r>
    </w:p>
    <w:p>
      <w:pPr>
        <w:spacing w:after="0" w:line="40" w:lineRule="exact"/>
        <w:rPr>
          <w:sz w:val="20"/>
          <w:szCs w:val="20"/>
          <w:color w:val="auto"/>
        </w:rPr>
      </w:pPr>
    </w:p>
    <w:p>
      <w:pPr>
        <w:ind w:right="180" w:firstLine="464"/>
        <w:spacing w:after="0" w:line="268" w:lineRule="auto"/>
        <w:tabs>
          <w:tab w:leader="none" w:pos="69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unless paid by the assignee or waived by the Administrative Agent in its sole discretion, the Company shall have paid (or caused PMCULC to pay) to the Administrative Agent the assignment fee specified in </w:t>
      </w:r>
      <w:r>
        <w:rPr>
          <w:rFonts w:ascii="Arial" w:cs="Arial" w:eastAsia="Arial" w:hAnsi="Arial"/>
          <w:sz w:val="18"/>
          <w:szCs w:val="18"/>
          <w:u w:val="single" w:color="auto"/>
          <w:color w:val="auto"/>
        </w:rPr>
        <w:t>Section 11.06(b)</w:t>
      </w:r>
      <w:r>
        <w:rPr>
          <w:rFonts w:ascii="Arial" w:cs="Arial" w:eastAsia="Arial" w:hAnsi="Arial"/>
          <w:sz w:val="18"/>
          <w:szCs w:val="18"/>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273" w:right="259" w:bottom="1440" w:gutter="0" w:footer="0" w:header="0"/>
        </w:sectPr>
      </w:pPr>
    </w:p>
    <w:bookmarkStart w:id="152" w:name="page153"/>
    <w:bookmarkEnd w:id="152"/>
    <w:p>
      <w:pPr>
        <w:ind w:right="160" w:firstLine="464"/>
        <w:spacing w:after="0" w:line="335" w:lineRule="auto"/>
        <w:tabs>
          <w:tab w:leader="none" w:pos="705" w:val="left"/>
        </w:tabs>
        <w:numPr>
          <w:ilvl w:val="0"/>
          <w:numId w:val="16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5"/>
          <w:szCs w:val="15"/>
          <w:u w:val="single" w:color="auto"/>
          <w:color w:val="auto"/>
        </w:rPr>
        <w:t>Section 3.05</w:t>
      </w:r>
      <w:r>
        <w:rPr>
          <w:rFonts w:ascii="Arial" w:cs="Arial" w:eastAsia="Arial" w:hAnsi="Arial"/>
          <w:sz w:val="15"/>
          <w:szCs w:val="15"/>
          <w:color w:val="auto"/>
        </w:rPr>
        <w:t xml:space="preserve"> and subject to </w:t>
      </w:r>
      <w:r>
        <w:rPr>
          <w:rFonts w:ascii="Arial" w:cs="Arial" w:eastAsia="Arial" w:hAnsi="Arial"/>
          <w:sz w:val="15"/>
          <w:szCs w:val="15"/>
          <w:u w:val="single" w:color="auto"/>
          <w:color w:val="auto"/>
        </w:rPr>
        <w:t>Section 2.17</w:t>
      </w:r>
      <w:r>
        <w:rPr>
          <w:rFonts w:ascii="Arial" w:cs="Arial" w:eastAsia="Arial" w:hAnsi="Arial"/>
          <w:sz w:val="15"/>
          <w:szCs w:val="15"/>
          <w:color w:val="auto"/>
        </w:rPr>
        <w:t>) from the assignee (to the extent of such outstanding principal and accrued interest and fees) or the Company (in the case of all other amounts);</w:t>
      </w:r>
    </w:p>
    <w:p>
      <w:pPr>
        <w:spacing w:after="0" w:line="7" w:lineRule="exact"/>
        <w:rPr>
          <w:rFonts w:ascii="Arial" w:cs="Arial" w:eastAsia="Arial" w:hAnsi="Arial"/>
          <w:sz w:val="15"/>
          <w:szCs w:val="15"/>
          <w:color w:val="auto"/>
        </w:rPr>
      </w:pPr>
    </w:p>
    <w:p>
      <w:pPr>
        <w:ind w:left="700" w:hanging="236"/>
        <w:spacing w:after="0"/>
        <w:tabs>
          <w:tab w:leader="none" w:pos="70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in the case of any such assignment resulting from a claim for compensation under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or payments required to be made pursuant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 and</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such assignment does not violate applicable Laws.</w:t>
      </w:r>
    </w:p>
    <w:p>
      <w:pPr>
        <w:spacing w:after="0" w:line="171"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 xml:space="preserve">Notwithstanding the foregoing rights of the Company under this Section, the Company may not replace any Lender which seeks compensation under </w:t>
      </w:r>
      <w:r>
        <w:rPr>
          <w:rFonts w:ascii="Arial" w:cs="Arial" w:eastAsia="Arial" w:hAnsi="Arial"/>
          <w:sz w:val="15"/>
          <w:szCs w:val="15"/>
          <w:u w:val="single" w:color="auto"/>
          <w:color w:val="auto"/>
        </w:rPr>
        <w:t>Section 3.04</w:t>
      </w:r>
      <w:r>
        <w:rPr>
          <w:rFonts w:ascii="Arial" w:cs="Arial" w:eastAsia="Arial" w:hAnsi="Arial"/>
          <w:sz w:val="15"/>
          <w:szCs w:val="15"/>
          <w:color w:val="auto"/>
        </w:rPr>
        <w:t xml:space="preserve"> or reimbursement under </w:t>
      </w:r>
      <w:r>
        <w:rPr>
          <w:rFonts w:ascii="Arial" w:cs="Arial" w:eastAsia="Arial" w:hAnsi="Arial"/>
          <w:sz w:val="15"/>
          <w:szCs w:val="15"/>
          <w:u w:val="single" w:color="auto"/>
          <w:color w:val="auto"/>
        </w:rPr>
        <w:t>Section 3.01</w:t>
      </w:r>
      <w:r>
        <w:rPr>
          <w:rFonts w:ascii="Arial" w:cs="Arial" w:eastAsia="Arial" w:hAnsi="Arial"/>
          <w:sz w:val="15"/>
          <w:szCs w:val="15"/>
          <w:color w:val="auto"/>
        </w:rPr>
        <w:t xml:space="preserve"> unless the Company is replacing all Lenders which are then seeking such compensation or reimbursement.</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11.14 Governing Law; Jurisdiction; Etc.</w:t>
      </w:r>
    </w:p>
    <w:p>
      <w:pPr>
        <w:spacing w:after="0" w:line="96" w:lineRule="exact"/>
        <w:rPr>
          <w:sz w:val="20"/>
          <w:szCs w:val="20"/>
          <w:color w:val="auto"/>
        </w:rPr>
      </w:pPr>
    </w:p>
    <w:p>
      <w:pPr>
        <w:ind w:right="420" w:firstLine="464"/>
        <w:spacing w:after="0" w:line="268" w:lineRule="auto"/>
        <w:tabs>
          <w:tab w:leader="none" w:pos="695"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 OF THE STATE OF NEW YORK, WITHOUT REGARD TO PRINCIPLES OF CONFLICTS OF LAWS.</w:t>
      </w:r>
    </w:p>
    <w:p>
      <w:pPr>
        <w:spacing w:after="0" w:line="50" w:lineRule="exact"/>
        <w:rPr>
          <w:rFonts w:ascii="Arial" w:cs="Arial" w:eastAsia="Arial" w:hAnsi="Arial"/>
          <w:sz w:val="18"/>
          <w:szCs w:val="18"/>
          <w:color w:val="auto"/>
        </w:rPr>
      </w:pPr>
    </w:p>
    <w:p>
      <w:pPr>
        <w:ind w:firstLine="464"/>
        <w:spacing w:after="0" w:line="286" w:lineRule="auto"/>
        <w:tabs>
          <w:tab w:leader="none" w:pos="705"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EACH BORROWER AND PAA IRREVOCABLY AND UNCONDITIONALLY SUBMITS, FOR ITSELF AND ITS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ANY BORROWER OR PAA OR ITS PROPERTIES IN THE COURTS OF ANY JURISDICTION.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280" w:right="239" w:bottom="1440" w:gutter="0" w:footer="0" w:header="0"/>
        </w:sectPr>
      </w:pPr>
    </w:p>
    <w:bookmarkStart w:id="153" w:name="page154"/>
    <w:bookmarkEnd w:id="153"/>
    <w:p>
      <w:pPr>
        <w:ind w:firstLine="464"/>
        <w:spacing w:after="0" w:line="254" w:lineRule="auto"/>
        <w:tabs>
          <w:tab w:leader="none" w:pos="695"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WAIVER OF VENUE</w:t>
      </w:r>
      <w:r>
        <w:rPr>
          <w:rFonts w:ascii="Arial" w:cs="Arial" w:eastAsia="Arial" w:hAnsi="Arial"/>
          <w:sz w:val="18"/>
          <w:szCs w:val="18"/>
          <w:color w:val="auto"/>
        </w:rPr>
        <w:t>. EACH BORROWER AND PAA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63" w:lineRule="exact"/>
        <w:rPr>
          <w:rFonts w:ascii="Arial" w:cs="Arial" w:eastAsia="Arial" w:hAnsi="Arial"/>
          <w:sz w:val="18"/>
          <w:szCs w:val="18"/>
          <w:color w:val="auto"/>
        </w:rPr>
      </w:pPr>
    </w:p>
    <w:p>
      <w:pPr>
        <w:ind w:right="80" w:firstLine="464"/>
        <w:spacing w:after="0" w:line="259" w:lineRule="auto"/>
        <w:tabs>
          <w:tab w:leader="none" w:pos="705"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11.02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21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color w:val="auto"/>
        </w:rPr>
        <w:t xml:space="preserve">11.15 Waiver of Jury Trial. </w:t>
      </w:r>
      <w:r>
        <w:rPr>
          <w:rFonts w:ascii="Arial" w:cs="Arial" w:eastAsia="Arial" w:hAnsi="Arial"/>
          <w:sz w:val="16"/>
          <w:szCs w:val="16"/>
          <w:color w:val="auto"/>
        </w:rPr>
        <w:t>EACH PARTY HERETO HEREBY IRREVOCABLY WAIVES, TO THE FULLEST EXTENT PERMITTED BY</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1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 xml:space="preserve">11.16 No Advisory or Fiduciary Responsibility. </w:t>
      </w:r>
      <w:r>
        <w:rPr>
          <w:rFonts w:ascii="Arial" w:cs="Arial" w:eastAsia="Arial" w:hAnsi="Arial"/>
          <w:sz w:val="16"/>
          <w:szCs w:val="16"/>
          <w:color w:val="auto"/>
        </w:rPr>
        <w:t>In connection with all aspects of each transaction contemplated hereby (including in connection with any</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waiver or other modification hereof or of any other Loan Document), each Borrower and PAA acknowledges and agrees, and acknowledges its Affiliates’ understanding, that: (a) (i) the arranging and other services regarding this Agreement provided by the Administrative Agent, the Arrangers, the Syndication Agent and the Lenders are arm’s-length commercial transactions between the Borrowers, PAA and their respective Affiliates, on the one hand, and the Administrative Agent, the Arrangers, the Syndication Agent and the Lenders, on the other hand, (ii) each of the Borrowers and PAA has consulted its own legal, accounting, regulatory and tax advisors to the extent it has deemed appropriate, and (iii) each of the Borrowers and PAA is capable of evaluating, and understands and accepts, the terms, risks and conditions of the transactions contemplated hereby and by the other Loan Documents; (b) (i) the Administrative Agent, the Syndication Agent and the Arrangers each is and has been acting solely as a principal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280" w:right="259" w:bottom="1440" w:gutter="0" w:footer="0" w:header="0"/>
        </w:sectPr>
      </w:pPr>
    </w:p>
    <w:bookmarkStart w:id="154" w:name="page155"/>
    <w:bookmarkEnd w:id="15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except as expressly agreed in writing by the relevant parties, has not been, is not, and will not be acting as an advisor, agent or fiduciary for any Borrower, PAA or any of their respective Affiliates, or any other Person and (ii) none of the Administrative Agent, any Arranger, the Syndication Agent nor any Lender has any obligation to any Borrower or any of its Affiliates with respect to the transactions contemplated hereby except those obligations expressly set forth herein and in the other Loan Documents; and (c) the Administrative Agent, the Arrangers, the Syndication Agent, the Lenders and their respective Affiliates may be engaged in a broad range of transactions that involve interests that differ from those of the Borrowers, PAA and their respective Affiliates, and none of the Administrative Agent, any Arranger, the Syndication Agent nor any Lender has any obligation to disclose any of such interests to any Borrower, PAA or any of their respective Affiliates. To the fullest extent permitted by law, each of the Borrowers and PAA hereby waives and releases any claims that it may have against the Administrative Agent, the Syndication Agent and the Arrangers with respect to any breach or alleged breach of agency or fiduciary duty in connection with any aspect of any transaction contemplated hereby.</w:t>
      </w:r>
    </w:p>
    <w:p>
      <w:pPr>
        <w:spacing w:after="0" w:line="114"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11.17 No Recourse to Other Persons. </w:t>
      </w:r>
      <w:r>
        <w:rPr>
          <w:rFonts w:ascii="Arial" w:cs="Arial" w:eastAsia="Arial" w:hAnsi="Arial"/>
          <w:sz w:val="16"/>
          <w:szCs w:val="16"/>
          <w:color w:val="auto"/>
        </w:rPr>
        <w:t>No past, present or future director, officer, partner, employee, incorporator, manager, stockholder, unitholder or</w:t>
      </w:r>
      <w:r>
        <w:rPr>
          <w:rFonts w:ascii="Arial" w:cs="Arial" w:eastAsia="Arial" w:hAnsi="Arial"/>
          <w:sz w:val="16"/>
          <w:szCs w:val="16"/>
          <w:b w:val="1"/>
          <w:bCs w:val="1"/>
          <w:color w:val="auto"/>
        </w:rPr>
        <w:t xml:space="preserve"> </w:t>
      </w:r>
      <w:r>
        <w:rPr>
          <w:rFonts w:ascii="Arial" w:cs="Arial" w:eastAsia="Arial" w:hAnsi="Arial"/>
          <w:sz w:val="16"/>
          <w:szCs w:val="16"/>
          <w:color w:val="auto"/>
        </w:rPr>
        <w:t>member of any Borrower, General Partner, PAA, PAA GP LLC, a Delaware limited liability company, Plains AAP, L.P., a Delaware limited partnership, or Plains All American GP LLC, a Delaware limited liability company, as such, and no past, present or future director, officer, partner, employee, incorporator, manager, stockholder, unitholder or member of any Subsidiary of the Company, as such, shall have any liability for any Obligations or for any claim based on, in respect of, or by reason of, the Obligations or their creation. Each party hereto, for itself and each of its Related Parties, waives and releases all such liability. The waiver and release are part of the consideration for the incurrence of Indebtedness by each Borrower hereunder and, as applicable, the making of the Notes.</w:t>
      </w:r>
    </w:p>
    <w:p>
      <w:pPr>
        <w:spacing w:after="0" w:line="11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11.18 Electronic Execution of Assignments and Certain Other Documents. </w:t>
      </w:r>
      <w:r>
        <w:rPr>
          <w:rFonts w:ascii="Arial" w:cs="Arial" w:eastAsia="Arial" w:hAnsi="Arial"/>
          <w:sz w:val="16"/>
          <w:szCs w:val="16"/>
          <w:color w:val="auto"/>
        </w:rPr>
        <w:t>The words “execution,” “signed,” “signature,” and words of like import in</w:t>
      </w:r>
      <w:r>
        <w:rPr>
          <w:rFonts w:ascii="Arial" w:cs="Arial" w:eastAsia="Arial" w:hAnsi="Arial"/>
          <w:sz w:val="16"/>
          <w:szCs w:val="16"/>
          <w:b w:val="1"/>
          <w:bCs w:val="1"/>
          <w:color w:val="auto"/>
        </w:rPr>
        <w:t xml:space="preserve"> </w:t>
      </w:r>
      <w:r>
        <w:rPr>
          <w:rFonts w:ascii="Arial" w:cs="Arial" w:eastAsia="Arial" w:hAnsi="Arial"/>
          <w:sz w:val="16"/>
          <w:szCs w:val="16"/>
          <w:color w:val="auto"/>
        </w:rPr>
        <w:t>any Assignment and Assumption or in any amendment or other modification hereof (including waivers and consents) shall be deemed to include electronic signatures or other electronic imaging means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1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 xml:space="preserve">11.19 USA PATRIOT Act. </w:t>
      </w:r>
      <w:r>
        <w:rPr>
          <w:rFonts w:ascii="Arial" w:cs="Arial" w:eastAsia="Arial" w:hAnsi="Arial"/>
          <w:sz w:val="18"/>
          <w:szCs w:val="18"/>
          <w:color w:val="auto"/>
        </w:rPr>
        <w:t>Each Lender that is subject to the Act (as hereinafter defined) and the Administrative Agent (for itself and not on behalf of any</w:t>
      </w:r>
      <w:r>
        <w:rPr>
          <w:rFonts w:ascii="Arial" w:cs="Arial" w:eastAsia="Arial" w:hAnsi="Arial"/>
          <w:sz w:val="18"/>
          <w:szCs w:val="18"/>
          <w:b w:val="1"/>
          <w:bCs w:val="1"/>
          <w:color w:val="auto"/>
        </w:rPr>
        <w:t xml:space="preserve"> </w:t>
      </w:r>
      <w:r>
        <w:rPr>
          <w:rFonts w:ascii="Arial" w:cs="Arial" w:eastAsia="Arial" w:hAnsi="Arial"/>
          <w:sz w:val="18"/>
          <w:szCs w:val="18"/>
          <w:color w:val="auto"/>
        </w:rPr>
        <w:t>Lender) hereby notifies each Borrower that pursuant to the requirements of the USA PATRIOT Act (Title III of Pub. L. 107-56 (signed into law October 26, 2001)) (the “Act”), it is required to obtain, verify and record information that identifies each Borrower, which information includes the name and address of each Borrower and other information that will allow such Lender or the Administrative Agent, as applicable, to identify each Borrower in accordance with the Act. Each Borrower shall, promptly following a request by the Administrative Agent or any Lender, provide all information that is in its or any of its Subsidiary’s possession or control and not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280" w:right="259" w:bottom="1440" w:gutter="0" w:footer="0" w:header="0"/>
        </w:sectPr>
      </w:pPr>
    </w:p>
    <w:bookmarkStart w:id="155" w:name="page156"/>
    <w:bookmarkEnd w:id="155"/>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confidentiality arrangements with third parties or counsel which the Administrative Agent or such Lender reasonably requests in order to comply with its ongoing obligations under applicable “know your customer” and anti-money laundering rules and regulations, including the Act (and if any of such information is not in the Borrower’s or any of its Subsidiary’s possession or control, will use its commercially reasonable efforts to obtain such information and other documentation).</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11.20 Time of the Essence. </w:t>
      </w:r>
      <w:r>
        <w:rPr>
          <w:rFonts w:ascii="Arial" w:cs="Arial" w:eastAsia="Arial" w:hAnsi="Arial"/>
          <w:sz w:val="18"/>
          <w:szCs w:val="18"/>
          <w:color w:val="auto"/>
        </w:rPr>
        <w:t>Time is of the essence of the Loan Documents.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 xml:space="preserve">11.21 Judgment Currency. </w:t>
      </w:r>
      <w:r>
        <w:rPr>
          <w:rFonts w:ascii="Arial" w:cs="Arial" w:eastAsia="Arial" w:hAnsi="Arial"/>
          <w:sz w:val="16"/>
          <w:szCs w:val="16"/>
          <w:color w:val="auto"/>
        </w:rPr>
        <w:t>If, for the purposes of obtaining judgment in any court, it is necessary to convert a sum due hereunder or any other Loan</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or any Lender hereunder or under the other Loan Documents shall, notwithstanding any judgment in a currency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other than that in which such sum is denominated in accordance with the applicable provisions of this Agreement (the “</w:t>
      </w:r>
      <w:r>
        <w:rPr>
          <w:rFonts w:ascii="Arial" w:cs="Arial" w:eastAsia="Arial" w:hAnsi="Arial"/>
          <w:sz w:val="16"/>
          <w:szCs w:val="16"/>
          <w:u w:val="single" w:color="auto"/>
          <w:color w:val="auto"/>
        </w:rPr>
        <w:t>Agreement Currency</w:t>
      </w:r>
      <w:r>
        <w:rPr>
          <w:rFonts w:ascii="Arial" w:cs="Arial" w:eastAsia="Arial" w:hAnsi="Arial"/>
          <w:sz w:val="16"/>
          <w:szCs w:val="16"/>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Borrower in the Agreement Currency, such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Borrower (or to any other Person who may be entitled thereto under applicable law).</w:t>
      </w:r>
    </w:p>
    <w:p>
      <w:pPr>
        <w:spacing w:after="0" w:line="121" w:lineRule="exact"/>
        <w:rPr>
          <w:sz w:val="20"/>
          <w:szCs w:val="20"/>
          <w:color w:val="auto"/>
        </w:rPr>
      </w:pPr>
    </w:p>
    <w:p>
      <w:pPr>
        <w:jc w:val="both"/>
        <w:ind w:right="140" w:firstLine="456"/>
        <w:spacing w:after="0" w:line="262" w:lineRule="auto"/>
        <w:rPr>
          <w:sz w:val="20"/>
          <w:szCs w:val="20"/>
          <w:color w:val="auto"/>
        </w:rPr>
      </w:pPr>
      <w:r>
        <w:rPr>
          <w:rFonts w:ascii="Arial" w:cs="Arial" w:eastAsia="Arial" w:hAnsi="Arial"/>
          <w:sz w:val="18"/>
          <w:szCs w:val="18"/>
          <w:b w:val="1"/>
          <w:bCs w:val="1"/>
          <w:color w:val="auto"/>
        </w:rPr>
        <w:t xml:space="preserve">11.22 ENTIRE AGREEMENT. </w:t>
      </w:r>
      <w:r>
        <w:rPr>
          <w:rFonts w:ascii="Arial" w:cs="Arial" w:eastAsia="Arial" w:hAnsi="Arial"/>
          <w:sz w:val="18"/>
          <w:szCs w:val="18"/>
          <w:color w:val="auto"/>
        </w:rPr>
        <w:t>THIS AGREEMENT AND THE OTHER LOAN DOCUMENTS REPRESENT THE FINAL AGREEMENT AMONG</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AND MAY NOT BE CONTRADICTED BY EVIDENCE OF PRIOR, CONTEMPORANEOUS, OR SUBSEQUENT ORAL AGREEMENTS OF THE PARTIES. THERE ARE NO UNWRITTEN ORAL AGREEMENTS AMONG THE PARTIES.</w:t>
      </w:r>
    </w:p>
    <w:p>
      <w:pPr>
        <w:spacing w:after="0" w:line="132"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 xml:space="preserve">11.23 Restated Agreement. </w:t>
      </w:r>
      <w:r>
        <w:rPr>
          <w:rFonts w:ascii="Arial" w:cs="Arial" w:eastAsia="Arial" w:hAnsi="Arial"/>
          <w:sz w:val="16"/>
          <w:szCs w:val="16"/>
          <w:color w:val="auto"/>
        </w:rPr>
        <w:t>In connection with the amendment and restatement of the Existing Credit Agreement pursuant hereto,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Agent and applicable Lenders made, as of the Closing Date, adjustments to the outstanding principal amount of “Loans” under the Existing Credit Agreement (as such term is defined therein) (but not any interest accrued thereon prior to the Closing Date), including the borrowing of additional Loans hereunder and the repayment of loans thereunder plus all applicable accrued interest, fees and expenses as was necessary to provide for Loans hereunder by each such Lender in the amount of its Applicable Percentage of all Loans as of the Closing Date, but no such adjustment of any “Eurodollar Loans” (as such term is defined therein) (i) constituted a payment or prepayment of all or a portion of any such Eurodollar Loans or (ii) entitled any Lender to 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280" w:right="259" w:bottom="1440" w:gutter="0" w:footer="0" w:header="0"/>
        </w:sectPr>
      </w:pPr>
    </w:p>
    <w:bookmarkStart w:id="156" w:name="page157"/>
    <w:bookmarkEnd w:id="156"/>
    <w:p>
      <w:pPr>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reimbursement under </w:t>
      </w:r>
      <w:r>
        <w:rPr>
          <w:rFonts w:ascii="Arial" w:cs="Arial" w:eastAsia="Arial" w:hAnsi="Arial"/>
          <w:sz w:val="15"/>
          <w:szCs w:val="15"/>
          <w:u w:val="single" w:color="auto"/>
          <w:color w:val="auto"/>
        </w:rPr>
        <w:t>Section 3.05</w:t>
      </w:r>
      <w:r>
        <w:rPr>
          <w:rFonts w:ascii="Arial" w:cs="Arial" w:eastAsia="Arial" w:hAnsi="Arial"/>
          <w:sz w:val="15"/>
          <w:szCs w:val="15"/>
          <w:color w:val="auto"/>
        </w:rPr>
        <w:t xml:space="preserve"> hereof, and each such Lender was deemed to have made an assignment of its outstanding Loans under the Existing Credit Agreement, and assumed outstanding Loans of other Lenders under the Existing Credit Agreement as were necessary to effect the foregoing. The Company states and acknowledges that this Agreement is entered into by it in amendment and restatement of the Existing Credit Agreement. The Company further states, acknowledges and agrees that the preceding sentence does not and shall not alter or otherwise modify in any regard, directly or indirectly, expressly or impliedly or otherwise, the terms, provisions and conditions expressly set forth in, and contemplated by, this Agreement, or the transactions contemplated hereby, which in each case shall be governed solely by the terms, provisions and conditions of this Agreement and the other Loan Documents without regard to this Section 11.23.</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280" w:right="279" w:bottom="1440" w:gutter="0" w:footer="0" w:header="0"/>
        </w:sectPr>
      </w:pPr>
    </w:p>
    <w:bookmarkStart w:id="157" w:name="page158"/>
    <w:bookmarkEnd w:id="157"/>
    <w:p>
      <w:pPr>
        <w:ind w:left="46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6"/>
          <w:szCs w:val="16"/>
          <w:color w:val="auto"/>
        </w:rPr>
        <w:t>the parties hereto have caused this Agreement to be duly executed as of the date first above written.</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PLAINS MARKETING, L.P.</w:t>
      </w:r>
      <w:r>
        <w:rPr>
          <w:rFonts w:ascii="Arial" w:cs="Arial" w:eastAsia="Arial" w:hAnsi="Arial"/>
          <w:sz w:val="18"/>
          <w:szCs w:val="18"/>
          <w:color w:val="auto"/>
        </w:rPr>
        <w:t>, as Borrower</w:t>
      </w:r>
    </w:p>
    <w:p>
      <w:pPr>
        <w:spacing w:after="0" w:line="1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PLAINS MARKETING GP INC.,</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Charles Kingswell-Smith</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and Treasurer</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PLAINS ALL AMERICAN PIPELINE, L.P.</w:t>
      </w:r>
    </w:p>
    <w:p>
      <w:pPr>
        <w:spacing w:after="0" w:line="1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PAA GP LLC, its general partner</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PLAINS AAP, L.P., its sole member</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PLAINS ALL AMERICAN GP LLC,</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general partner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Charles Kingswell-Smith</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and Treasurer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219"/>
          </w:cols>
          <w:pgMar w:left="240" w:top="280" w:right="1440" w:bottom="1440" w:gutter="0" w:footer="0" w:header="0"/>
        </w:sectPr>
      </w:pPr>
    </w:p>
    <w:bookmarkStart w:id="158" w:name="page159"/>
    <w:bookmarkEnd w:id="158"/>
    <w:p>
      <w:pPr>
        <w:ind w:left="6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AMERICA, N.A.,</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Administrative Agent</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219"/>
          </w:cols>
          <w:pgMar w:left="240" w:top="274" w:right="1440" w:bottom="1440" w:gutter="0" w:footer="0" w:header="0"/>
        </w:sectPr>
      </w:pPr>
    </w:p>
    <w:bookmarkStart w:id="159" w:name="page160"/>
    <w:bookmarkEnd w:id="159"/>
    <w:p>
      <w:pPr>
        <w:ind w:left="6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 OF AMERICA, N.A.,</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as a Lender and L/C Issuer</w:t>
      </w:r>
    </w:p>
    <w:p>
      <w:pPr>
        <w:spacing w:after="0" w:line="25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219"/>
          </w:cols>
          <w:pgMar w:left="240" w:top="841" w:right="1440" w:bottom="1440" w:gutter="0" w:footer="0" w:header="0"/>
        </w:sectPr>
      </w:pPr>
    </w:p>
    <w:bookmarkStart w:id="160" w:name="page161"/>
    <w:bookmarkEnd w:id="160"/>
    <w:p>
      <w:pPr>
        <w:ind w:left="6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WELLS FARGO BANK, NATIONAL ASSOCIATION</w:t>
      </w:r>
      <w:r>
        <w:rPr>
          <w:rFonts w:ascii="Arial" w:cs="Arial" w:eastAsia="Arial" w:hAnsi="Arial"/>
          <w:sz w:val="16"/>
          <w:szCs w:val="16"/>
          <w:color w:val="auto"/>
        </w:rPr>
        <w:t>, as a</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Lender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340"/>
          </w:cols>
          <w:pgMar w:left="240" w:top="274" w:right="319" w:bottom="1440" w:gutter="0" w:footer="0" w:header="0"/>
        </w:sectPr>
      </w:pPr>
    </w:p>
    <w:bookmarkStart w:id="161" w:name="page162"/>
    <w:bookmarkEnd w:id="161"/>
    <w:p>
      <w:pPr>
        <w:ind w:left="6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BNP PARIBAS</w:t>
      </w:r>
      <w:r>
        <w:rPr>
          <w:rFonts w:ascii="Arial" w:cs="Arial" w:eastAsia="Arial" w:hAnsi="Arial"/>
          <w:sz w:val="16"/>
          <w:szCs w:val="16"/>
          <w:color w:val="auto"/>
        </w:rPr>
        <w:t>, as a Lender</w:t>
      </w: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219"/>
          </w:cols>
          <w:pgMar w:left="240" w:top="274" w:right="1440" w:bottom="1440" w:gutter="0" w:footer="0" w:header="0"/>
        </w:sectPr>
      </w:pPr>
    </w:p>
    <w:bookmarkStart w:id="162" w:name="page163"/>
    <w:bookmarkEnd w:id="162"/>
    <w:p>
      <w:pPr>
        <w:ind w:left="6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DNB NOR BANK ASA</w:t>
      </w:r>
      <w:r>
        <w:rPr>
          <w:rFonts w:ascii="Arial" w:cs="Arial" w:eastAsia="Arial" w:hAnsi="Arial"/>
          <w:sz w:val="16"/>
          <w:szCs w:val="16"/>
          <w:color w:val="auto"/>
        </w:rPr>
        <w:t>, as a Lender</w:t>
      </w: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219"/>
          </w:cols>
          <w:pgMar w:left="240" w:top="274" w:right="1440" w:bottom="1440" w:gutter="0" w:footer="0" w:header="0"/>
        </w:sectPr>
      </w:pPr>
    </w:p>
    <w:bookmarkStart w:id="163" w:name="page164"/>
    <w:bookmarkEnd w:id="163"/>
    <w:p>
      <w:pPr>
        <w:ind w:left="6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w:t>
      </w:r>
      <w:r>
        <w:rPr>
          <w:rFonts w:ascii="Arial" w:cs="Arial" w:eastAsia="Arial" w:hAnsi="Arial"/>
          <w:sz w:val="16"/>
          <w:szCs w:val="16"/>
          <w:color w:val="auto"/>
        </w:rPr>
        <w:t>, as a Lender</w:t>
      </w: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400"/>
          </w:cols>
          <w:pgMar w:left="240" w:top="274" w:right="1259" w:bottom="1440" w:gutter="0" w:footer="0" w:header="0"/>
        </w:sectPr>
      </w:pPr>
    </w:p>
    <w:bookmarkStart w:id="164" w:name="page165"/>
    <w:bookmarkEnd w:id="164"/>
    <w:p>
      <w:pPr>
        <w:ind w:left="6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SUNTRUST BANK</w:t>
      </w:r>
      <w:r>
        <w:rPr>
          <w:rFonts w:ascii="Arial" w:cs="Arial" w:eastAsia="Arial" w:hAnsi="Arial"/>
          <w:sz w:val="16"/>
          <w:szCs w:val="16"/>
          <w:color w:val="auto"/>
        </w:rPr>
        <w:t>, as a Lender</w:t>
      </w: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219"/>
          </w:cols>
          <w:pgMar w:left="240" w:top="274" w:right="1440" w:bottom="1440" w:gutter="0" w:footer="0" w:header="0"/>
        </w:sectPr>
      </w:pPr>
    </w:p>
    <w:bookmarkStart w:id="165" w:name="page166"/>
    <w:bookmarkEnd w:id="165"/>
    <w:p>
      <w:pPr>
        <w:ind w:left="6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SOCIÉTÉ GÉNÉRALE</w:t>
      </w:r>
      <w:r>
        <w:rPr>
          <w:rFonts w:ascii="Arial" w:cs="Arial" w:eastAsia="Arial" w:hAnsi="Arial"/>
          <w:sz w:val="16"/>
          <w:szCs w:val="16"/>
          <w:color w:val="auto"/>
        </w:rPr>
        <w:t>, as a Lender</w:t>
      </w: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0219"/>
          </w:cols>
          <w:pgMar w:left="240" w:top="274" w:right="1440" w:bottom="1440" w:gutter="0" w:footer="0" w:header="0"/>
        </w:sectPr>
      </w:pPr>
    </w:p>
    <w:bookmarkStart w:id="166" w:name="page167"/>
    <w:bookmarkEnd w:id="166"/>
    <w:p>
      <w:pPr>
        <w:ind w:left="6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BARCLAYS BANK PLC</w:t>
      </w:r>
      <w:r>
        <w:rPr>
          <w:rFonts w:ascii="Arial" w:cs="Arial" w:eastAsia="Arial" w:hAnsi="Arial"/>
          <w:sz w:val="16"/>
          <w:szCs w:val="16"/>
          <w:color w:val="auto"/>
        </w:rPr>
        <w:t>, as a Lender</w:t>
      </w: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0219"/>
          </w:cols>
          <w:pgMar w:left="240" w:top="274" w:right="1440" w:bottom="1440" w:gutter="0" w:footer="0" w:header="0"/>
        </w:sectPr>
      </w:pPr>
    </w:p>
    <w:bookmarkStart w:id="167" w:name="page168"/>
    <w:bookmarkEnd w:id="167"/>
    <w:p>
      <w:pPr>
        <w:ind w:left="6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w:t>
      </w:r>
      <w:r>
        <w:rPr>
          <w:rFonts w:ascii="Arial" w:cs="Arial" w:eastAsia="Arial" w:hAnsi="Arial"/>
          <w:sz w:val="16"/>
          <w:szCs w:val="16"/>
          <w:color w:val="auto"/>
        </w:rPr>
        <w:t>, as a Lender</w:t>
      </w: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0219"/>
          </w:cols>
          <w:pgMar w:left="240" w:top="274" w:right="1440" w:bottom="1440" w:gutter="0" w:footer="0" w:header="0"/>
        </w:sectPr>
      </w:pPr>
    </w:p>
    <w:bookmarkStart w:id="168" w:name="page169"/>
    <w:bookmarkEnd w:id="168"/>
    <w:p>
      <w:pPr>
        <w:ind w:left="6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MIZUHO CORPORATE BANK (USA)</w:t>
      </w:r>
      <w:r>
        <w:rPr>
          <w:rFonts w:ascii="Arial" w:cs="Arial" w:eastAsia="Arial" w:hAnsi="Arial"/>
          <w:sz w:val="16"/>
          <w:szCs w:val="16"/>
          <w:color w:val="auto"/>
        </w:rPr>
        <w:t>, as a Lender</w:t>
      </w: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0720"/>
          </w:cols>
          <w:pgMar w:left="240" w:top="274" w:right="939" w:bottom="1440" w:gutter="0" w:footer="0" w:header="0"/>
        </w:sectPr>
      </w:pPr>
    </w:p>
    <w:bookmarkStart w:id="169" w:name="page170"/>
    <w:bookmarkEnd w:id="169"/>
    <w:p>
      <w:pPr>
        <w:ind w:left="6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UBS LOAN FINANCE LLC</w:t>
      </w:r>
      <w:r>
        <w:rPr>
          <w:rFonts w:ascii="Arial" w:cs="Arial" w:eastAsia="Arial" w:hAnsi="Arial"/>
          <w:sz w:val="16"/>
          <w:szCs w:val="16"/>
          <w:color w:val="auto"/>
        </w:rPr>
        <w:t>, as a Lender</w:t>
      </w: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0219"/>
          </w:cols>
          <w:pgMar w:left="240" w:top="274" w:right="1440" w:bottom="1440" w:gutter="0" w:footer="0" w:header="0"/>
        </w:sectPr>
      </w:pPr>
    </w:p>
    <w:bookmarkStart w:id="170" w:name="page171"/>
    <w:bookmarkEnd w:id="170"/>
    <w:p>
      <w:pPr>
        <w:ind w:left="6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BANK OF NOVA SCOTIA</w:t>
      </w:r>
      <w:r>
        <w:rPr>
          <w:rFonts w:ascii="Arial" w:cs="Arial" w:eastAsia="Arial" w:hAnsi="Arial"/>
          <w:sz w:val="16"/>
          <w:szCs w:val="16"/>
          <w:color w:val="auto"/>
        </w:rPr>
        <w:t>, as a Lender</w:t>
      </w: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0220"/>
          </w:cols>
          <w:pgMar w:left="240" w:top="274" w:right="1439" w:bottom="1440" w:gutter="0" w:footer="0" w:header="0"/>
        </w:sectPr>
      </w:pPr>
    </w:p>
    <w:bookmarkStart w:id="171" w:name="page172"/>
    <w:bookmarkEnd w:id="171"/>
    <w:p>
      <w:pPr>
        <w:ind w:left="6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ROYAL BANK OF CANADA</w:t>
      </w:r>
      <w:r>
        <w:rPr>
          <w:rFonts w:ascii="Arial" w:cs="Arial" w:eastAsia="Arial" w:hAnsi="Arial"/>
          <w:sz w:val="16"/>
          <w:szCs w:val="16"/>
          <w:color w:val="auto"/>
        </w:rPr>
        <w:t>, as a Lender</w:t>
      </w: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0219"/>
          </w:cols>
          <w:pgMar w:left="240" w:top="274" w:right="1440" w:bottom="1440" w:gutter="0" w:footer="0" w:header="0"/>
        </w:sectPr>
      </w:pPr>
    </w:p>
    <w:bookmarkStart w:id="172" w:name="page173"/>
    <w:bookmarkEnd w:id="172"/>
    <w:p>
      <w:pPr>
        <w:ind w:left="6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BANK NATIONAL ASSOCIATION</w:t>
      </w:r>
      <w:r>
        <w:rPr>
          <w:rFonts w:ascii="Arial" w:cs="Arial" w:eastAsia="Arial" w:hAnsi="Arial"/>
          <w:sz w:val="16"/>
          <w:szCs w:val="16"/>
          <w:color w:val="auto"/>
        </w:rPr>
        <w:t>, as a Lender</w:t>
      </w: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Justin Alexander</w:t>
      </w:r>
    </w:p>
    <w:p>
      <w:pPr>
        <w:spacing w:after="0" w:line="117"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0860"/>
          </w:cols>
          <w:pgMar w:left="240" w:top="274" w:right="799" w:bottom="1440" w:gutter="0" w:footer="0" w:header="0"/>
        </w:sectPr>
      </w:pPr>
    </w:p>
    <w:bookmarkStart w:id="173" w:name="page174"/>
    <w:bookmarkEnd w:id="173"/>
    <w:p>
      <w:pPr>
        <w:ind w:left="6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BANK OF TOKYO-MITSUBISHI UFJ, LTD.</w:t>
      </w:r>
      <w:r>
        <w:rPr>
          <w:rFonts w:ascii="Arial" w:cs="Arial" w:eastAsia="Arial" w:hAnsi="Arial"/>
          <w:sz w:val="16"/>
          <w:szCs w:val="16"/>
          <w:color w:val="auto"/>
        </w:rPr>
        <w:t>, as a</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Lender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080"/>
          </w:cols>
          <w:pgMar w:left="240" w:top="274" w:right="579" w:bottom="1440" w:gutter="0" w:footer="0" w:header="0"/>
        </w:sectPr>
      </w:pPr>
    </w:p>
    <w:bookmarkStart w:id="174" w:name="page175"/>
    <w:bookmarkEnd w:id="174"/>
    <w:p>
      <w:pPr>
        <w:ind w:left="6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SUMITOMO MITSUI BANKING CORP., NEW YORK</w:t>
      </w:r>
      <w:r>
        <w:rPr>
          <w:rFonts w:ascii="Arial" w:cs="Arial" w:eastAsia="Arial" w:hAnsi="Arial"/>
          <w:sz w:val="16"/>
          <w:szCs w:val="16"/>
          <w:color w:val="auto"/>
        </w:rPr>
        <w:t>, as</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Lender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20"/>
          </w:cols>
          <w:pgMar w:left="240" w:top="274" w:right="339" w:bottom="1440" w:gutter="0" w:footer="0" w:header="0"/>
        </w:sectPr>
      </w:pPr>
    </w:p>
    <w:bookmarkStart w:id="175" w:name="page176"/>
    <w:bookmarkEnd w:id="175"/>
    <w:p>
      <w:pPr>
        <w:ind w:left="6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ING CAPITAL LLC</w:t>
      </w:r>
      <w:r>
        <w:rPr>
          <w:rFonts w:ascii="Arial" w:cs="Arial" w:eastAsia="Arial" w:hAnsi="Arial"/>
          <w:sz w:val="16"/>
          <w:szCs w:val="16"/>
          <w:color w:val="auto"/>
        </w:rPr>
        <w:t>, as a Lender</w:t>
      </w: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0219"/>
          </w:cols>
          <w:pgMar w:left="240" w:top="274" w:right="1440" w:bottom="1440" w:gutter="0" w:footer="0" w:header="0"/>
        </w:sectPr>
      </w:pPr>
    </w:p>
    <w:bookmarkStart w:id="176" w:name="page177"/>
    <w:bookmarkEnd w:id="176"/>
    <w:p>
      <w:pPr>
        <w:ind w:left="6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COMPASS BANK</w:t>
      </w:r>
      <w:r>
        <w:rPr>
          <w:rFonts w:ascii="Arial" w:cs="Arial" w:eastAsia="Arial" w:hAnsi="Arial"/>
          <w:sz w:val="16"/>
          <w:szCs w:val="16"/>
          <w:color w:val="auto"/>
        </w:rPr>
        <w:t>, as a Lender</w:t>
      </w: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0219"/>
          </w:cols>
          <w:pgMar w:left="240" w:top="274" w:right="1440" w:bottom="1440" w:gutter="0" w:footer="0" w:header="0"/>
        </w:sectPr>
      </w:pPr>
    </w:p>
    <w:bookmarkStart w:id="177" w:name="page178"/>
    <w:bookmarkEnd w:id="177"/>
    <w:p>
      <w:pPr>
        <w:ind w:left="6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FIFTH THIRD BANK</w:t>
      </w:r>
      <w:r>
        <w:rPr>
          <w:rFonts w:ascii="Arial" w:cs="Arial" w:eastAsia="Arial" w:hAnsi="Arial"/>
          <w:sz w:val="16"/>
          <w:szCs w:val="16"/>
          <w:color w:val="auto"/>
        </w:rPr>
        <w:t>, as a Lender</w:t>
      </w: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0219"/>
          </w:cols>
          <w:pgMar w:left="240" w:top="274" w:right="1440" w:bottom="1440" w:gutter="0" w:footer="0" w:header="0"/>
        </w:sectPr>
      </w:pPr>
    </w:p>
    <w:bookmarkStart w:id="178" w:name="page179"/>
    <w:bookmarkEnd w:id="178"/>
    <w:p>
      <w:pPr>
        <w:ind w:left="6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REGIONS BANK</w:t>
      </w:r>
      <w:r>
        <w:rPr>
          <w:rFonts w:ascii="Arial" w:cs="Arial" w:eastAsia="Arial" w:hAnsi="Arial"/>
          <w:sz w:val="16"/>
          <w:szCs w:val="16"/>
          <w:color w:val="auto"/>
        </w:rPr>
        <w:t>, as a Lender</w:t>
      </w: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0219"/>
          </w:cols>
          <w:pgMar w:left="240" w:top="274" w:right="1440" w:bottom="1440" w:gutter="0" w:footer="0" w:header="0"/>
        </w:sectPr>
      </w:pPr>
    </w:p>
    <w:bookmarkStart w:id="179" w:name="page180"/>
    <w:bookmarkEnd w:id="179"/>
    <w:p>
      <w:pPr>
        <w:ind w:left="6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MONTREAL</w:t>
      </w:r>
      <w:r>
        <w:rPr>
          <w:rFonts w:ascii="Arial" w:cs="Arial" w:eastAsia="Arial" w:hAnsi="Arial"/>
          <w:sz w:val="16"/>
          <w:szCs w:val="16"/>
          <w:color w:val="auto"/>
        </w:rPr>
        <w:t>, as a Lender</w:t>
      </w: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0219"/>
          </w:cols>
          <w:pgMar w:left="240" w:top="274" w:right="1440"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22"/>
        </w:trPr>
        <w:tc>
          <w:tcPr>
            <w:tcW w:w="42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SCHEDULE 2.01</w:t>
            </w:r>
          </w:p>
        </w:tc>
      </w:tr>
      <w:tr>
        <w:trPr>
          <w:trHeight w:val="528"/>
        </w:trPr>
        <w:tc>
          <w:tcPr>
            <w:tcW w:w="4200" w:type="dxa"/>
            <w:vAlign w:val="bottom"/>
          </w:tcPr>
          <w:p>
            <w:pPr>
              <w:spacing w:after="0"/>
              <w:rPr>
                <w:sz w:val="24"/>
                <w:szCs w:val="24"/>
                <w:color w:val="auto"/>
              </w:rPr>
            </w:pPr>
          </w:p>
        </w:tc>
        <w:tc>
          <w:tcPr>
            <w:tcW w:w="4240" w:type="dxa"/>
            <w:vAlign w:val="bottom"/>
          </w:tcPr>
          <w:p>
            <w:pPr>
              <w:jc w:val="right"/>
              <w:ind w:right="1932"/>
              <w:spacing w:after="0"/>
              <w:rPr>
                <w:sz w:val="20"/>
                <w:szCs w:val="20"/>
                <w:color w:val="auto"/>
              </w:rPr>
            </w:pPr>
            <w:r>
              <w:rPr>
                <w:rFonts w:ascii="Arial" w:cs="Arial" w:eastAsia="Arial" w:hAnsi="Arial"/>
                <w:sz w:val="18"/>
                <w:szCs w:val="18"/>
                <w:b w:val="1"/>
                <w:bCs w:val="1"/>
                <w:color w:val="auto"/>
              </w:rPr>
              <w:t>COMMITMENTS</w:t>
            </w: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8"/>
        </w:trPr>
        <w:tc>
          <w:tcPr>
            <w:tcW w:w="4200" w:type="dxa"/>
            <w:vAlign w:val="bottom"/>
          </w:tcPr>
          <w:p>
            <w:pPr>
              <w:spacing w:after="0"/>
              <w:rPr>
                <w:sz w:val="19"/>
                <w:szCs w:val="19"/>
                <w:color w:val="auto"/>
              </w:rPr>
            </w:pPr>
          </w:p>
        </w:tc>
        <w:tc>
          <w:tcPr>
            <w:tcW w:w="4240" w:type="dxa"/>
            <w:vAlign w:val="bottom"/>
          </w:tcPr>
          <w:p>
            <w:pPr>
              <w:jc w:val="right"/>
              <w:ind w:right="1192"/>
              <w:spacing w:after="0"/>
              <w:rPr>
                <w:sz w:val="20"/>
                <w:szCs w:val="20"/>
                <w:color w:val="auto"/>
              </w:rPr>
            </w:pPr>
            <w:r>
              <w:rPr>
                <w:rFonts w:ascii="Arial" w:cs="Arial" w:eastAsia="Arial" w:hAnsi="Arial"/>
                <w:sz w:val="18"/>
                <w:szCs w:val="18"/>
                <w:b w:val="1"/>
                <w:bCs w:val="1"/>
                <w:color w:val="auto"/>
                <w:w w:val="97"/>
              </w:rPr>
              <w:t>AND APPLICABLE PERCENTAGES</w:t>
            </w:r>
          </w:p>
        </w:tc>
        <w:tc>
          <w:tcPr>
            <w:tcW w:w="14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40"/>
        </w:trPr>
        <w:tc>
          <w:tcPr>
            <w:tcW w:w="42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jc w:val="right"/>
              <w:ind w:right="434"/>
              <w:spacing w:after="0"/>
              <w:rPr>
                <w:sz w:val="20"/>
                <w:szCs w:val="20"/>
                <w:color w:val="auto"/>
              </w:rPr>
            </w:pPr>
            <w:r>
              <w:rPr>
                <w:rFonts w:ascii="Arial" w:cs="Arial" w:eastAsia="Arial" w:hAnsi="Arial"/>
                <w:sz w:val="14"/>
                <w:szCs w:val="14"/>
                <w:b w:val="1"/>
                <w:bCs w:val="1"/>
                <w:color w:val="auto"/>
              </w:rPr>
              <w:t>Applicable</w:t>
            </w:r>
          </w:p>
        </w:tc>
      </w:tr>
      <w:tr>
        <w:trPr>
          <w:trHeight w:val="161"/>
        </w:trPr>
        <w:tc>
          <w:tcPr>
            <w:tcW w:w="4200" w:type="dxa"/>
            <w:vAlign w:val="bottom"/>
          </w:tcPr>
          <w:p>
            <w:pPr>
              <w:spacing w:after="0"/>
              <w:rPr>
                <w:sz w:val="20"/>
                <w:szCs w:val="20"/>
                <w:color w:val="auto"/>
              </w:rPr>
            </w:pPr>
            <w:r>
              <w:rPr>
                <w:rFonts w:ascii="Arial" w:cs="Arial" w:eastAsia="Arial" w:hAnsi="Arial"/>
                <w:sz w:val="14"/>
                <w:szCs w:val="14"/>
                <w:b w:val="1"/>
                <w:bCs w:val="1"/>
                <w:color w:val="auto"/>
              </w:rPr>
              <w:t>Lender</w:t>
            </w:r>
          </w:p>
        </w:tc>
        <w:tc>
          <w:tcPr>
            <w:tcW w:w="4240" w:type="dxa"/>
            <w:vAlign w:val="bottom"/>
          </w:tcPr>
          <w:p>
            <w:pPr>
              <w:spacing w:after="0"/>
              <w:rPr>
                <w:sz w:val="14"/>
                <w:szCs w:val="14"/>
                <w:color w:val="auto"/>
              </w:rPr>
            </w:pPr>
          </w:p>
        </w:tc>
        <w:tc>
          <w:tcPr>
            <w:tcW w:w="1400" w:type="dxa"/>
            <w:vAlign w:val="bottom"/>
          </w:tcPr>
          <w:p>
            <w:pPr>
              <w:jc w:val="right"/>
              <w:ind w:right="373"/>
              <w:spacing w:after="0"/>
              <w:rPr>
                <w:sz w:val="20"/>
                <w:szCs w:val="20"/>
                <w:color w:val="auto"/>
              </w:rPr>
            </w:pPr>
            <w:r>
              <w:rPr>
                <w:rFonts w:ascii="Arial" w:cs="Arial" w:eastAsia="Arial" w:hAnsi="Arial"/>
                <w:sz w:val="14"/>
                <w:szCs w:val="14"/>
                <w:b w:val="1"/>
                <w:bCs w:val="1"/>
                <w:color w:val="auto"/>
              </w:rPr>
              <w:t>Commitment</w:t>
            </w:r>
          </w:p>
        </w:tc>
        <w:tc>
          <w:tcPr>
            <w:tcW w:w="1580" w:type="dxa"/>
            <w:vAlign w:val="bottom"/>
          </w:tcPr>
          <w:p>
            <w:pPr>
              <w:jc w:val="right"/>
              <w:ind w:right="394"/>
              <w:spacing w:after="0"/>
              <w:rPr>
                <w:sz w:val="20"/>
                <w:szCs w:val="20"/>
                <w:color w:val="auto"/>
              </w:rPr>
            </w:pPr>
            <w:r>
              <w:rPr>
                <w:rFonts w:ascii="Arial" w:cs="Arial" w:eastAsia="Arial" w:hAnsi="Arial"/>
                <w:sz w:val="14"/>
                <w:szCs w:val="14"/>
                <w:b w:val="1"/>
                <w:bCs w:val="1"/>
                <w:color w:val="auto"/>
              </w:rPr>
              <w:t>Percentage*</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75,000,000.00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5.3571428571%</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Société Générale</w:t>
            </w:r>
          </w:p>
        </w:tc>
        <w:tc>
          <w:tcPr>
            <w:tcW w:w="42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75,000,000.00</w:t>
            </w:r>
          </w:p>
        </w:tc>
        <w:tc>
          <w:tcPr>
            <w:tcW w:w="1580" w:type="dxa"/>
            <w:vAlign w:val="bottom"/>
          </w:tcPr>
          <w:p>
            <w:pPr>
              <w:jc w:val="right"/>
              <w:spacing w:after="0"/>
              <w:rPr>
                <w:sz w:val="20"/>
                <w:szCs w:val="20"/>
                <w:color w:val="auto"/>
              </w:rPr>
            </w:pPr>
            <w:r>
              <w:rPr>
                <w:rFonts w:ascii="Arial" w:cs="Arial" w:eastAsia="Arial" w:hAnsi="Arial"/>
                <w:sz w:val="18"/>
                <w:szCs w:val="18"/>
                <w:color w:val="auto"/>
              </w:rPr>
              <w:t>5.3571428571%</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Citibank, N.A.</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75,000,000.00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5.3571428571%</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JPMorgan Chase Bank, N.A.</w:t>
            </w:r>
          </w:p>
        </w:tc>
        <w:tc>
          <w:tcPr>
            <w:tcW w:w="42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75,000,000.00</w:t>
            </w:r>
          </w:p>
        </w:tc>
        <w:tc>
          <w:tcPr>
            <w:tcW w:w="1580" w:type="dxa"/>
            <w:vAlign w:val="bottom"/>
          </w:tcPr>
          <w:p>
            <w:pPr>
              <w:jc w:val="right"/>
              <w:spacing w:after="0"/>
              <w:rPr>
                <w:sz w:val="20"/>
                <w:szCs w:val="20"/>
                <w:color w:val="auto"/>
              </w:rPr>
            </w:pPr>
            <w:r>
              <w:rPr>
                <w:rFonts w:ascii="Arial" w:cs="Arial" w:eastAsia="Arial" w:hAnsi="Arial"/>
                <w:sz w:val="18"/>
                <w:szCs w:val="18"/>
                <w:color w:val="auto"/>
              </w:rPr>
              <w:t>5.3571428571%</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Mizuho Corporate Bank, Ltd.</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75,000,000.00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5.3571428571%</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The Bank of Nova Scotia</w:t>
            </w:r>
          </w:p>
        </w:tc>
        <w:tc>
          <w:tcPr>
            <w:tcW w:w="42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70,000,000.00</w:t>
            </w:r>
          </w:p>
        </w:tc>
        <w:tc>
          <w:tcPr>
            <w:tcW w:w="1580" w:type="dxa"/>
            <w:vAlign w:val="bottom"/>
          </w:tcPr>
          <w:p>
            <w:pPr>
              <w:jc w:val="right"/>
              <w:spacing w:after="0"/>
              <w:rPr>
                <w:sz w:val="20"/>
                <w:szCs w:val="20"/>
                <w:color w:val="auto"/>
              </w:rPr>
            </w:pPr>
            <w:r>
              <w:rPr>
                <w:rFonts w:ascii="Arial" w:cs="Arial" w:eastAsia="Arial" w:hAnsi="Arial"/>
                <w:sz w:val="18"/>
                <w:szCs w:val="18"/>
                <w:color w:val="auto"/>
              </w:rPr>
              <w:t>5.0000000000%</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The Bank of Tokyo-Mitsubishi UFJ, Ltd.</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70,000,000.00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5.0000000000%</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DNB Bank ASA, Grand Cayman Branch</w:t>
            </w:r>
          </w:p>
        </w:tc>
        <w:tc>
          <w:tcPr>
            <w:tcW w:w="42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70,000,000.00</w:t>
            </w:r>
          </w:p>
        </w:tc>
        <w:tc>
          <w:tcPr>
            <w:tcW w:w="1580" w:type="dxa"/>
            <w:vAlign w:val="bottom"/>
          </w:tcPr>
          <w:p>
            <w:pPr>
              <w:jc w:val="right"/>
              <w:spacing w:after="0"/>
              <w:rPr>
                <w:sz w:val="20"/>
                <w:szCs w:val="20"/>
                <w:color w:val="auto"/>
              </w:rPr>
            </w:pPr>
            <w:r>
              <w:rPr>
                <w:rFonts w:ascii="Arial" w:cs="Arial" w:eastAsia="Arial" w:hAnsi="Arial"/>
                <w:sz w:val="18"/>
                <w:szCs w:val="18"/>
                <w:color w:val="auto"/>
              </w:rPr>
              <w:t>5.0000000000%</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Bank of Montreal</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65,000,000.00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4.6428571429%</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Barclays Bank PLC</w:t>
            </w:r>
          </w:p>
        </w:tc>
        <w:tc>
          <w:tcPr>
            <w:tcW w:w="42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65,000,000.00</w:t>
            </w:r>
          </w:p>
        </w:tc>
        <w:tc>
          <w:tcPr>
            <w:tcW w:w="1580" w:type="dxa"/>
            <w:vAlign w:val="bottom"/>
          </w:tcPr>
          <w:p>
            <w:pPr>
              <w:jc w:val="right"/>
              <w:spacing w:after="0"/>
              <w:rPr>
                <w:sz w:val="20"/>
                <w:szCs w:val="20"/>
                <w:color w:val="auto"/>
              </w:rPr>
            </w:pPr>
            <w:r>
              <w:rPr>
                <w:rFonts w:ascii="Arial" w:cs="Arial" w:eastAsia="Arial" w:hAnsi="Arial"/>
                <w:sz w:val="18"/>
                <w:szCs w:val="18"/>
                <w:color w:val="auto"/>
              </w:rPr>
              <w:t>4.6428571429%</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1"/>
              </w:rPr>
              <w:t>Canadian Imperial Bank of Commerce, New York Agency</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65,000,000.00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4.6428571429%</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Compass Bank</w:t>
            </w:r>
          </w:p>
        </w:tc>
        <w:tc>
          <w:tcPr>
            <w:tcW w:w="42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65,000,000.00</w:t>
            </w:r>
          </w:p>
        </w:tc>
        <w:tc>
          <w:tcPr>
            <w:tcW w:w="1580" w:type="dxa"/>
            <w:vAlign w:val="bottom"/>
          </w:tcPr>
          <w:p>
            <w:pPr>
              <w:jc w:val="right"/>
              <w:spacing w:after="0"/>
              <w:rPr>
                <w:sz w:val="20"/>
                <w:szCs w:val="20"/>
                <w:color w:val="auto"/>
              </w:rPr>
            </w:pPr>
            <w:r>
              <w:rPr>
                <w:rFonts w:ascii="Arial" w:cs="Arial" w:eastAsia="Arial" w:hAnsi="Arial"/>
                <w:sz w:val="18"/>
                <w:szCs w:val="18"/>
                <w:color w:val="auto"/>
              </w:rPr>
              <w:t>4.6428571429%</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UBS Loan Finance LLC</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65,000,000.00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4.6428571429%</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Morgan Stanley Bank, N.A.</w:t>
            </w:r>
          </w:p>
        </w:tc>
        <w:tc>
          <w:tcPr>
            <w:tcW w:w="42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60,000,000.00</w:t>
            </w:r>
          </w:p>
        </w:tc>
        <w:tc>
          <w:tcPr>
            <w:tcW w:w="1580" w:type="dxa"/>
            <w:vAlign w:val="bottom"/>
          </w:tcPr>
          <w:p>
            <w:pPr>
              <w:jc w:val="right"/>
              <w:spacing w:after="0"/>
              <w:rPr>
                <w:sz w:val="20"/>
                <w:szCs w:val="20"/>
                <w:color w:val="auto"/>
              </w:rPr>
            </w:pPr>
            <w:r>
              <w:rPr>
                <w:rFonts w:ascii="Arial" w:cs="Arial" w:eastAsia="Arial" w:hAnsi="Arial"/>
                <w:sz w:val="18"/>
                <w:szCs w:val="18"/>
                <w:color w:val="auto"/>
              </w:rPr>
              <w:t>4.2857142857%</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Royal Bank of Canada</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60,000,000.00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4.2857142857%</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Sumitomo Mitsui Banking Corporation</w:t>
            </w:r>
          </w:p>
        </w:tc>
        <w:tc>
          <w:tcPr>
            <w:tcW w:w="42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60,000,000.00</w:t>
            </w:r>
          </w:p>
        </w:tc>
        <w:tc>
          <w:tcPr>
            <w:tcW w:w="1580" w:type="dxa"/>
            <w:vAlign w:val="bottom"/>
          </w:tcPr>
          <w:p>
            <w:pPr>
              <w:jc w:val="right"/>
              <w:spacing w:after="0"/>
              <w:rPr>
                <w:sz w:val="20"/>
                <w:szCs w:val="20"/>
                <w:color w:val="auto"/>
              </w:rPr>
            </w:pPr>
            <w:r>
              <w:rPr>
                <w:rFonts w:ascii="Arial" w:cs="Arial" w:eastAsia="Arial" w:hAnsi="Arial"/>
                <w:sz w:val="18"/>
                <w:szCs w:val="18"/>
                <w:color w:val="auto"/>
              </w:rPr>
              <w:t>4.2857142857%</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SunTrust Bank</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60,000,000.00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4.2857142857%</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BNP Paribas</w:t>
            </w:r>
          </w:p>
        </w:tc>
        <w:tc>
          <w:tcPr>
            <w:tcW w:w="42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40,000,000.00</w:t>
            </w:r>
          </w:p>
        </w:tc>
        <w:tc>
          <w:tcPr>
            <w:tcW w:w="1580" w:type="dxa"/>
            <w:vAlign w:val="bottom"/>
          </w:tcPr>
          <w:p>
            <w:pPr>
              <w:jc w:val="right"/>
              <w:spacing w:after="0"/>
              <w:rPr>
                <w:sz w:val="20"/>
                <w:szCs w:val="20"/>
                <w:color w:val="auto"/>
              </w:rPr>
            </w:pPr>
            <w:r>
              <w:rPr>
                <w:rFonts w:ascii="Arial" w:cs="Arial" w:eastAsia="Arial" w:hAnsi="Arial"/>
                <w:sz w:val="18"/>
                <w:szCs w:val="18"/>
                <w:color w:val="auto"/>
              </w:rPr>
              <w:t>2.8571428571%</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Wells Fargo Bank, National Association</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40,000,000.00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2.8571428571%</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Fifth Third Bank</w:t>
            </w:r>
          </w:p>
        </w:tc>
        <w:tc>
          <w:tcPr>
            <w:tcW w:w="42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35,000,000.00</w:t>
            </w:r>
          </w:p>
        </w:tc>
        <w:tc>
          <w:tcPr>
            <w:tcW w:w="1580" w:type="dxa"/>
            <w:vAlign w:val="bottom"/>
          </w:tcPr>
          <w:p>
            <w:pPr>
              <w:jc w:val="right"/>
              <w:spacing w:after="0"/>
              <w:rPr>
                <w:sz w:val="20"/>
                <w:szCs w:val="20"/>
                <w:color w:val="auto"/>
              </w:rPr>
            </w:pPr>
            <w:r>
              <w:rPr>
                <w:rFonts w:ascii="Arial" w:cs="Arial" w:eastAsia="Arial" w:hAnsi="Arial"/>
                <w:sz w:val="18"/>
                <w:szCs w:val="18"/>
                <w:color w:val="auto"/>
              </w:rPr>
              <w:t>2.5000000000%</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ING Capital LLC</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35,000,000.00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2.5000000000%</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Regions Bank</w:t>
            </w:r>
          </w:p>
        </w:tc>
        <w:tc>
          <w:tcPr>
            <w:tcW w:w="42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35,000,000.00</w:t>
            </w:r>
          </w:p>
        </w:tc>
        <w:tc>
          <w:tcPr>
            <w:tcW w:w="1580" w:type="dxa"/>
            <w:vAlign w:val="bottom"/>
          </w:tcPr>
          <w:p>
            <w:pPr>
              <w:jc w:val="right"/>
              <w:spacing w:after="0"/>
              <w:rPr>
                <w:sz w:val="20"/>
                <w:szCs w:val="20"/>
                <w:color w:val="auto"/>
              </w:rPr>
            </w:pPr>
            <w:r>
              <w:rPr>
                <w:rFonts w:ascii="Arial" w:cs="Arial" w:eastAsia="Arial" w:hAnsi="Arial"/>
                <w:sz w:val="18"/>
                <w:szCs w:val="18"/>
                <w:color w:val="auto"/>
              </w:rPr>
              <w:t>2.5000000000%</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U.S. Bank National Association</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35,000,000.00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2.5000000000%</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PNC Bank National Association</w:t>
            </w:r>
          </w:p>
        </w:tc>
        <w:tc>
          <w:tcPr>
            <w:tcW w:w="42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30,000,000.00</w:t>
            </w:r>
          </w:p>
        </w:tc>
        <w:tc>
          <w:tcPr>
            <w:tcW w:w="1580" w:type="dxa"/>
            <w:vAlign w:val="bottom"/>
          </w:tcPr>
          <w:p>
            <w:pPr>
              <w:jc w:val="right"/>
              <w:spacing w:after="0"/>
              <w:rPr>
                <w:sz w:val="20"/>
                <w:szCs w:val="20"/>
                <w:color w:val="auto"/>
              </w:rPr>
            </w:pPr>
            <w:r>
              <w:rPr>
                <w:rFonts w:ascii="Arial" w:cs="Arial" w:eastAsia="Arial" w:hAnsi="Arial"/>
                <w:sz w:val="18"/>
                <w:szCs w:val="18"/>
                <w:color w:val="auto"/>
              </w:rPr>
              <w:t>2.1428571429%</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85"/>
              </w:rPr>
              <w:t>1,400,000,000.00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100.0000000000%</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Rounded to ten decimal places</w:t>
      </w:r>
    </w:p>
    <w:p>
      <w:pPr>
        <w:sectPr>
          <w:pgSz w:w="11900" w:h="16838" w:orient="portrait"/>
          <w:cols w:equalWidth="0" w:num="1">
            <w:col w:w="11420"/>
          </w:cols>
          <w:pgMar w:left="240" w:top="280"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2.01A</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CANADIAN BANKERS’ ACCEPTANCES</w:t>
      </w:r>
    </w:p>
    <w:p>
      <w:pPr>
        <w:spacing w:after="0" w:line="177" w:lineRule="exact"/>
        <w:rPr>
          <w:sz w:val="20"/>
          <w:szCs w:val="20"/>
          <w:color w:val="auto"/>
        </w:rPr>
      </w:pPr>
    </w:p>
    <w:p>
      <w:pPr>
        <w:ind w:right="120" w:firstLine="464"/>
        <w:spacing w:after="0" w:line="370" w:lineRule="auto"/>
        <w:tabs>
          <w:tab w:leader="none" w:pos="632" w:val="left"/>
        </w:tabs>
        <w:numPr>
          <w:ilvl w:val="0"/>
          <w:numId w:val="164"/>
        </w:numPr>
        <w:rPr>
          <w:rFonts w:ascii="Arial" w:cs="Arial" w:eastAsia="Arial" w:hAnsi="Arial"/>
          <w:sz w:val="15"/>
          <w:szCs w:val="15"/>
          <w:color w:val="auto"/>
        </w:rPr>
      </w:pPr>
      <w:r>
        <w:rPr>
          <w:rFonts w:ascii="Arial" w:cs="Arial" w:eastAsia="Arial" w:hAnsi="Arial"/>
          <w:sz w:val="15"/>
          <w:szCs w:val="15"/>
          <w:u w:val="single" w:color="auto"/>
          <w:color w:val="auto"/>
        </w:rPr>
        <w:t>Execution of Canadian BA’s</w:t>
      </w:r>
      <w:r>
        <w:rPr>
          <w:rFonts w:ascii="Arial" w:cs="Arial" w:eastAsia="Arial" w:hAnsi="Arial"/>
          <w:sz w:val="15"/>
          <w:szCs w:val="15"/>
          <w:color w:val="auto"/>
        </w:rPr>
        <w:t>. (a) To facilitate the acceptance of Canadian BA’s hereunder, PMCULC hereby appoints each Lender as its attorney to sign and endorse on its behalf, as and when considered necessary by such Lender, an appropriate number of Canadian BA’s in the form prescribed by such Lender.</w:t>
      </w:r>
    </w:p>
    <w:p>
      <w:pPr>
        <w:spacing w:after="0" w:line="62" w:lineRule="exact"/>
        <w:rPr>
          <w:sz w:val="20"/>
          <w:szCs w:val="20"/>
          <w:color w:val="auto"/>
        </w:rPr>
      </w:pPr>
    </w:p>
    <w:p>
      <w:pPr>
        <w:ind w:right="100" w:firstLine="464"/>
        <w:spacing w:after="0" w:line="256" w:lineRule="auto"/>
        <w:tabs>
          <w:tab w:leader="none" w:pos="70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Each Lender may, at its option, execute any Canadian BA in handwriting or by the facsimile or mechanical signature of any of its authorized officers, and each Lender is hereby authorized to accept or pay, as the case may be, any Canadian BA of PMCULC that purports to bear such a signature, notwithstanding that any such individual has ceased to be an authorized officer of such Lender. Any such Canadian BA shall be as valid as if such individual were an authorized officer at the date of issue of the Canadian BA.</w:t>
      </w:r>
    </w:p>
    <w:p>
      <w:pPr>
        <w:spacing w:after="0" w:line="143" w:lineRule="exact"/>
        <w:rPr>
          <w:rFonts w:ascii="Arial" w:cs="Arial" w:eastAsia="Arial" w:hAnsi="Arial"/>
          <w:sz w:val="18"/>
          <w:szCs w:val="18"/>
          <w:color w:val="auto"/>
        </w:rPr>
      </w:pPr>
    </w:p>
    <w:p>
      <w:pPr>
        <w:ind w:right="20" w:firstLine="464"/>
        <w:spacing w:after="0" w:line="332" w:lineRule="auto"/>
        <w:tabs>
          <w:tab w:leader="none" w:pos="69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Any Canadian BA signed by a Lender as attorney for PMCULC, whether signed in handwriting or by the facsimile or mechanical signature of an authorized officer of a Lender, may be dealt with by such Lender for all intents and purposes, and shall bind PMCULC, as if duly signed and issued by PMCULC.</w:t>
      </w:r>
    </w:p>
    <w:p>
      <w:pPr>
        <w:spacing w:after="0" w:line="85" w:lineRule="exact"/>
        <w:rPr>
          <w:rFonts w:ascii="Arial" w:cs="Arial" w:eastAsia="Arial" w:hAnsi="Arial"/>
          <w:sz w:val="16"/>
          <w:szCs w:val="16"/>
          <w:color w:val="auto"/>
        </w:rPr>
      </w:pPr>
    </w:p>
    <w:p>
      <w:pPr>
        <w:jc w:val="both"/>
        <w:ind w:right="140" w:firstLine="464"/>
        <w:spacing w:after="0" w:line="306" w:lineRule="auto"/>
        <w:tabs>
          <w:tab w:leader="none" w:pos="70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receipt by a Lender of a request for a Borrowing by way of Canadian BA’s shall be such Lender’s sufficient authority to execute, and each Lender shall, subject to the terms and conditions of this Agreement, execute Canadian BA’s in accordance with such request and the advice of the Administrative Agent given pursuant to Section 4 of this Schedule, and the Canadian BA’s so executed shall thereupon be deemed to have been presented for acceptance.</w:t>
      </w:r>
    </w:p>
    <w:p>
      <w:pPr>
        <w:spacing w:after="0" w:line="107" w:lineRule="exact"/>
        <w:rPr>
          <w:sz w:val="20"/>
          <w:szCs w:val="20"/>
          <w:color w:val="auto"/>
        </w:rPr>
      </w:pPr>
    </w:p>
    <w:p>
      <w:pPr>
        <w:ind w:right="540" w:firstLine="464"/>
        <w:spacing w:after="0" w:line="332" w:lineRule="auto"/>
        <w:tabs>
          <w:tab w:leader="none" w:pos="632"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Sale of Canadian BA’s</w:t>
      </w:r>
      <w:r>
        <w:rPr>
          <w:rFonts w:ascii="Arial" w:cs="Arial" w:eastAsia="Arial" w:hAnsi="Arial"/>
          <w:sz w:val="16"/>
          <w:szCs w:val="16"/>
          <w:color w:val="auto"/>
        </w:rPr>
        <w:t>. (a) It shall be the responsibility of each Lender to arrange, in accordance with normal market practice, for the sale on each funding date of a Canadian BA to be accepted by such Lender, failing which such Lender shall purchase such Canadian BA.</w:t>
      </w:r>
    </w:p>
    <w:p>
      <w:pPr>
        <w:spacing w:after="0" w:line="85" w:lineRule="exact"/>
        <w:rPr>
          <w:sz w:val="20"/>
          <w:szCs w:val="20"/>
          <w:color w:val="auto"/>
        </w:rPr>
      </w:pPr>
    </w:p>
    <w:p>
      <w:pPr>
        <w:ind w:right="160" w:firstLine="464"/>
        <w:spacing w:after="0" w:line="268" w:lineRule="auto"/>
        <w:tabs>
          <w:tab w:leader="none" w:pos="70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 accordance with the procedures set forth in Section 4 of this Schedule, each Lender will make the net proceeds of the applicable Borrowing by way of Canadian BA’s available to PMCULC on the funding date.</w:t>
      </w:r>
    </w:p>
    <w:p>
      <w:pPr>
        <w:spacing w:after="0" w:line="131" w:lineRule="exact"/>
        <w:rPr>
          <w:rFonts w:ascii="Arial" w:cs="Arial" w:eastAsia="Arial" w:hAnsi="Arial"/>
          <w:sz w:val="18"/>
          <w:szCs w:val="18"/>
          <w:color w:val="auto"/>
        </w:rPr>
      </w:pPr>
    </w:p>
    <w:p>
      <w:pPr>
        <w:ind w:right="180" w:firstLine="464"/>
        <w:spacing w:after="0" w:line="259" w:lineRule="auto"/>
        <w:tabs>
          <w:tab w:leader="none" w:pos="69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parties agree that in the administering of Canadian BA’s, each Lender may avail itself of the debt clearing services offered by a clearing house for depository notes pursuant to the Depository Bills and Notes Act (Canada) and that the procedures set forth in Article II of the Credit Agreement be deemed amended to the extent necessary to comply with the requirements of such debt clearing services.</w:t>
      </w:r>
    </w:p>
    <w:p>
      <w:pPr>
        <w:spacing w:after="0" w:line="140" w:lineRule="exact"/>
        <w:rPr>
          <w:sz w:val="20"/>
          <w:szCs w:val="20"/>
          <w:color w:val="auto"/>
        </w:rPr>
      </w:pPr>
    </w:p>
    <w:p>
      <w:pPr>
        <w:ind w:right="180" w:firstLine="464"/>
        <w:spacing w:after="0" w:line="268" w:lineRule="auto"/>
        <w:tabs>
          <w:tab w:leader="none" w:pos="632"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Size and Maturity of Canadian BA’s and Rollovers</w:t>
      </w:r>
      <w:r>
        <w:rPr>
          <w:rFonts w:ascii="Arial" w:cs="Arial" w:eastAsia="Arial" w:hAnsi="Arial"/>
          <w:sz w:val="18"/>
          <w:szCs w:val="18"/>
          <w:color w:val="auto"/>
        </w:rPr>
        <w:t>. Each Borrowing by means of Canadian BA’s shall be in a minimum amount of CDN$500,000, and no more than seven Borrowings of Canadian BA’s shall be outstanding at any time. Each Canadian BA shall have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80" w:right="239" w:bottom="1440" w:gutter="0" w:footer="0" w:header="0"/>
        </w:sectPr>
      </w:pPr>
    </w:p>
    <w:bookmarkStart w:id="182" w:name="page183"/>
    <w:bookmarkEnd w:id="18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of 30, 60, 90 or 180 days (or such other period as may be agreed to by PMCULC and the Lenders) after the date of acceptance of the Canadian BA by a Lender, but no Canadian BA may mature on a date which is not a Business Day or after the Maturity Date. The face amount at maturity of a Canadian BA may be rolled over as a Canadian BA (by repayment and reissue) or repaid.</w:t>
      </w:r>
    </w:p>
    <w:p>
      <w:pPr>
        <w:spacing w:after="0" w:line="140" w:lineRule="exact"/>
        <w:rPr>
          <w:sz w:val="20"/>
          <w:szCs w:val="20"/>
          <w:color w:val="auto"/>
        </w:rPr>
      </w:pPr>
    </w:p>
    <w:p>
      <w:pPr>
        <w:ind w:right="740" w:firstLine="464"/>
        <w:spacing w:after="0" w:line="268" w:lineRule="auto"/>
        <w:tabs>
          <w:tab w:leader="none" w:pos="632"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Coordination of Canadian BA Advances</w:t>
      </w:r>
      <w:r>
        <w:rPr>
          <w:rFonts w:ascii="Arial" w:cs="Arial" w:eastAsia="Arial" w:hAnsi="Arial"/>
          <w:sz w:val="18"/>
          <w:szCs w:val="18"/>
          <w:color w:val="auto"/>
        </w:rPr>
        <w:t xml:space="preserve">. Each Lender shall advance its Applicable Percentage of each Borrowing by way of Canadian BA’s in accordance with </w:t>
      </w:r>
      <w:r>
        <w:rPr>
          <w:rFonts w:ascii="Arial" w:cs="Arial" w:eastAsia="Arial" w:hAnsi="Arial"/>
          <w:sz w:val="18"/>
          <w:szCs w:val="18"/>
          <w:u w:val="single" w:color="auto"/>
          <w:color w:val="auto"/>
        </w:rPr>
        <w:t>Section 2.02(b)</w:t>
      </w:r>
      <w:r>
        <w:rPr>
          <w:rFonts w:ascii="Arial" w:cs="Arial" w:eastAsia="Arial" w:hAnsi="Arial"/>
          <w:sz w:val="18"/>
          <w:szCs w:val="18"/>
          <w:color w:val="auto"/>
        </w:rPr>
        <w:t xml:space="preserve"> and the provisions set forth below.</w:t>
      </w:r>
    </w:p>
    <w:p>
      <w:pPr>
        <w:spacing w:after="0" w:line="132" w:lineRule="exact"/>
        <w:rPr>
          <w:sz w:val="20"/>
          <w:szCs w:val="20"/>
          <w:color w:val="auto"/>
        </w:rPr>
      </w:pPr>
    </w:p>
    <w:p>
      <w:pPr>
        <w:ind w:firstLine="464"/>
        <w:spacing w:after="0" w:line="286" w:lineRule="auto"/>
        <w:tabs>
          <w:tab w:leader="none" w:pos="69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The Administrative Agent, promptly following receipt of a notice from PMCULC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requesting a Borrowing by way of Canadian BA’s, shall advise each Lender of the aggregate face amount and term(s) of the Canadian BA’s to be accepted by it, which term(s) shall, subject to the provisions hereof, be identical for all Lenders. The aggregate face amount of Canadian BA’s to be accepted by a Lender shall be determined by the Administrative Agent by reference to the respective Commitments of the Lenders. In the event it is not practicable to allocate Canadian BA’s to each Lender such that the aggregate amount of Canadian BA’s required to be purchased by such Lender hereunder is in a whole multiple of C$100,000, Administrative Agent is authorized by PMCULC and each Lender to make such allocation as Administrative Agent determines in its sole and unfettered discretion may be equitable in the circumstances and, if the aggregate amount of such Canadian BA’s is not a whole multiple of C$100,000, then the Administrative Agent may allocate (on a basis considered by it to be equitable) the excess of such amount over the next lowest whole multiple of C$100,000 to one Lender, which shall purchase a Canadian BA with a face amount equal to the excess and having the same term as the corresponding Canadian BA’s. In no event shall the portion of the outstanding Borrowings by way of Canadian BA’s of a Lender exceed such Lender’s Percentage Share of the aggregate Borrowings by way of Canadian BA’s by more than C$100,000 as a result of such exercise of discretion by Administrative Agent.</w:t>
      </w:r>
    </w:p>
    <w:p>
      <w:pPr>
        <w:spacing w:after="0" w:line="127" w:lineRule="exact"/>
        <w:rPr>
          <w:rFonts w:ascii="Arial" w:cs="Arial" w:eastAsia="Arial" w:hAnsi="Arial"/>
          <w:sz w:val="16"/>
          <w:szCs w:val="16"/>
          <w:color w:val="auto"/>
        </w:rPr>
      </w:pPr>
    </w:p>
    <w:p>
      <w:pPr>
        <w:ind w:right="60" w:firstLine="464"/>
        <w:spacing w:after="0" w:line="287" w:lineRule="auto"/>
        <w:tabs>
          <w:tab w:leader="none" w:pos="70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Each Lender shall transfer to the Administrative Agent by not later than 2:00 p.m. (Toronto time) on each funding date for Canadian BA’s, immediately available Canadian Dollars in an aggregate amount equal to the Canadian BA Discount Proceeds of all Canadian BA’s accepted and sold or purchased by such Lender on such funding date net of the applicable Canadian BA Fee and net of the amount required to pay any of its previously accepted Canadian BA’s that are maturing on the funding date or any of its other Borrowing that are being converted to Canadian BA’s on the funding date. In the case of a conversion from a Borrowing of Canadian Prime Rate Loans to PMCULC into a Borrowing by way of Bankers’ Acceptances to be accepted by a Lender pursuant hereto, such Lender, in order to satisfy the continuing liability of PMCULC to it for the principal amount of the Canadian Prime Rate Loans being converted, shall retain for its own account the Canadian BA Discount Proceeds of each new Canadian BA issued by it in connection with such conversion; and PMCULC shall, on the date of issuance of the Canadian BA’s, pay to the Administrative Agent for the benefit of Lenders an amount equal to the difference between the aggregate principal amount of the Canadian Prime Rate Loans being converted owing to the Lenders and the aggregate Canadian BA Discount Proceeds of such Canadian BA’s net of the applicable Canadian BA Fee.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83" w:name="page184"/>
    <w:bookmarkEnd w:id="183"/>
    <w:p>
      <w:pPr>
        <w:ind w:left="-20" w:right="20" w:firstLine="464"/>
        <w:spacing w:after="0" w:line="291" w:lineRule="auto"/>
        <w:tabs>
          <w:tab w:leader="none" w:pos="675" w:val="left"/>
        </w:tabs>
        <w:numPr>
          <w:ilvl w:val="0"/>
          <w:numId w:val="1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 other provision hereof, for the purpose of determining the amount to be transferred by a Lender to PMCULC in respect of the sale of any Canadian BA accepted by such Lender and sold or purchased by it, the proceeds of sale thereof shall be deemed to be an amount equal to the Canadian BA Discount Proceeds calculated with respect thereto. Accordingly, in respect of any particular Canadian BA accepted by it, a Lender (in addition to its entitlement to retain the applicable Canadian BA Fee for its own account) (i) shall be entitled to retain for its own account the amount, if any, by which the actual proceeds of sale thereof exceed the Canadian BA Discount Proceeds calculated with respect thereto; and (ii) shall be required to pay out of its own funds the amount, if any, by which the actual proceeds of sale thereof are less than the Canadian BA Discount Proceeds calculated with respect thereto.</w:t>
      </w:r>
    </w:p>
    <w:p>
      <w:pPr>
        <w:spacing w:after="0" w:line="120" w:lineRule="exact"/>
        <w:rPr>
          <w:rFonts w:ascii="Arial" w:cs="Arial" w:eastAsia="Arial" w:hAnsi="Arial"/>
          <w:sz w:val="16"/>
          <w:szCs w:val="16"/>
          <w:color w:val="auto"/>
        </w:rPr>
      </w:pPr>
    </w:p>
    <w:p>
      <w:pPr>
        <w:ind w:left="-20" w:right="60" w:firstLine="464"/>
        <w:spacing w:after="0" w:line="287" w:lineRule="auto"/>
        <w:tabs>
          <w:tab w:leader="none" w:pos="68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Whenever PMCULC requests a Borrowing that includes Canadian BA’s, each Lender that is not permitted by applicable law, by its internal policies to accept Canadian BA’s or by customary market practice to accept a Canadian BA (a “</w:t>
      </w:r>
      <w:r>
        <w:rPr>
          <w:rFonts w:ascii="Arial" w:cs="Arial" w:eastAsia="Arial" w:hAnsi="Arial"/>
          <w:sz w:val="16"/>
          <w:szCs w:val="16"/>
          <w:u w:val="single" w:color="auto"/>
          <w:color w:val="auto"/>
        </w:rPr>
        <w:t>Non BA Lender</w:t>
      </w:r>
      <w:r>
        <w:rPr>
          <w:rFonts w:ascii="Arial" w:cs="Arial" w:eastAsia="Arial" w:hAnsi="Arial"/>
          <w:sz w:val="16"/>
          <w:szCs w:val="16"/>
          <w:color w:val="auto"/>
        </w:rPr>
        <w:t xml:space="preserve">”) shall, in lieu of accepting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amount of such Canadian BA’s, make available to PMCULC on the funding date a non-interest bearing loan (a “</w:t>
      </w:r>
      <w:r>
        <w:rPr>
          <w:rFonts w:ascii="Arial" w:cs="Arial" w:eastAsia="Arial" w:hAnsi="Arial"/>
          <w:sz w:val="16"/>
          <w:szCs w:val="16"/>
          <w:u w:val="single" w:color="auto"/>
          <w:color w:val="auto"/>
        </w:rPr>
        <w:t>Canadian BA Equivalent Loan</w:t>
      </w:r>
      <w:r>
        <w:rPr>
          <w:rFonts w:ascii="Arial" w:cs="Arial" w:eastAsia="Arial" w:hAnsi="Arial"/>
          <w:sz w:val="16"/>
          <w:szCs w:val="16"/>
          <w:color w:val="auto"/>
        </w:rPr>
        <w:t xml:space="preserve">”) in Canadian Dollars in an amount equal to the amount of Canadian BA Discount Proceeds that would constitute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amount of the applicable Canadian BA’s based on the Canadian BA Discount Rate set forth in c</w:t>
      </w:r>
      <w:r>
        <w:rPr>
          <w:rFonts w:ascii="Arial" w:cs="Arial" w:eastAsia="Arial" w:hAnsi="Arial"/>
          <w:sz w:val="16"/>
          <w:szCs w:val="16"/>
          <w:u w:val="single" w:color="auto"/>
          <w:color w:val="auto"/>
        </w:rPr>
        <w:t>lause (b)</w:t>
      </w:r>
      <w:r>
        <w:rPr>
          <w:rFonts w:ascii="Arial" w:cs="Arial" w:eastAsia="Arial" w:hAnsi="Arial"/>
          <w:sz w:val="16"/>
          <w:szCs w:val="16"/>
          <w:color w:val="auto"/>
        </w:rPr>
        <w:t xml:space="preserve"> of the definition of “Canadian BA Discount Rate”. Each Non BA Lender also shall be entitled to deduct from each Canadian BA Equivalent Loan an amount equal to the Canadian BA Fee that would have been applicable had it been able to accept Canadian BA’s. Each Canadian BA Equivalent Loan shall have a term equal to the term of the Canadian BA’s that the Non BA Lender would otherwise have accepted and PMCULC shall, at the end of that term, be obligated to pay the Non BA Lender an amount equal to the aggregate face amount of the Canadian BA’s that it would otherwise have accepted. All provisions of this Agreement applicable to Canadian BA’s and Lenders that accept Canadian BA’s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Canadian BA Equivalent Loans and Non BA Lenders and, without limiting the foregoing, Borrowings shall include Canadian BA Equivalent Loans.</w:t>
      </w:r>
    </w:p>
    <w:p>
      <w:pPr>
        <w:spacing w:after="0" w:line="123" w:lineRule="exact"/>
        <w:rPr>
          <w:sz w:val="20"/>
          <w:szCs w:val="20"/>
          <w:color w:val="auto"/>
        </w:rPr>
      </w:pPr>
    </w:p>
    <w:p>
      <w:pPr>
        <w:ind w:left="-20" w:firstLine="464"/>
        <w:spacing w:after="0" w:line="253" w:lineRule="auto"/>
        <w:tabs>
          <w:tab w:leader="none" w:pos="612"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Payment of Canadian BA’s; Cash Collateral; Prepayments; Taxes, Yield Protection and Illegality</w:t>
      </w:r>
      <w:r>
        <w:rPr>
          <w:rFonts w:ascii="Arial" w:cs="Arial" w:eastAsia="Arial" w:hAnsi="Arial"/>
          <w:sz w:val="18"/>
          <w:szCs w:val="18"/>
          <w:color w:val="auto"/>
        </w:rPr>
        <w:t xml:space="preserve">. (a) PMCULC shall provide for the payment to each Lender of the full face amount of each Canadian BA accepted for its account on the earlier of (i) the date of maturity of such Canadian BA; and (ii) the date on which any Obligations become due and payable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Any amount owing by PMCULC in respect of any Canadian BA which is not paid in accordance with the foregoing, shall, as and from the date on which such Canadian BA matures, be deemed to be outstanding hereunder as a Canadian Prime Rate Loan. Each Lender shall be entitled to recover interest from PMCULC, at the Default Rate, on any amount that is not paid when due by PMCULC, from the date of maturity of each applicable Canadian BA to the date such payment, and all interest thereon, is provided for by PMCULC, both before and after demand, default and judgment.</w:t>
      </w:r>
    </w:p>
    <w:p>
      <w:pPr>
        <w:spacing w:after="0" w:line="147" w:lineRule="exact"/>
        <w:rPr>
          <w:sz w:val="20"/>
          <w:szCs w:val="20"/>
          <w:color w:val="auto"/>
        </w:rPr>
      </w:pPr>
    </w:p>
    <w:p>
      <w:pPr>
        <w:ind w:left="-20" w:right="240" w:firstLine="464"/>
        <w:spacing w:after="0" w:line="259" w:lineRule="auto"/>
        <w:tabs>
          <w:tab w:leader="none" w:pos="68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Schedule 2.01A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2.05(d)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8.02(c)</w:t>
      </w:r>
      <w:r>
        <w:rPr>
          <w:rFonts w:ascii="Arial" w:cs="Arial" w:eastAsia="Arial" w:hAnsi="Arial"/>
          <w:sz w:val="18"/>
          <w:szCs w:val="18"/>
          <w:color w:val="auto"/>
        </w:rPr>
        <w:t>, “Cash Collateralize” means to pledge and deposit with or deliver to the Administrative Agent, for the benefit of the Lenders, as collateral for the Obligations in respect of Canadian BA’s, cash or deposit account balances pursuant to documentation in form and substance satisfactory to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184" w:name="page185"/>
    <w:bookmarkEnd w:id="18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Administrative Agent and the Lenders (which documents are hereby consented to by the Lenders). Derivatives of such term have corresponding</w:t>
      </w:r>
    </w:p>
    <w:p>
      <w:pPr>
        <w:spacing w:after="0" w:line="3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meanings. PMCULC hereby grants to the Administrative Agent, for the benefit of the Lenders, a security interest in all such cash and deposit account balances and all proceeds of the foregoing. Cash Collateral shall be maintained in blocked accounts at Bank of America.</w:t>
      </w:r>
    </w:p>
    <w:p>
      <w:pPr>
        <w:spacing w:after="0" w:line="138" w:lineRule="exact"/>
        <w:rPr>
          <w:sz w:val="20"/>
          <w:szCs w:val="20"/>
          <w:color w:val="auto"/>
        </w:rPr>
      </w:pPr>
    </w:p>
    <w:p>
      <w:pPr>
        <w:ind w:right="140" w:firstLine="464"/>
        <w:spacing w:after="0" w:line="290" w:lineRule="auto"/>
        <w:tabs>
          <w:tab w:leader="none" w:pos="69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Any amounts received by the Administrative Agent to be applied to outstanding Canadian BA’s, whether pursuant to an Event of Default and acceleration of the Obligations under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or a prepayment as permitted or required under </w:t>
      </w:r>
      <w:r>
        <w:rPr>
          <w:rFonts w:ascii="Arial" w:cs="Arial" w:eastAsia="Arial" w:hAnsi="Arial"/>
          <w:sz w:val="16"/>
          <w:szCs w:val="16"/>
          <w:u w:val="single" w:color="auto"/>
          <w:color w:val="auto"/>
        </w:rPr>
        <w:t>Section 2.05</w:t>
      </w:r>
      <w:r>
        <w:rPr>
          <w:rFonts w:ascii="Arial" w:cs="Arial" w:eastAsia="Arial" w:hAnsi="Arial"/>
          <w:sz w:val="16"/>
          <w:szCs w:val="16"/>
          <w:color w:val="auto"/>
        </w:rPr>
        <w:t>, shall be deposited into an escrow account maintained by and in the name of the Administrative Agent for the benefit of Lenders for set-off against such outstanding Canadian BA’s as they mature, and pending such application shall bear interest at the rate declared by the Administrative Agent from time to time as that customarily paid by it in respect of similar deposits for such amount and for such period relative to the maturity date of such Canadian BA’s, as applicable. Upon the repayment of all such outstanding Canadian BA’s, any amounts remaining (including accrued interest) will (i) during the continuance of an Event of Default, be subject to such remedies as each Lender Party may have hereunder or under applicable Law, or (ii) otherwise, be released to PMCULC.</w:t>
      </w:r>
    </w:p>
    <w:p>
      <w:pPr>
        <w:spacing w:after="0" w:line="118" w:lineRule="exact"/>
        <w:rPr>
          <w:rFonts w:ascii="Arial" w:cs="Arial" w:eastAsia="Arial" w:hAnsi="Arial"/>
          <w:sz w:val="16"/>
          <w:szCs w:val="16"/>
          <w:color w:val="auto"/>
        </w:rPr>
      </w:pPr>
    </w:p>
    <w:p>
      <w:pPr>
        <w:ind w:right="60" w:firstLine="464"/>
        <w:spacing w:after="0" w:line="268" w:lineRule="auto"/>
        <w:tabs>
          <w:tab w:leader="none" w:pos="70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applicable to Loans, Letters of Credit and the Commitments and Obligations in respect thereof apply to Canadian BA’s and the Commitments and Obligations in respect thereof,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32" w:lineRule="exact"/>
        <w:rPr>
          <w:sz w:val="20"/>
          <w:szCs w:val="20"/>
          <w:color w:val="auto"/>
        </w:rPr>
      </w:pPr>
    </w:p>
    <w:p>
      <w:pPr>
        <w:ind w:firstLine="464"/>
        <w:spacing w:after="0" w:line="294" w:lineRule="auto"/>
        <w:tabs>
          <w:tab w:leader="none" w:pos="632"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Deemed Advance — Canadian BA’s</w:t>
      </w:r>
      <w:r>
        <w:rPr>
          <w:rFonts w:ascii="Arial" w:cs="Arial" w:eastAsia="Arial" w:hAnsi="Arial"/>
          <w:sz w:val="16"/>
          <w:szCs w:val="16"/>
          <w:color w:val="auto"/>
        </w:rPr>
        <w:t>. Except for amounts that are paid from the proceeds of a rollover of a Canadian BA or for which payment has otherwise been funded by PMCULC, any amount that a Lender pays to any third party on or after the date of maturity of a Canadian BA in satisfaction thereof, or that is owing to a Lender in respect of a Canadian BA on or after the date of maturity of such a Canadian BA, shall be deemed to be a Canadian Prime Rate Loan to PMCULC under this Agreement. Each Lender shall forthwith give notice of the making of such a Loan to PMCULC, the Administrative Agent and the other Lenders. Interest shall be payable on such Loans in accordance with the terms applicable to Canadian Prime Rate Loans.</w:t>
      </w:r>
    </w:p>
    <w:p>
      <w:pPr>
        <w:spacing w:after="0" w:line="115" w:lineRule="exact"/>
        <w:rPr>
          <w:rFonts w:ascii="Arial" w:cs="Arial" w:eastAsia="Arial" w:hAnsi="Arial"/>
          <w:sz w:val="16"/>
          <w:szCs w:val="16"/>
          <w:color w:val="auto"/>
        </w:rPr>
      </w:pPr>
    </w:p>
    <w:p>
      <w:pPr>
        <w:ind w:firstLine="464"/>
        <w:spacing w:after="0" w:line="256" w:lineRule="auto"/>
        <w:tabs>
          <w:tab w:leader="none" w:pos="632"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PMCULC waives presentment for payment of Canadian BA’s by Lenders. PMCULC shall not claim from a Lender any days of grace for the payment at maturity of any Canadian BA presented and accepted by such Lender pursuant to this Agreement. PMCULC waives any defence to payment that might otherwise exist if for any reason a Canadian BA shall be held by a Lender in its own right at the maturity thereof, and the doctrine of merger shall not apply to any Canadian BA that is at any time held by a Lender in its own right.</w:t>
      </w:r>
    </w:p>
    <w:p>
      <w:pPr>
        <w:spacing w:after="0" w:line="143" w:lineRule="exact"/>
        <w:rPr>
          <w:rFonts w:ascii="Arial" w:cs="Arial" w:eastAsia="Arial" w:hAnsi="Arial"/>
          <w:sz w:val="18"/>
          <w:szCs w:val="18"/>
          <w:color w:val="auto"/>
        </w:rPr>
      </w:pPr>
    </w:p>
    <w:p>
      <w:pPr>
        <w:ind w:firstLine="464"/>
        <w:spacing w:after="0" w:line="259" w:lineRule="auto"/>
        <w:tabs>
          <w:tab w:leader="none" w:pos="632"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Degree of Care</w:t>
      </w:r>
      <w:r>
        <w:rPr>
          <w:rFonts w:ascii="Arial" w:cs="Arial" w:eastAsia="Arial" w:hAnsi="Arial"/>
          <w:sz w:val="18"/>
          <w:szCs w:val="18"/>
          <w:color w:val="auto"/>
        </w:rPr>
        <w:t>. Any executed Canadian BA’s shall be held in safekeeping with the same degree of care as if they were the applicable Lender’s own property, and shall be kept at the place at which such Canadian BA’s are ordinarily held by such Lender. The Administrative Agent and Lenders shall not be liable for any damage, loss or improper use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85" w:name="page186"/>
    <w:bookmarkEnd w:id="185"/>
    <w:p>
      <w:pPr>
        <w:ind w:right="6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bankers’ acceptance draft endorsed in blank except for any loss arising by reason of the Administrative Agent or a Lender failing to use the same standard of care in the custody of such bankers’ acceptance drafts as the Administrative Agent or such Lender use in the custody of their own property of a similar nature.</w:t>
      </w:r>
    </w:p>
    <w:p>
      <w:pPr>
        <w:spacing w:after="0" w:line="62" w:lineRule="exact"/>
        <w:rPr>
          <w:sz w:val="20"/>
          <w:szCs w:val="20"/>
          <w:color w:val="auto"/>
        </w:rPr>
      </w:pPr>
    </w:p>
    <w:p>
      <w:pPr>
        <w:ind w:right="60" w:firstLine="464"/>
        <w:spacing w:after="0" w:line="332" w:lineRule="auto"/>
        <w:tabs>
          <w:tab w:leader="none" w:pos="632"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The obligations of PMCLC with respect to Canadian BA’s under this Agreement shall be unconditional and irrevocable, and shall be paid strictly in accordance with the terms of this Agreement under all circumstances, including the following circumstances:</w:t>
      </w:r>
    </w:p>
    <w:p>
      <w:pPr>
        <w:spacing w:after="0" w:line="4" w:lineRule="exact"/>
        <w:rPr>
          <w:rFonts w:ascii="Arial" w:cs="Arial" w:eastAsia="Arial" w:hAnsi="Arial"/>
          <w:sz w:val="16"/>
          <w:szCs w:val="16"/>
          <w:color w:val="auto"/>
        </w:rPr>
      </w:pPr>
    </w:p>
    <w:p>
      <w:pPr>
        <w:ind w:left="1120" w:hanging="217"/>
        <w:spacing w:after="0"/>
        <w:tabs>
          <w:tab w:leader="none" w:pos="11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any lack of validity or enforceability of any bankers’ acceptance, bill or note accepted by a Lender as a Canadian BA; or</w:t>
      </w:r>
    </w:p>
    <w:p>
      <w:pPr>
        <w:spacing w:after="0" w:line="90" w:lineRule="exact"/>
        <w:rPr>
          <w:rFonts w:ascii="Arial" w:cs="Arial" w:eastAsia="Arial" w:hAnsi="Arial"/>
          <w:sz w:val="18"/>
          <w:szCs w:val="18"/>
          <w:color w:val="auto"/>
        </w:rPr>
      </w:pPr>
    </w:p>
    <w:p>
      <w:pPr>
        <w:ind w:left="460" w:right="140" w:firstLine="443"/>
        <w:spacing w:after="0" w:line="268" w:lineRule="auto"/>
        <w:tabs>
          <w:tab w:leader="none" w:pos="1157"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the existence of any claim, set off, defense or other right that PMCULC may have at any time against the holder of a Canadian BA, a Lender or any other Person, whether in connection with this Agreement or otherwise.</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Shortfall on Drawdowns, Rollovers and Conversions</w:t>
      </w:r>
      <w:r>
        <w:rPr>
          <w:rFonts w:ascii="Arial" w:cs="Arial" w:eastAsia="Arial" w:hAnsi="Arial"/>
          <w:sz w:val="18"/>
          <w:szCs w:val="18"/>
          <w:color w:val="auto"/>
        </w:rPr>
        <w:t>. PMCULC agrees that: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the difference between the amount of a Borrowing requested by PMCULC by way of Canadian BA’s and the actual proceeds of the Canadian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BA’s;</w:t>
      </w:r>
    </w:p>
    <w:p>
      <w:pPr>
        <w:spacing w:after="0" w:line="83" w:lineRule="exact"/>
        <w:rPr>
          <w:rFonts w:ascii="Arial" w:cs="Arial" w:eastAsia="Arial" w:hAnsi="Arial"/>
          <w:sz w:val="16"/>
          <w:szCs w:val="16"/>
          <w:color w:val="auto"/>
        </w:rPr>
      </w:pPr>
    </w:p>
    <w:p>
      <w:pPr>
        <w:ind w:left="460" w:firstLine="443"/>
        <w:spacing w:after="0" w:line="268" w:lineRule="auto"/>
        <w:tabs>
          <w:tab w:leader="none" w:pos="1157"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the difference between the actual proceeds of a Canadian BA and the amount required to pay a maturing Canadian BA, if a Canadian BA is being rolled over; and</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205"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the difference between the actual proceeds of a Canadian BA and the amount required to repay any Borrowing that is being converted to a Canadian BA;</w:t>
      </w:r>
    </w:p>
    <w:p>
      <w:pPr>
        <w:spacing w:after="0" w:line="132"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shall be funded and paid by PMCULC from its own resources, by 12:00 p.m. (Toronto time) on the day of the applicable Borrowing or may be advanced as a Canadian Prime Rate Loan under the Commitments if PMCULC is otherwise entitled to a Borrowing under this Agreement.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5.03</w:t>
      </w:r>
    </w:p>
    <w:p>
      <w:pPr>
        <w:spacing w:after="0" w:line="32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GOVERNMENTAL AUTHORIZATION; OTHER CONSENTS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700" w:top="280"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5.06</w:t>
      </w:r>
    </w:p>
    <w:p>
      <w:pPr>
        <w:spacing w:after="0" w:line="3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LITIGATION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700" w:top="280"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5.08</w:t>
      </w:r>
    </w:p>
    <w:p>
      <w:pPr>
        <w:spacing w:after="0" w:line="3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ENVIRONMENTAL MATTERS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700" w:top="280"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5.09</w:t>
      </w:r>
    </w:p>
    <w:p>
      <w:pPr>
        <w:spacing w:after="0" w:line="3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ERISA MATTERS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700" w:top="280"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5.12</w:t>
      </w:r>
    </w:p>
    <w:p>
      <w:pPr>
        <w:spacing w:after="0" w:line="3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COMPLIANCE WITH LAWS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700" w:top="280"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11.02</w:t>
      </w:r>
    </w:p>
    <w:p>
      <w:pPr>
        <w:spacing w:after="0" w:line="3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ADMINISTRATIVE AGENT’S OFFICE;</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CERTAIN ADDRESSES FOR NOTICES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Vice President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713-646-4100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(713) 646-4313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Taxpayer Identification Number: 76-0587115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Plains Midstream Canada ULC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Vice President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713-646-4100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(713) 646-4313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Canadian Corporate Access Identification Number: 2015780733</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Vice President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713-646-4100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(713) 646-4313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Taxpayer Identification Number: 76-0582150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80" w:right="2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ADMINISTRATIVE AGENT: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Administrative Agent’s Office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payments and Requests for Credit Extensions):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2001 Clayton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CA4-702-02-25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Concord, CA 94520-2405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Anthony Salvador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925-675-8101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415-249-5033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Electronic Mail: </w:t>
      </w:r>
      <w:r>
        <w:rPr>
          <w:rFonts w:ascii="Arial" w:cs="Arial" w:eastAsia="Arial" w:hAnsi="Arial"/>
          <w:sz w:val="18"/>
          <w:szCs w:val="18"/>
          <w:u w:val="single" w:color="auto"/>
          <w:color w:val="auto"/>
        </w:rPr>
        <w:t>anthony.salvador@baml.com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No.: 37508-36479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Credit Services—West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 Plains Marketing,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ABA# 026009593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Notices as Administrative 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Agency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1455 Market Street, 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CA5-701-05-19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Bridgett J. Manduk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415-436-1097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415-503-5011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Electronic Mail: </w:t>
      </w:r>
      <w:r>
        <w:rPr>
          <w:rFonts w:ascii="Arial" w:cs="Arial" w:eastAsia="Arial" w:hAnsi="Arial"/>
          <w:sz w:val="18"/>
          <w:szCs w:val="18"/>
          <w:u w:val="single" w:color="auto"/>
          <w:color w:val="auto"/>
        </w:rPr>
        <w:t>bridgett.manduk@baml.com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L/C ISSUER: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Trade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Fleet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PA6-580-02-30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Scranton, PA 18507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Nicholas M. Mecca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570-330-4316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800-755-8743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Electronic Mail: </w:t>
      </w:r>
      <w:r>
        <w:rPr>
          <w:rFonts w:ascii="Arial" w:cs="Arial" w:eastAsia="Arial" w:hAnsi="Arial"/>
          <w:sz w:val="18"/>
          <w:szCs w:val="18"/>
          <w:u w:val="single" w:color="auto"/>
          <w:color w:val="auto"/>
        </w:rPr>
        <w:t>nicholas.m.mecca@baml.com</w:t>
      </w:r>
    </w:p>
    <w:p>
      <w:pPr>
        <w:spacing w:after="0" w:line="151"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274" w:right="1440"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SWING LINE LENDER: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Building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2001 Clayton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CA4-702-02-25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Concord, CA 94520-2405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Anthony Salvador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925-675-8101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415-249-5033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Electronic Mail: </w:t>
      </w:r>
      <w:r>
        <w:rPr>
          <w:rFonts w:ascii="Arial" w:cs="Arial" w:eastAsia="Arial" w:hAnsi="Arial"/>
          <w:sz w:val="18"/>
          <w:szCs w:val="18"/>
          <w:u w:val="single" w:color="auto"/>
          <w:color w:val="auto"/>
        </w:rPr>
        <w:t>anthony.salvador@baml.com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No.: 37508-36479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Credit Services—West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 Plains Marketing,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ABA# 026009593</w:t>
      </w:r>
    </w:p>
    <w:p>
      <w:pPr>
        <w:spacing w:after="0" w:line="151"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74" w:right="1440"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COMMITTED LOAN NOTICE</w:t>
      </w:r>
    </w:p>
    <w:p>
      <w:pPr>
        <w:spacing w:after="0" w:line="21" w:lineRule="exact"/>
        <w:rPr>
          <w:sz w:val="20"/>
          <w:szCs w:val="20"/>
          <w:color w:val="auto"/>
        </w:rPr>
      </w:pPr>
    </w:p>
    <w:p>
      <w:pPr>
        <w:ind w:left="9860"/>
        <w:spacing w:after="0"/>
        <w:tabs>
          <w:tab w:leader="none" w:pos="10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Bank of America, N.A., as Administrative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Reference is made to that certain Third Amended and Restated Credit Agreement, dated as of August 19, 2011, as amended by that certain First Amendment to Third Amended and Restated Credit Agreement, dated as of June 27, 2012 (such Third Amended and Restated Credit Agreement, as amended, restated, extended, supplemented or otherwise modified in writing from time to time, the “</w:t>
      </w:r>
      <w:r>
        <w:rPr>
          <w:rFonts w:ascii="Arial" w:cs="Arial" w:eastAsia="Arial" w:hAnsi="Arial"/>
          <w:sz w:val="16"/>
          <w:szCs w:val="16"/>
          <w:u w:val="single" w:color="auto"/>
          <w:color w:val="auto"/>
        </w:rPr>
        <w:t>Agreement</w:t>
      </w:r>
      <w:r>
        <w:rPr>
          <w:rFonts w:ascii="Arial" w:cs="Arial" w:eastAsia="Arial" w:hAnsi="Arial"/>
          <w:sz w:val="16"/>
          <w:szCs w:val="16"/>
          <w:color w:val="auto"/>
        </w:rPr>
        <w:t>;” the terms defined therein being used herein as therein defined), among Plains Marketing, L.P., a Texas limited partnership (the “</w:t>
      </w:r>
      <w:r>
        <w:rPr>
          <w:rFonts w:ascii="Arial" w:cs="Arial" w:eastAsia="Arial" w:hAnsi="Arial"/>
          <w:sz w:val="16"/>
          <w:szCs w:val="16"/>
          <w:u w:val="single" w:color="auto"/>
          <w:color w:val="auto"/>
        </w:rPr>
        <w:t>Company</w:t>
      </w:r>
      <w:r>
        <w:rPr>
          <w:rFonts w:ascii="Arial" w:cs="Arial" w:eastAsia="Arial" w:hAnsi="Arial"/>
          <w:sz w:val="16"/>
          <w:szCs w:val="16"/>
          <w:color w:val="auto"/>
        </w:rPr>
        <w:t>”), Plains Midstream Canada ULC, a British Columbia unlimited liability company (“</w:t>
      </w:r>
      <w:r>
        <w:rPr>
          <w:rFonts w:ascii="Arial" w:cs="Arial" w:eastAsia="Arial" w:hAnsi="Arial"/>
          <w:sz w:val="16"/>
          <w:szCs w:val="16"/>
          <w:u w:val="single" w:color="auto"/>
          <w:color w:val="auto"/>
        </w:rPr>
        <w:t>PMCULC</w:t>
      </w:r>
      <w:r>
        <w:rPr>
          <w:rFonts w:ascii="Arial" w:cs="Arial" w:eastAsia="Arial" w:hAnsi="Arial"/>
          <w:sz w:val="16"/>
          <w:szCs w:val="16"/>
          <w:color w:val="auto"/>
        </w:rPr>
        <w:t>” and, together with the Company, the “</w:t>
      </w:r>
      <w:r>
        <w:rPr>
          <w:rFonts w:ascii="Arial" w:cs="Arial" w:eastAsia="Arial" w:hAnsi="Arial"/>
          <w:sz w:val="16"/>
          <w:szCs w:val="16"/>
          <w:u w:val="single" w:color="auto"/>
          <w:color w:val="auto"/>
        </w:rPr>
        <w:t>Borrowers</w:t>
      </w:r>
      <w:r>
        <w:rPr>
          <w:rFonts w:ascii="Arial" w:cs="Arial" w:eastAsia="Arial" w:hAnsi="Arial"/>
          <w:sz w:val="16"/>
          <w:szCs w:val="16"/>
          <w:color w:val="auto"/>
        </w:rPr>
        <w:t>”, and each, a “</w:t>
      </w:r>
      <w:r>
        <w:rPr>
          <w:rFonts w:ascii="Arial" w:cs="Arial" w:eastAsia="Arial" w:hAnsi="Arial"/>
          <w:sz w:val="16"/>
          <w:szCs w:val="16"/>
          <w:u w:val="single" w:color="auto"/>
          <w:color w:val="auto"/>
        </w:rPr>
        <w:t>Borrower</w:t>
      </w:r>
      <w:r>
        <w:rPr>
          <w:rFonts w:ascii="Arial" w:cs="Arial" w:eastAsia="Arial" w:hAnsi="Arial"/>
          <w:sz w:val="16"/>
          <w:szCs w:val="16"/>
          <w:color w:val="auto"/>
        </w:rPr>
        <w:t>”), Plains All American Pipeline, L.P., a Delaware limited partnership, as guarantor, Bank of America, N.A., as Administrative Agent, Swing Line Lender and L/C Issuer, and the Lenders from time to time party thereto.</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hereby requests (select one):</w:t>
      </w:r>
    </w:p>
    <w:p>
      <w:pPr>
        <w:spacing w:after="0" w:line="171" w:lineRule="exact"/>
        <w:rPr>
          <w:sz w:val="20"/>
          <w:szCs w:val="20"/>
          <w:color w:val="auto"/>
        </w:rPr>
      </w:pPr>
    </w:p>
    <w:p>
      <w:pPr>
        <w:ind w:left="680" w:hanging="216"/>
        <w:spacing w:after="0"/>
        <w:tabs>
          <w:tab w:leader="none" w:pos="680" w:val="left"/>
        </w:tabs>
        <w:numPr>
          <w:ilvl w:val="0"/>
          <w:numId w:val="177"/>
        </w:numPr>
        <w:rPr>
          <w:rFonts w:ascii="MS PGothic" w:cs="MS PGothic" w:eastAsia="MS PGothic" w:hAnsi="MS PGothic"/>
          <w:sz w:val="18"/>
          <w:szCs w:val="18"/>
          <w:color w:val="auto"/>
        </w:rPr>
      </w:pPr>
      <w:r>
        <w:rPr>
          <w:rFonts w:ascii="Arial" w:cs="Arial" w:eastAsia="Arial" w:hAnsi="Arial"/>
          <w:sz w:val="18"/>
          <w:szCs w:val="18"/>
          <w:color w:val="auto"/>
        </w:rPr>
        <w:t>A Borrowing of Committed Loans</w:t>
      </w:r>
    </w:p>
    <w:p>
      <w:pPr>
        <w:spacing w:after="0" w:line="171" w:lineRule="exact"/>
        <w:rPr>
          <w:rFonts w:ascii="MS PGothic" w:cs="MS PGothic" w:eastAsia="MS PGothic" w:hAnsi="MS PGothic"/>
          <w:sz w:val="18"/>
          <w:szCs w:val="18"/>
          <w:color w:val="auto"/>
        </w:rPr>
      </w:pPr>
    </w:p>
    <w:p>
      <w:pPr>
        <w:ind w:left="680" w:hanging="216"/>
        <w:spacing w:after="0"/>
        <w:tabs>
          <w:tab w:leader="none" w:pos="680" w:val="left"/>
        </w:tabs>
        <w:numPr>
          <w:ilvl w:val="0"/>
          <w:numId w:val="177"/>
        </w:numPr>
        <w:rPr>
          <w:rFonts w:ascii="MS PGothic" w:cs="MS PGothic" w:eastAsia="MS PGothic" w:hAnsi="MS PGothic"/>
          <w:sz w:val="18"/>
          <w:szCs w:val="18"/>
          <w:color w:val="auto"/>
        </w:rPr>
      </w:pPr>
      <w:r>
        <w:rPr>
          <w:rFonts w:ascii="Arial" w:cs="Arial" w:eastAsia="Arial" w:hAnsi="Arial"/>
          <w:sz w:val="18"/>
          <w:szCs w:val="18"/>
          <w:color w:val="auto"/>
        </w:rPr>
        <w:t>A conversion or continuation of Committed Loans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16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260" w:type="dxa"/>
            <w:vAlign w:val="bottom"/>
          </w:tcPr>
          <w:p>
            <w:pPr>
              <w:ind w:left="20"/>
              <w:spacing w:after="0"/>
              <w:rPr>
                <w:sz w:val="20"/>
                <w:szCs w:val="20"/>
                <w:color w:val="auto"/>
              </w:rPr>
            </w:pPr>
            <w:r>
              <w:rPr>
                <w:rFonts w:ascii="Arial" w:cs="Arial" w:eastAsia="Arial" w:hAnsi="Arial"/>
                <w:sz w:val="18"/>
                <w:szCs w:val="18"/>
                <w:color w:val="auto"/>
                <w:w w:val="91"/>
              </w:rPr>
              <w:t>On</w:t>
            </w:r>
          </w:p>
        </w:tc>
        <w:tc>
          <w:tcPr>
            <w:tcW w:w="2720" w:type="dxa"/>
            <w:vAlign w:val="bottom"/>
          </w:tcPr>
          <w:p>
            <w:pPr>
              <w:ind w:left="900"/>
              <w:spacing w:after="0"/>
              <w:rPr>
                <w:sz w:val="20"/>
                <w:szCs w:val="20"/>
                <w:color w:val="auto"/>
              </w:rPr>
            </w:pPr>
            <w:r>
              <w:rPr>
                <w:rFonts w:ascii="Arial" w:cs="Arial" w:eastAsia="Arial" w:hAnsi="Arial"/>
                <w:sz w:val="18"/>
                <w:szCs w:val="18"/>
                <w:color w:val="auto"/>
              </w:rPr>
              <w:t>(a Business Day).</w:t>
            </w:r>
          </w:p>
        </w:tc>
        <w:tc>
          <w:tcPr>
            <w:tcW w:w="10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78"/>
        </w:trPr>
        <w:tc>
          <w:tcPr>
            <w:tcW w:w="16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In the [principal amount of [$/C$]</w:t>
            </w:r>
          </w:p>
        </w:tc>
        <w:tc>
          <w:tcPr>
            <w:tcW w:w="2460" w:type="dxa"/>
            <w:vAlign w:val="bottom"/>
            <w:gridSpan w:val="2"/>
          </w:tcPr>
          <w:p>
            <w:pPr>
              <w:jc w:val="right"/>
              <w:ind w:right="172"/>
              <w:spacing w:after="0"/>
              <w:rPr>
                <w:sz w:val="20"/>
                <w:szCs w:val="20"/>
                <w:color w:val="auto"/>
              </w:rPr>
            </w:pPr>
            <w:r>
              <w:rPr>
                <w:rFonts w:ascii="Arial" w:cs="Arial" w:eastAsia="Arial" w:hAnsi="Arial"/>
                <w:sz w:val="18"/>
                <w:szCs w:val="18"/>
                <w:color w:val="auto"/>
                <w:w w:val="87"/>
              </w:rPr>
              <w:t>] [aggregate face amount of C$</w:t>
            </w:r>
          </w:p>
        </w:tc>
        <w:tc>
          <w:tcPr>
            <w:tcW w:w="2420" w:type="dxa"/>
            <w:vAlign w:val="bottom"/>
          </w:tcPr>
          <w:p>
            <w:pPr>
              <w:ind w:left="260"/>
              <w:spacing w:after="0"/>
              <w:rPr>
                <w:sz w:val="20"/>
                <w:szCs w:val="20"/>
                <w:color w:val="auto"/>
              </w:rPr>
            </w:pPr>
            <w:r>
              <w:rPr>
                <w:rFonts w:ascii="Arial" w:cs="Arial" w:eastAsia="Arial" w:hAnsi="Arial"/>
                <w:sz w:val="18"/>
                <w:szCs w:val="18"/>
                <w:color w:val="auto"/>
              </w:rPr>
              <w:t>of Canadian BA’s].</w:t>
            </w:r>
          </w:p>
        </w:tc>
        <w:tc>
          <w:tcPr>
            <w:tcW w:w="1160" w:type="dxa"/>
            <w:vAlign w:val="bottom"/>
          </w:tcPr>
          <w:p>
            <w:pPr>
              <w:spacing w:after="0"/>
              <w:rPr>
                <w:sz w:val="24"/>
                <w:szCs w:val="24"/>
                <w:color w:val="auto"/>
              </w:rPr>
            </w:pPr>
          </w:p>
        </w:tc>
      </w:tr>
      <w:tr>
        <w:trPr>
          <w:trHeight w:val="378"/>
        </w:trPr>
        <w:tc>
          <w:tcPr>
            <w:tcW w:w="16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7860" w:type="dxa"/>
            <w:vAlign w:val="bottom"/>
            <w:gridSpan w:val="5"/>
          </w:tcPr>
          <w:p>
            <w:pPr>
              <w:ind w:left="20"/>
              <w:spacing w:after="0"/>
              <w:rPr>
                <w:sz w:val="20"/>
                <w:szCs w:val="20"/>
                <w:color w:val="auto"/>
              </w:rPr>
            </w:pPr>
            <w:r>
              <w:rPr>
                <w:rFonts w:ascii="Arial" w:cs="Arial" w:eastAsia="Arial" w:hAnsi="Arial"/>
                <w:sz w:val="18"/>
                <w:szCs w:val="18"/>
                <w:color w:val="auto"/>
              </w:rPr>
              <w:t>Comprised of [Base Rate Loans] [Eurocurrency Rate Loans] [Borrowing of Canadian BA’s].</w:t>
            </w:r>
          </w:p>
        </w:tc>
        <w:tc>
          <w:tcPr>
            <w:tcW w:w="1160" w:type="dxa"/>
            <w:vAlign w:val="bottom"/>
          </w:tcPr>
          <w:p>
            <w:pPr>
              <w:spacing w:after="0"/>
              <w:rPr>
                <w:sz w:val="24"/>
                <w:szCs w:val="24"/>
                <w:color w:val="auto"/>
              </w:rPr>
            </w:pPr>
          </w:p>
        </w:tc>
      </w:tr>
      <w:tr>
        <w:trPr>
          <w:trHeight w:val="378"/>
        </w:trPr>
        <w:tc>
          <w:tcPr>
            <w:tcW w:w="16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7860" w:type="dxa"/>
            <w:vAlign w:val="bottom"/>
            <w:gridSpan w:val="5"/>
          </w:tcPr>
          <w:p>
            <w:pPr>
              <w:ind w:left="20"/>
              <w:spacing w:after="0"/>
              <w:rPr>
                <w:sz w:val="20"/>
                <w:szCs w:val="20"/>
                <w:color w:val="auto"/>
              </w:rPr>
            </w:pPr>
            <w:r>
              <w:rPr>
                <w:rFonts w:ascii="Arial" w:cs="Arial" w:eastAsia="Arial" w:hAnsi="Arial"/>
                <w:sz w:val="18"/>
                <w:szCs w:val="18"/>
                <w:color w:val="auto"/>
                <w:w w:val="93"/>
              </w:rPr>
              <w:t>For Eurocurrency Rate Loans: with an Interest Period of [seven] [fourteen] [days] [one] [two] [three] [six] [</w:t>
            </w:r>
          </w:p>
        </w:tc>
        <w:tc>
          <w:tcPr>
            <w:tcW w:w="1160" w:type="dxa"/>
            <w:vAlign w:val="bottom"/>
          </w:tcPr>
          <w:p>
            <w:pPr>
              <w:ind w:left="260"/>
              <w:spacing w:after="0"/>
              <w:rPr>
                <w:sz w:val="20"/>
                <w:szCs w:val="20"/>
                <w:color w:val="auto"/>
              </w:rPr>
            </w:pPr>
            <w:r>
              <w:rPr>
                <w:rFonts w:ascii="Arial" w:cs="Arial" w:eastAsia="Arial" w:hAnsi="Arial"/>
                <w:sz w:val="18"/>
                <w:szCs w:val="18"/>
                <w:color w:val="auto"/>
                <w:w w:val="93"/>
              </w:rPr>
              <w:t>] [month[s]].</w:t>
            </w:r>
          </w:p>
        </w:tc>
      </w:tr>
      <w:tr>
        <w:trPr>
          <w:trHeight w:val="378"/>
        </w:trPr>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tcPr>
          <w:p>
            <w:pPr>
              <w:ind w:left="40"/>
              <w:spacing w:after="0"/>
              <w:rPr>
                <w:sz w:val="20"/>
                <w:szCs w:val="20"/>
                <w:color w:val="auto"/>
              </w:rPr>
            </w:pPr>
            <w:r>
              <w:rPr>
                <w:rFonts w:ascii="Arial" w:cs="Arial" w:eastAsia="Arial" w:hAnsi="Arial"/>
                <w:sz w:val="18"/>
                <w:szCs w:val="18"/>
                <w:color w:val="auto"/>
                <w:w w:val="88"/>
              </w:rPr>
              <w:t>For Canadian BA’s: a maturity date of</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 20</w:t>
            </w:r>
          </w:p>
        </w:tc>
        <w:tc>
          <w:tcPr>
            <w:tcW w:w="1460" w:type="dxa"/>
            <w:vAlign w:val="bottom"/>
          </w:tcPr>
          <w:p>
            <w:pPr>
              <w:jc w:val="right"/>
              <w:ind w:right="1152"/>
              <w:spacing w:after="0"/>
              <w:rPr>
                <w:sz w:val="20"/>
                <w:szCs w:val="20"/>
                <w:color w:val="auto"/>
              </w:rPr>
            </w:pPr>
            <w:r>
              <w:rPr>
                <w:rFonts w:ascii="Arial" w:cs="Arial" w:eastAsia="Arial" w:hAnsi="Arial"/>
                <w:sz w:val="18"/>
                <w:szCs w:val="18"/>
                <w:color w:val="auto"/>
              </w:rPr>
              <w:t>.</w:t>
            </w:r>
          </w:p>
        </w:tc>
        <w:tc>
          <w:tcPr>
            <w:tcW w:w="24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 If a conversion or continuation of Committed Loans, the existing Borrowing(s) of Committed Loans to be converted or continued:</w:t>
      </w:r>
    </w:p>
    <w:p>
      <w:pPr>
        <w:sectPr>
          <w:pgSz w:w="11900" w:h="16838" w:orient="portrait"/>
          <w:cols w:equalWidth="0" w:num="1">
            <w:col w:w="11420"/>
          </w:cols>
          <w:pgMar w:left="240" w:top="280" w:right="239" w:bottom="1440" w:gutter="0" w:footer="0" w:header="0"/>
        </w:sectPr>
      </w:pP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Principal amount of [$/C$]</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of Eurocurrency Rate Loans with an Interest Period ending</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16" w:lineRule="exact"/>
        <w:rPr>
          <w:sz w:val="20"/>
          <w:szCs w:val="20"/>
          <w:color w:val="auto"/>
        </w:rPr>
      </w:pPr>
    </w:p>
    <w:p>
      <w:pPr>
        <w:sectPr>
          <w:pgSz w:w="11900" w:h="16838" w:orient="portrait"/>
          <w:cols w:equalWidth="0" w:num="3">
            <w:col w:w="2360" w:space="520"/>
            <w:col w:w="4160" w:space="560"/>
            <w:col w:w="3820"/>
          </w:cols>
          <w:pgMar w:left="240" w:top="280"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Principal amount of [$/C$]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of Base Rate Loans.]</w:t>
      </w:r>
    </w:p>
    <w:p>
      <w:pPr>
        <w:spacing w:after="0" w:line="192" w:lineRule="exact"/>
        <w:rPr>
          <w:sz w:val="20"/>
          <w:szCs w:val="20"/>
          <w:color w:val="auto"/>
        </w:rPr>
      </w:pPr>
    </w:p>
    <w:p>
      <w:pPr>
        <w:sectPr>
          <w:pgSz w:w="11900" w:h="16838" w:orient="portrait"/>
          <w:cols w:equalWidth="0" w:num="2">
            <w:col w:w="2360" w:space="520"/>
            <w:col w:w="8540"/>
          </w:cols>
          <w:pgMar w:left="240" w:top="280"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Form of Committed Loan Notice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- 1</w:t>
      </w:r>
    </w:p>
    <w:p>
      <w:pPr>
        <w:sectPr>
          <w:pgSz w:w="11900" w:h="16838" w:orient="portrait"/>
          <w:cols w:equalWidth="0" w:num="1">
            <w:col w:w="11420"/>
          </w:cols>
          <w:pgMar w:left="240" w:top="280" w:right="239" w:bottom="1440" w:gutter="0" w:footer="0" w:header="0"/>
          <w:type w:val="continuous"/>
        </w:sectPr>
      </w:pPr>
    </w:p>
    <w:bookmarkStart w:id="195" w:name="page196"/>
    <w:bookmarkEnd w:id="19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Committed Borrowing, if any, requested herein complies with the proviso to the first sentence of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of the Agreement.</w:t>
      </w:r>
    </w:p>
    <w:p>
      <w:pPr>
        <w:sectPr>
          <w:pgSz w:w="11900" w:h="16838" w:orient="portrait"/>
          <w:cols w:equalWidth="0" w:num="1">
            <w:col w:w="9759"/>
          </w:cols>
          <w:pgMar w:left="700" w:top="280" w:right="1440" w:bottom="1440" w:gutter="0" w:footer="0" w:header="0"/>
        </w:sectPr>
      </w:pPr>
    </w:p>
    <w:p>
      <w:pPr>
        <w:spacing w:after="0" w:line="181" w:lineRule="exact"/>
        <w:rPr>
          <w:sz w:val="20"/>
          <w:szCs w:val="20"/>
          <w:color w:val="auto"/>
        </w:rPr>
      </w:pPr>
    </w:p>
    <w:p>
      <w:pPr>
        <w:jc w:val="center"/>
        <w:ind w:right="-760"/>
        <w:spacing w:after="0"/>
        <w:rPr>
          <w:sz w:val="20"/>
          <w:szCs w:val="20"/>
          <w:color w:val="auto"/>
        </w:rPr>
      </w:pPr>
      <w:r>
        <w:rPr>
          <w:rFonts w:ascii="Arial" w:cs="Arial" w:eastAsia="Arial" w:hAnsi="Arial"/>
          <w:sz w:val="16"/>
          <w:szCs w:val="16"/>
          <w:color w:val="auto"/>
        </w:rPr>
        <w:t>Form of Committed Loan Notice</w:t>
      </w:r>
    </w:p>
    <w:p>
      <w:pPr>
        <w:spacing w:after="0" w:line="181"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A - 2</w:t>
      </w:r>
    </w:p>
    <w:p>
      <w:pPr>
        <w:sectPr>
          <w:pgSz w:w="11900" w:h="16838" w:orient="portrait"/>
          <w:cols w:equalWidth="0" w:num="1">
            <w:col w:w="9759"/>
          </w:cols>
          <w:pgMar w:left="700" w:top="280" w:right="1440" w:bottom="1440" w:gutter="0" w:footer="0" w:header="0"/>
          <w:type w:val="continuous"/>
        </w:sectPr>
      </w:pPr>
    </w:p>
    <w:bookmarkStart w:id="196" w:name="page197"/>
    <w:bookmarkEnd w:id="196"/>
    <w:p>
      <w:pPr>
        <w:jc w:val="right"/>
        <w:ind w:right="2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w:t>
      </w:r>
    </w:p>
    <w:p>
      <w:pPr>
        <w:spacing w:after="0" w:line="23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4199890</wp:posOffset>
            </wp:positionH>
            <wp:positionV relativeFrom="paragraph">
              <wp:posOffset>10795</wp:posOffset>
            </wp:positionV>
            <wp:extent cx="228981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9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4199890</wp:posOffset>
            </wp:positionH>
            <wp:positionV relativeFrom="paragraph">
              <wp:posOffset>10795</wp:posOffset>
            </wp:positionV>
            <wp:extent cx="228981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9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4199890</wp:posOffset>
            </wp:positionH>
            <wp:positionV relativeFrom="paragraph">
              <wp:posOffset>10795</wp:posOffset>
            </wp:positionV>
            <wp:extent cx="228981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Form of Committed Loan Notice</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- 3</w:t>
      </w:r>
    </w:p>
    <w:p>
      <w:pPr>
        <w:sectPr>
          <w:pgSz w:w="11900" w:h="16838" w:orient="portrait"/>
          <w:cols w:equalWidth="0" w:num="1">
            <w:col w:w="9019"/>
          </w:cols>
          <w:pgMar w:left="1440" w:top="274" w:right="1440"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SWING LINE LOAN NOTICE</w:t>
      </w:r>
    </w:p>
    <w:p>
      <w:pPr>
        <w:spacing w:after="0" w:line="177" w:lineRule="exact"/>
        <w:rPr>
          <w:sz w:val="20"/>
          <w:szCs w:val="20"/>
          <w:color w:val="auto"/>
        </w:rPr>
      </w:pPr>
    </w:p>
    <w:p>
      <w:pPr>
        <w:ind w:left="9860"/>
        <w:spacing w:after="0"/>
        <w:tabs>
          <w:tab w:leader="none" w:pos="10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Bank of America, N.A., as Swing Line Lender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Bank of America, N.A., as Administrative Agent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Reference is made to that certain Third Amended and Restated Credit Agreement, dated as of August 19, 2011, as amended by that certain First Amendment to Third Amended and Restated Credit Agreement, dated as of June 27, 2012 (such Third Amended and Restated Credit Agreement, as amended, restated, extended, supplemented or otherwise modified in writing from time to time, the “</w:t>
      </w:r>
      <w:r>
        <w:rPr>
          <w:rFonts w:ascii="Arial" w:cs="Arial" w:eastAsia="Arial" w:hAnsi="Arial"/>
          <w:sz w:val="16"/>
          <w:szCs w:val="16"/>
          <w:u w:val="single" w:color="auto"/>
          <w:color w:val="auto"/>
        </w:rPr>
        <w:t>Agreement</w:t>
      </w:r>
      <w:r>
        <w:rPr>
          <w:rFonts w:ascii="Arial" w:cs="Arial" w:eastAsia="Arial" w:hAnsi="Arial"/>
          <w:sz w:val="16"/>
          <w:szCs w:val="16"/>
          <w:color w:val="auto"/>
        </w:rPr>
        <w:t>;” the terms defined therein being used herein as therein defined), among Plains Marketing, L.P., a Texas limited partnership (the “</w:t>
      </w:r>
      <w:r>
        <w:rPr>
          <w:rFonts w:ascii="Arial" w:cs="Arial" w:eastAsia="Arial" w:hAnsi="Arial"/>
          <w:sz w:val="16"/>
          <w:szCs w:val="16"/>
          <w:u w:val="single" w:color="auto"/>
          <w:color w:val="auto"/>
        </w:rPr>
        <w:t>Company</w:t>
      </w:r>
      <w:r>
        <w:rPr>
          <w:rFonts w:ascii="Arial" w:cs="Arial" w:eastAsia="Arial" w:hAnsi="Arial"/>
          <w:sz w:val="16"/>
          <w:szCs w:val="16"/>
          <w:color w:val="auto"/>
        </w:rPr>
        <w:t>”), Plains Midstream Canada ULC, a British Columbia unlimited liability company (“</w:t>
      </w:r>
      <w:r>
        <w:rPr>
          <w:rFonts w:ascii="Arial" w:cs="Arial" w:eastAsia="Arial" w:hAnsi="Arial"/>
          <w:sz w:val="16"/>
          <w:szCs w:val="16"/>
          <w:u w:val="single" w:color="auto"/>
          <w:color w:val="auto"/>
        </w:rPr>
        <w:t>PMCULC</w:t>
      </w:r>
      <w:r>
        <w:rPr>
          <w:rFonts w:ascii="Arial" w:cs="Arial" w:eastAsia="Arial" w:hAnsi="Arial"/>
          <w:sz w:val="16"/>
          <w:szCs w:val="16"/>
          <w:color w:val="auto"/>
        </w:rPr>
        <w:t>” and, together with the Company, the “</w:t>
      </w:r>
      <w:r>
        <w:rPr>
          <w:rFonts w:ascii="Arial" w:cs="Arial" w:eastAsia="Arial" w:hAnsi="Arial"/>
          <w:sz w:val="16"/>
          <w:szCs w:val="16"/>
          <w:u w:val="single" w:color="auto"/>
          <w:color w:val="auto"/>
        </w:rPr>
        <w:t>Borrowers</w:t>
      </w:r>
      <w:r>
        <w:rPr>
          <w:rFonts w:ascii="Arial" w:cs="Arial" w:eastAsia="Arial" w:hAnsi="Arial"/>
          <w:sz w:val="16"/>
          <w:szCs w:val="16"/>
          <w:color w:val="auto"/>
        </w:rPr>
        <w:t>”, and each, a “</w:t>
      </w:r>
      <w:r>
        <w:rPr>
          <w:rFonts w:ascii="Arial" w:cs="Arial" w:eastAsia="Arial" w:hAnsi="Arial"/>
          <w:sz w:val="16"/>
          <w:szCs w:val="16"/>
          <w:u w:val="single" w:color="auto"/>
          <w:color w:val="auto"/>
        </w:rPr>
        <w:t>Borrower</w:t>
      </w:r>
      <w:r>
        <w:rPr>
          <w:rFonts w:ascii="Arial" w:cs="Arial" w:eastAsia="Arial" w:hAnsi="Arial"/>
          <w:sz w:val="16"/>
          <w:szCs w:val="16"/>
          <w:color w:val="auto"/>
        </w:rPr>
        <w:t>”), Plains All American Pipeline, L.P., a Delaware limited partnership, as guarantor, Bank of America, N.A., as Administrative Agent, Swing Line Lender and L/C Issuer, and the Lenders from time to time party thereto.</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hereby requests a Swing Line Loan:</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16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700" w:type="dxa"/>
            <w:vAlign w:val="bottom"/>
          </w:tcPr>
          <w:p>
            <w:pPr>
              <w:ind w:left="20"/>
              <w:spacing w:after="0"/>
              <w:rPr>
                <w:sz w:val="20"/>
                <w:szCs w:val="20"/>
                <w:color w:val="auto"/>
              </w:rPr>
            </w:pPr>
            <w:r>
              <w:rPr>
                <w:rFonts w:ascii="Arial" w:cs="Arial" w:eastAsia="Arial" w:hAnsi="Arial"/>
                <w:sz w:val="18"/>
                <w:szCs w:val="18"/>
                <w:color w:val="auto"/>
              </w:rPr>
              <w:t>On</w:t>
            </w:r>
          </w:p>
        </w:tc>
        <w:tc>
          <w:tcPr>
            <w:tcW w:w="2140" w:type="dxa"/>
            <w:vAlign w:val="bottom"/>
          </w:tcPr>
          <w:p>
            <w:pPr>
              <w:ind w:left="460"/>
              <w:spacing w:after="0"/>
              <w:rPr>
                <w:sz w:val="20"/>
                <w:szCs w:val="20"/>
                <w:color w:val="auto"/>
              </w:rPr>
            </w:pPr>
            <w:r>
              <w:rPr>
                <w:rFonts w:ascii="Arial" w:cs="Arial" w:eastAsia="Arial" w:hAnsi="Arial"/>
                <w:sz w:val="18"/>
                <w:szCs w:val="18"/>
                <w:color w:val="auto"/>
              </w:rPr>
              <w:t>(a Business Day).</w:t>
            </w:r>
          </w:p>
        </w:tc>
        <w:tc>
          <w:tcPr>
            <w:tcW w:w="48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97"/>
        </w:trPr>
        <w:tc>
          <w:tcPr>
            <w:tcW w:w="16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In the principal amount of [$/C$]</w:t>
            </w:r>
          </w:p>
        </w:tc>
        <w:tc>
          <w:tcPr>
            <w:tcW w:w="4800" w:type="dxa"/>
            <w:vAlign w:val="bottom"/>
          </w:tcPr>
          <w:p>
            <w:pPr>
              <w:jc w:val="right"/>
              <w:ind w:right="4232"/>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4"/>
                <w:szCs w:val="24"/>
                <w:color w:val="auto"/>
              </w:rPr>
            </w:pPr>
          </w:p>
        </w:tc>
      </w:tr>
      <w:tr>
        <w:trPr>
          <w:trHeight w:val="297"/>
        </w:trPr>
        <w:tc>
          <w:tcPr>
            <w:tcW w:w="16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7640" w:type="dxa"/>
            <w:vAlign w:val="bottom"/>
            <w:gridSpan w:val="3"/>
          </w:tcPr>
          <w:p>
            <w:pPr>
              <w:ind w:left="20"/>
              <w:spacing w:after="0"/>
              <w:rPr>
                <w:sz w:val="20"/>
                <w:szCs w:val="20"/>
                <w:color w:val="auto"/>
              </w:rPr>
            </w:pPr>
            <w:r>
              <w:rPr>
                <w:rFonts w:ascii="Arial" w:cs="Arial" w:eastAsia="Arial" w:hAnsi="Arial"/>
                <w:sz w:val="18"/>
                <w:szCs w:val="18"/>
                <w:color w:val="auto"/>
              </w:rPr>
              <w:t>Comprised of [Base Rate] [Eurodollar Rate] Loans.</w:t>
            </w:r>
          </w:p>
        </w:tc>
        <w:tc>
          <w:tcPr>
            <w:tcW w:w="1160" w:type="dxa"/>
            <w:vAlign w:val="bottom"/>
          </w:tcPr>
          <w:p>
            <w:pPr>
              <w:spacing w:after="0"/>
              <w:rPr>
                <w:sz w:val="24"/>
                <w:szCs w:val="24"/>
                <w:color w:val="auto"/>
              </w:rPr>
            </w:pPr>
          </w:p>
        </w:tc>
      </w:tr>
      <w:tr>
        <w:trPr>
          <w:trHeight w:val="297"/>
        </w:trPr>
        <w:tc>
          <w:tcPr>
            <w:tcW w:w="16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7640" w:type="dxa"/>
            <w:vAlign w:val="bottom"/>
            <w:gridSpan w:val="3"/>
          </w:tcPr>
          <w:p>
            <w:pPr>
              <w:ind w:left="20"/>
              <w:spacing w:after="0"/>
              <w:rPr>
                <w:sz w:val="20"/>
                <w:szCs w:val="20"/>
                <w:color w:val="auto"/>
              </w:rPr>
            </w:pPr>
            <w:r>
              <w:rPr>
                <w:rFonts w:ascii="Arial" w:cs="Arial" w:eastAsia="Arial" w:hAnsi="Arial"/>
                <w:sz w:val="18"/>
                <w:szCs w:val="18"/>
                <w:color w:val="auto"/>
                <w:w w:val="94"/>
              </w:rPr>
              <w:t>For Eurodollar Rate Loans: with an Interest Period of [seven] [fourteen] [days] [one] [two] [three] [six] [</w:t>
            </w:r>
          </w:p>
        </w:tc>
        <w:tc>
          <w:tcPr>
            <w:tcW w:w="1160" w:type="dxa"/>
            <w:vAlign w:val="bottom"/>
          </w:tcPr>
          <w:p>
            <w:pPr>
              <w:ind w:left="260"/>
              <w:spacing w:after="0"/>
              <w:rPr>
                <w:sz w:val="20"/>
                <w:szCs w:val="20"/>
                <w:color w:val="auto"/>
              </w:rPr>
            </w:pPr>
            <w:r>
              <w:rPr>
                <w:rFonts w:ascii="Arial" w:cs="Arial" w:eastAsia="Arial" w:hAnsi="Arial"/>
                <w:sz w:val="18"/>
                <w:szCs w:val="18"/>
                <w:color w:val="auto"/>
                <w:w w:val="93"/>
              </w:rPr>
              <w:t>] [month[s]].</w:t>
            </w:r>
          </w:p>
        </w:tc>
      </w:tr>
    </w:tbl>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The Swing Line Borrowing requested herein complies with the requirements of the provisos to the first sentence of </w:t>
      </w:r>
      <w:r>
        <w:rPr>
          <w:rFonts w:ascii="Arial" w:cs="Arial" w:eastAsia="Arial" w:hAnsi="Arial"/>
          <w:sz w:val="16"/>
          <w:szCs w:val="16"/>
          <w:u w:val="single" w:color="auto"/>
          <w:color w:val="auto"/>
        </w:rPr>
        <w:t>Section 2.04(a)</w:t>
      </w:r>
      <w:r>
        <w:rPr>
          <w:rFonts w:ascii="Arial" w:cs="Arial" w:eastAsia="Arial" w:hAnsi="Arial"/>
          <w:sz w:val="16"/>
          <w:szCs w:val="16"/>
          <w:color w:val="auto"/>
        </w:rPr>
        <w:t xml:space="preserve"> of the Agreement.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[BORROWER]</w:t>
      </w:r>
    </w:p>
    <w:p>
      <w:pPr>
        <w:spacing w:after="0" w:line="23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10795</wp:posOffset>
            </wp:positionV>
            <wp:extent cx="228981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9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10795</wp:posOffset>
            </wp:positionV>
            <wp:extent cx="228981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9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10795</wp:posOffset>
            </wp:positionV>
            <wp:extent cx="228981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Swing Line Loan Notice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- 1</w:t>
      </w:r>
    </w:p>
    <w:p>
      <w:pPr>
        <w:sectPr>
          <w:pgSz w:w="11900" w:h="16838" w:orient="portrait"/>
          <w:cols w:equalWidth="0" w:num="1">
            <w:col w:w="11420"/>
          </w:cols>
          <w:pgMar w:left="240" w:top="280" w:right="23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22"/>
        </w:trPr>
        <w:tc>
          <w:tcPr>
            <w:tcW w:w="3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40" w:type="dxa"/>
            <w:vAlign w:val="bottom"/>
            <w:gridSpan w:val="3"/>
          </w:tcPr>
          <w:p>
            <w:pPr>
              <w:ind w:left="2200"/>
              <w:spacing w:after="0"/>
              <w:rPr>
                <w:sz w:val="20"/>
                <w:szCs w:val="20"/>
                <w:color w:val="auto"/>
              </w:rPr>
            </w:pPr>
            <w:r>
              <w:rPr>
                <w:rFonts w:ascii="Arial" w:cs="Arial" w:eastAsia="Arial" w:hAnsi="Arial"/>
                <w:sz w:val="18"/>
                <w:szCs w:val="18"/>
                <w:b w:val="1"/>
                <w:bCs w:val="1"/>
                <w:i w:val="1"/>
                <w:iCs w:val="1"/>
                <w:color w:val="auto"/>
                <w:w w:val="97"/>
              </w:rPr>
              <w:t>EXHIBIT C-1</w:t>
            </w:r>
          </w:p>
        </w:tc>
      </w:tr>
      <w:tr>
        <w:trPr>
          <w:trHeight w:val="459"/>
        </w:trPr>
        <w:tc>
          <w:tcPr>
            <w:tcW w:w="3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160" w:type="dxa"/>
            <w:vAlign w:val="bottom"/>
            <w:gridSpan w:val="3"/>
          </w:tcPr>
          <w:p>
            <w:pPr>
              <w:jc w:val="center"/>
              <w:ind w:right="692"/>
              <w:spacing w:after="0"/>
              <w:rPr>
                <w:sz w:val="20"/>
                <w:szCs w:val="20"/>
                <w:color w:val="auto"/>
              </w:rPr>
            </w:pPr>
            <w:r>
              <w:rPr>
                <w:rFonts w:ascii="Arial" w:cs="Arial" w:eastAsia="Arial" w:hAnsi="Arial"/>
                <w:sz w:val="18"/>
                <w:szCs w:val="18"/>
                <w:b w:val="1"/>
                <w:bCs w:val="1"/>
                <w:color w:val="auto"/>
              </w:rPr>
              <w:t>FORM OF COMMITTED LOAN NOTE</w:t>
            </w:r>
          </w:p>
        </w:tc>
        <w:tc>
          <w:tcPr>
            <w:tcW w:w="2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19"/>
        </w:trPr>
        <w:tc>
          <w:tcPr>
            <w:tcW w:w="360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 20</w:t>
            </w:r>
          </w:p>
        </w:tc>
        <w:tc>
          <w:tcPr>
            <w:tcW w:w="520" w:type="dxa"/>
            <w:vAlign w:val="bottom"/>
          </w:tcPr>
          <w:p>
            <w:pPr>
              <w:spacing w:after="0"/>
              <w:rPr>
                <w:sz w:val="24"/>
                <w:szCs w:val="24"/>
                <w:color w:val="auto"/>
              </w:rPr>
            </w:pPr>
          </w:p>
        </w:tc>
      </w:tr>
      <w:tr>
        <w:trPr>
          <w:trHeight w:val="372"/>
        </w:trPr>
        <w:tc>
          <w:tcPr>
            <w:tcW w:w="11420" w:type="dxa"/>
            <w:vAlign w:val="bottom"/>
            <w:gridSpan w:val="8"/>
          </w:tcPr>
          <w:p>
            <w:pPr>
              <w:jc w:val="center"/>
              <w:spacing w:after="0"/>
              <w:rPr>
                <w:sz w:val="20"/>
                <w:szCs w:val="20"/>
                <w:color w:val="auto"/>
              </w:rPr>
            </w:pPr>
            <w:r>
              <w:rPr>
                <w:rFonts w:ascii="Arial" w:cs="Arial" w:eastAsia="Arial" w:hAnsi="Arial"/>
                <w:sz w:val="18"/>
                <w:szCs w:val="18"/>
                <w:color w:val="auto"/>
                <w:w w:val="92"/>
              </w:rPr>
              <w:t>FOR VALUE RECEIVED, the undersigned, [PLAINS MARKETING, L.P., a Texas limited partnership / PLAINS MIDSTREAM CANADA ULC, a</w:t>
            </w:r>
          </w:p>
        </w:tc>
      </w:tr>
      <w:tr>
        <w:trPr>
          <w:trHeight w:val="184"/>
        </w:trPr>
        <w:tc>
          <w:tcPr>
            <w:tcW w:w="3600" w:type="dxa"/>
            <w:vAlign w:val="bottom"/>
          </w:tcPr>
          <w:p>
            <w:pPr>
              <w:spacing w:after="0" w:line="184" w:lineRule="exact"/>
              <w:rPr>
                <w:sz w:val="20"/>
                <w:szCs w:val="20"/>
                <w:color w:val="auto"/>
              </w:rPr>
            </w:pPr>
            <w:r>
              <w:rPr>
                <w:rFonts w:ascii="Arial" w:cs="Arial" w:eastAsia="Arial" w:hAnsi="Arial"/>
                <w:sz w:val="18"/>
                <w:szCs w:val="18"/>
                <w:color w:val="auto"/>
              </w:rPr>
              <w:t>British Columbia unlimited liability company],</w:t>
            </w:r>
          </w:p>
        </w:tc>
        <w:tc>
          <w:tcPr>
            <w:tcW w:w="3380" w:type="dxa"/>
            <w:vAlign w:val="bottom"/>
            <w:gridSpan w:val="3"/>
          </w:tcPr>
          <w:p>
            <w:pPr>
              <w:ind w:left="300"/>
              <w:spacing w:after="0" w:line="184" w:lineRule="exact"/>
              <w:rPr>
                <w:sz w:val="20"/>
                <w:szCs w:val="20"/>
                <w:color w:val="auto"/>
              </w:rPr>
            </w:pPr>
            <w:r>
              <w:rPr>
                <w:rFonts w:ascii="Arial" w:cs="Arial" w:eastAsia="Arial" w:hAnsi="Arial"/>
                <w:sz w:val="18"/>
                <w:szCs w:val="18"/>
                <w:color w:val="auto"/>
                <w:w w:val="97"/>
              </w:rPr>
              <w:t>(“Borrower”), hereby promises to pay to</w:t>
            </w:r>
          </w:p>
        </w:tc>
        <w:tc>
          <w:tcPr>
            <w:tcW w:w="4440" w:type="dxa"/>
            <w:vAlign w:val="bottom"/>
            <w:gridSpan w:val="4"/>
          </w:tcPr>
          <w:p>
            <w:pPr>
              <w:ind w:left="320"/>
              <w:spacing w:after="0" w:line="184" w:lineRule="exact"/>
              <w:rPr>
                <w:sz w:val="20"/>
                <w:szCs w:val="20"/>
                <w:color w:val="auto"/>
              </w:rPr>
            </w:pPr>
            <w:r>
              <w:rPr>
                <w:rFonts w:ascii="Arial" w:cs="Arial" w:eastAsia="Arial" w:hAnsi="Arial"/>
                <w:sz w:val="18"/>
                <w:szCs w:val="18"/>
                <w:color w:val="auto"/>
                <w:w w:val="92"/>
              </w:rPr>
              <w:t>or its registered and permitted assigns (the “Lender”), in</w:t>
            </w:r>
          </w:p>
        </w:tc>
      </w:tr>
      <w:tr>
        <w:trPr>
          <w:trHeight w:val="20"/>
        </w:trPr>
        <w:tc>
          <w:tcPr>
            <w:tcW w:w="402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35"/>
        </w:trPr>
        <w:tc>
          <w:tcPr>
            <w:tcW w:w="6980" w:type="dxa"/>
            <w:vAlign w:val="bottom"/>
            <w:gridSpan w:val="4"/>
          </w:tcPr>
          <w:p>
            <w:pPr>
              <w:spacing w:after="0"/>
              <w:rPr>
                <w:sz w:val="20"/>
                <w:szCs w:val="20"/>
                <w:color w:val="auto"/>
              </w:rPr>
            </w:pPr>
            <w:r>
              <w:rPr>
                <w:rFonts w:ascii="Arial" w:cs="Arial" w:eastAsia="Arial" w:hAnsi="Arial"/>
                <w:sz w:val="18"/>
                <w:szCs w:val="18"/>
                <w:color w:val="auto"/>
                <w:w w:val="93"/>
              </w:rPr>
              <w:t>accordance with the provisions of the Agreement (as hereinafter defined), the principal sum of</w:t>
            </w:r>
          </w:p>
        </w:tc>
        <w:tc>
          <w:tcPr>
            <w:tcW w:w="1200" w:type="dxa"/>
            <w:vAlign w:val="bottom"/>
          </w:tcPr>
          <w:p>
            <w:pPr>
              <w:ind w:left="220"/>
              <w:spacing w:after="0"/>
              <w:rPr>
                <w:sz w:val="20"/>
                <w:szCs w:val="20"/>
                <w:color w:val="auto"/>
              </w:rPr>
            </w:pPr>
            <w:r>
              <w:rPr>
                <w:rFonts w:ascii="Arial" w:cs="Arial" w:eastAsia="Arial" w:hAnsi="Arial"/>
                <w:sz w:val="18"/>
                <w:szCs w:val="18"/>
                <w:color w:val="auto"/>
              </w:rPr>
              <w:t>Dollars ($</w:t>
            </w:r>
          </w:p>
        </w:tc>
        <w:tc>
          <w:tcPr>
            <w:tcW w:w="3240" w:type="dxa"/>
            <w:vAlign w:val="bottom"/>
            <w:gridSpan w:val="3"/>
          </w:tcPr>
          <w:p>
            <w:pPr>
              <w:ind w:left="260"/>
              <w:spacing w:after="0"/>
              <w:rPr>
                <w:sz w:val="20"/>
                <w:szCs w:val="20"/>
                <w:color w:val="auto"/>
              </w:rPr>
            </w:pPr>
            <w:r>
              <w:rPr>
                <w:rFonts w:ascii="Arial" w:cs="Arial" w:eastAsia="Arial" w:hAnsi="Arial"/>
                <w:sz w:val="18"/>
                <w:szCs w:val="18"/>
                <w:color w:val="auto"/>
              </w:rPr>
              <w:t>), or, if greater or less, the aggregate</w:t>
            </w:r>
          </w:p>
        </w:tc>
      </w:tr>
    </w:tbl>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unpaid principal amount of each Committed Loan from time to time made by the Lender to Borrower under that certain Third Amended and Restated Credit Agreement, dated as of August 19, 2011, as amended by that certain First Amendment to Third Amended and Restated Credit Agreement, dated as of June 27, 2012 (such Third Amended and Restated Credit Agreement, as amended, restated, extended, supplemented or otherwise modified in writing from time to time, the “</w:t>
      </w:r>
      <w:r>
        <w:rPr>
          <w:rFonts w:ascii="Arial" w:cs="Arial" w:eastAsia="Arial" w:hAnsi="Arial"/>
          <w:sz w:val="16"/>
          <w:szCs w:val="16"/>
          <w:u w:val="single" w:color="auto"/>
          <w:color w:val="auto"/>
        </w:rPr>
        <w:t>Agreement</w:t>
      </w:r>
      <w:r>
        <w:rPr>
          <w:rFonts w:ascii="Arial" w:cs="Arial" w:eastAsia="Arial" w:hAnsi="Arial"/>
          <w:sz w:val="16"/>
          <w:szCs w:val="16"/>
          <w:color w:val="auto"/>
        </w:rPr>
        <w:t>;” the terms defined therein being used herein as therein defined), among Plains Marketing, L.P., a Texas limited partnership, Plains Midstream Canada ULC, a British Columbia unlimited liability company, Plains All American Pipeline, L.P., a Delaware limited partnership, as guarantor, Bank of America, N.A., as Administrative Agent, Swing Line Lender and L/C Issuer, and the Lenders from time to time party thereto.</w:t>
      </w:r>
    </w:p>
    <w:p>
      <w:pPr>
        <w:spacing w:after="0" w:line="118"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Borrower promises to pay interest on the unpaid principal amount of each Committed Loan from the date of such Committed Loan until such principal amount is paid in full, at such interest rates and at such times as provided in the Agreement. All payments of principal and interest shall be made as provided in the Agreement and to the Administrative Agent for the account of the Lender in Dollars in immediately available funds at the Administrative Agent’s Office. If any amount is not paid in full when due pursuant to the Agreement, such unpaid amount shall bear interest, to be paid upon demand, from the due date thereof until the date of actual payment (and before as well as after judgment) computed at the per annum rate set forth in the Agreement.</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This Committed Loan Note is one of the Notes referred to in the Agreement, is entitled to the benefits thereof and may be prepaid in whole or in part subject to the terms and conditions provided therein. Upon the occurrence and continuation of one or more of the Events of Default specified in the Agreement, all amounts then remaining unpaid on this Committed Loan Note shall become, or may be declared to be, immediately due and payable, in each case, to the extent provided in the Agreement. Committed Loans made by the Lender shall be evidenced by one or more loan accounts or records maintained by the Lender in the ordinary course of business. The Lender may also attach schedules to this Committed Loan Note and endorse thereon the date, amount and maturity of its Committed Loans and payments with respect thereto.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Committed Loan Note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C–1 - 1</w:t>
      </w:r>
    </w:p>
    <w:p>
      <w:pPr>
        <w:sectPr>
          <w:pgSz w:w="11900" w:h="16838" w:orient="portrait"/>
          <w:cols w:equalWidth="0" w:num="1">
            <w:col w:w="11420"/>
          </w:cols>
          <w:pgMar w:left="240" w:top="280" w:right="239" w:bottom="1440" w:gutter="0" w:footer="0" w:header="0"/>
        </w:sectPr>
      </w:pPr>
    </w:p>
    <w:bookmarkStart w:id="199" w:name="page200"/>
    <w:bookmarkEnd w:id="199"/>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 for itself, its successors and assigns, hereby waives diligence in collecting, presentment, protest and demand and notice of protest, demand, dishonor and non-payment of this Committed Loan Note.</w:t>
      </w:r>
    </w:p>
    <w:p>
      <w:pPr>
        <w:spacing w:after="0" w:line="11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Form of Committed Loan Note</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C–1 - 2</w:t>
      </w:r>
    </w:p>
    <w:p>
      <w:pPr>
        <w:sectPr>
          <w:pgSz w:w="11900" w:h="16838" w:orient="portrait"/>
          <w:cols w:equalWidth="0" w:num="1">
            <w:col w:w="10980"/>
          </w:cols>
          <w:pgMar w:left="240" w:top="280" w:right="679" w:bottom="1440" w:gutter="0" w:footer="0" w:header="0"/>
        </w:sectPr>
      </w:pPr>
    </w:p>
    <w:bookmarkStart w:id="200" w:name="page201"/>
    <w:bookmarkEnd w:id="20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NOTE SHALL BE GOVERNED BY AND CONSTRUED IN ACCORDANCE WITH THE LAWS OF THE STATE OF NEW YORK.</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[PLAINS MARKETING, L.P.</w:t>
      </w:r>
    </w:p>
    <w:p>
      <w:pPr>
        <w:spacing w:after="0" w:line="23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PLAINS MARKETING GP INC.,</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its general partner</w:t>
      </w:r>
    </w:p>
    <w:p>
      <w:pPr>
        <w:spacing w:after="0" w:line="23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10795</wp:posOffset>
            </wp:positionV>
            <wp:extent cx="251269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Charles Kingswell-Smith</w:t>
      </w:r>
    </w:p>
    <w:p>
      <w:pPr>
        <w:spacing w:after="0" w:line="1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Vice President and Treasurer]</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[PLAINS MIDSTREAM CANADA ULC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10795</wp:posOffset>
            </wp:positionV>
            <wp:extent cx="271843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Charles Kingswell-Smith</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Vice President and Treasurer]</w:t>
      </w:r>
    </w:p>
    <w:p>
      <w:pPr>
        <w:spacing w:after="0" w:line="15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Form of Committed Loan Note</w:t>
      </w:r>
    </w:p>
    <w:p>
      <w:pPr>
        <w:spacing w:after="0" w:line="15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C–1 - 3</w:t>
      </w:r>
    </w:p>
    <w:p>
      <w:pPr>
        <w:sectPr>
          <w:pgSz w:w="11900" w:h="16838" w:orient="portrait"/>
          <w:cols w:equalWidth="0" w:num="1">
            <w:col w:w="10000"/>
          </w:cols>
          <w:pgMar w:left="700" w:top="280" w:right="119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LOANS AND PAYMENTS WITH RESPECT THERETO</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Amount of</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49"/>
        </w:trPr>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Principal or</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480" w:type="dxa"/>
            <w:vAlign w:val="bottom"/>
          </w:tcPr>
          <w:p>
            <w:pPr>
              <w:spacing w:after="0"/>
              <w:rPr>
                <w:sz w:val="12"/>
                <w:szCs w:val="12"/>
                <w:color w:val="auto"/>
              </w:rPr>
            </w:pPr>
          </w:p>
        </w:tc>
      </w:tr>
      <w:tr>
        <w:trPr>
          <w:trHeight w:val="149"/>
        </w:trPr>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3"/>
          </w:tcPr>
          <w:p>
            <w:pPr>
              <w:ind w:left="600"/>
              <w:spacing w:after="0" w:line="149" w:lineRule="exact"/>
              <w:rPr>
                <w:sz w:val="20"/>
                <w:szCs w:val="20"/>
                <w:color w:val="auto"/>
              </w:rPr>
            </w:pPr>
            <w:r>
              <w:rPr>
                <w:rFonts w:ascii="Arial" w:cs="Arial" w:eastAsia="Arial" w:hAnsi="Arial"/>
                <w:sz w:val="14"/>
                <w:szCs w:val="14"/>
                <w:b w:val="1"/>
                <w:bCs w:val="1"/>
                <w:color w:val="auto"/>
              </w:rPr>
              <w:t>End of</w:t>
            </w: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Interest</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Principal</w:t>
            </w:r>
          </w:p>
        </w:tc>
        <w:tc>
          <w:tcPr>
            <w:tcW w:w="1480" w:type="dxa"/>
            <w:vAlign w:val="bottom"/>
          </w:tcPr>
          <w:p>
            <w:pPr>
              <w:spacing w:after="0"/>
              <w:rPr>
                <w:sz w:val="12"/>
                <w:szCs w:val="12"/>
                <w:color w:val="auto"/>
              </w:rPr>
            </w:pPr>
          </w:p>
        </w:tc>
      </w:tr>
      <w:tr>
        <w:trPr>
          <w:trHeight w:val="149"/>
        </w:trPr>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Type of</w:t>
            </w:r>
          </w:p>
        </w:tc>
        <w:tc>
          <w:tcPr>
            <w:tcW w:w="132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8"/>
              </w:rPr>
              <w:t>Amount of</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3"/>
          </w:tcPr>
          <w:p>
            <w:pPr>
              <w:ind w:left="580"/>
              <w:spacing w:after="0" w:line="149" w:lineRule="exact"/>
              <w:rPr>
                <w:sz w:val="20"/>
                <w:szCs w:val="20"/>
                <w:color w:val="auto"/>
              </w:rPr>
            </w:pPr>
            <w:r>
              <w:rPr>
                <w:rFonts w:ascii="Arial" w:cs="Arial" w:eastAsia="Arial" w:hAnsi="Arial"/>
                <w:sz w:val="14"/>
                <w:szCs w:val="14"/>
                <w:b w:val="1"/>
                <w:bCs w:val="1"/>
                <w:color w:val="auto"/>
              </w:rPr>
              <w:t>Interest</w:t>
            </w: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Paid This</w:t>
            </w: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Balance</w:t>
            </w:r>
          </w:p>
        </w:tc>
        <w:tc>
          <w:tcPr>
            <w:tcW w:w="148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Notation</w:t>
            </w:r>
          </w:p>
        </w:tc>
      </w:tr>
      <w:tr>
        <w:trPr>
          <w:trHeight w:val="168"/>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120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Loan Made</w:t>
            </w:r>
          </w:p>
        </w:tc>
        <w:tc>
          <w:tcPr>
            <w:tcW w:w="120" w:type="dxa"/>
            <w:vAlign w:val="bottom"/>
          </w:tcPr>
          <w:p>
            <w:pPr>
              <w:spacing w:after="0"/>
              <w:rPr>
                <w:sz w:val="14"/>
                <w:szCs w:val="14"/>
                <w:color w:val="auto"/>
              </w:rPr>
            </w:pPr>
          </w:p>
        </w:tc>
        <w:tc>
          <w:tcPr>
            <w:tcW w:w="1320" w:type="dxa"/>
            <w:vAlign w:val="bottom"/>
            <w:tcBorders>
              <w:bottom w:val="single" w:sz="8" w:color="auto"/>
            </w:tcBorders>
          </w:tcPr>
          <w:p>
            <w:pPr>
              <w:jc w:val="center"/>
              <w:ind w:left="212"/>
              <w:spacing w:after="0"/>
              <w:rPr>
                <w:sz w:val="20"/>
                <w:szCs w:val="20"/>
                <w:color w:val="auto"/>
              </w:rPr>
            </w:pPr>
            <w:r>
              <w:rPr>
                <w:rFonts w:ascii="Arial" w:cs="Arial" w:eastAsia="Arial" w:hAnsi="Arial"/>
                <w:sz w:val="14"/>
                <w:szCs w:val="14"/>
                <w:b w:val="1"/>
                <w:bCs w:val="1"/>
                <w:color w:val="auto"/>
                <w:w w:val="92"/>
              </w:rPr>
              <w:t>Loan Made</w:t>
            </w:r>
          </w:p>
        </w:tc>
        <w:tc>
          <w:tcPr>
            <w:tcW w:w="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Period</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92"/>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This Date</w:t>
            </w:r>
          </w:p>
        </w:tc>
        <w:tc>
          <w:tcPr>
            <w:tcW w:w="100" w:type="dxa"/>
            <w:vAlign w:val="bottom"/>
          </w:tcPr>
          <w:p>
            <w:pPr>
              <w:spacing w:after="0"/>
              <w:rPr>
                <w:sz w:val="14"/>
                <w:szCs w:val="14"/>
                <w:color w:val="auto"/>
              </w:rPr>
            </w:pPr>
          </w:p>
        </w:tc>
        <w:tc>
          <w:tcPr>
            <w:tcW w:w="14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Made By</w:t>
            </w:r>
          </w:p>
        </w:tc>
      </w:tr>
      <w:tr>
        <w:trPr>
          <w:trHeight w:val="511"/>
        </w:trPr>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60" w:type="dxa"/>
            <w:vAlign w:val="bottom"/>
            <w:gridSpan w:val="5"/>
          </w:tcPr>
          <w:p>
            <w:pPr>
              <w:ind w:left="180"/>
              <w:spacing w:after="0"/>
              <w:rPr>
                <w:sz w:val="20"/>
                <w:szCs w:val="20"/>
                <w:color w:val="auto"/>
              </w:rPr>
            </w:pPr>
            <w:r>
              <w:rPr>
                <w:rFonts w:ascii="Arial" w:cs="Arial" w:eastAsia="Arial" w:hAnsi="Arial"/>
                <w:sz w:val="18"/>
                <w:szCs w:val="18"/>
                <w:color w:val="auto"/>
                <w:w w:val="93"/>
              </w:rPr>
              <w:t>Form of Committed Loan Note</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65"/>
        </w:trPr>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3"/>
          </w:tcPr>
          <w:p>
            <w:pPr>
              <w:ind w:left="620"/>
              <w:spacing w:after="0"/>
              <w:rPr>
                <w:sz w:val="20"/>
                <w:szCs w:val="20"/>
                <w:color w:val="auto"/>
              </w:rPr>
            </w:pPr>
            <w:r>
              <w:rPr>
                <w:rFonts w:ascii="Arial" w:cs="Arial" w:eastAsia="Arial" w:hAnsi="Arial"/>
                <w:sz w:val="18"/>
                <w:szCs w:val="18"/>
                <w:color w:val="auto"/>
              </w:rPr>
              <w:t>C–1 - 4</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02" w:name="page203"/>
    <w:bookmarkEnd w:id="20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340" w:type="dxa"/>
            <w:vAlign w:val="bottom"/>
            <w:gridSpan w:val="3"/>
          </w:tcPr>
          <w:p>
            <w:pPr>
              <w:ind w:left="1300"/>
              <w:spacing w:after="0"/>
              <w:rPr>
                <w:sz w:val="20"/>
                <w:szCs w:val="20"/>
                <w:color w:val="auto"/>
              </w:rPr>
            </w:pPr>
            <w:r>
              <w:rPr>
                <w:rFonts w:ascii="Arial" w:cs="Arial" w:eastAsia="Arial" w:hAnsi="Arial"/>
                <w:sz w:val="18"/>
                <w:szCs w:val="18"/>
                <w:b w:val="1"/>
                <w:bCs w:val="1"/>
                <w:i w:val="1"/>
                <w:iCs w:val="1"/>
                <w:color w:val="auto"/>
                <w:w w:val="97"/>
              </w:rPr>
              <w:t>EXHIBIT C-2</w:t>
            </w:r>
          </w:p>
        </w:tc>
      </w:tr>
      <w:tr>
        <w:trPr>
          <w:trHeight w:val="459"/>
        </w:trPr>
        <w:tc>
          <w:tcPr>
            <w:tcW w:w="5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20" w:type="dxa"/>
            <w:vAlign w:val="bottom"/>
            <w:gridSpan w:val="2"/>
          </w:tcPr>
          <w:p>
            <w:pPr>
              <w:jc w:val="center"/>
              <w:ind w:left="192"/>
              <w:spacing w:after="0"/>
              <w:rPr>
                <w:sz w:val="20"/>
                <w:szCs w:val="20"/>
                <w:color w:val="auto"/>
              </w:rPr>
            </w:pPr>
            <w:r>
              <w:rPr>
                <w:rFonts w:ascii="Arial" w:cs="Arial" w:eastAsia="Arial" w:hAnsi="Arial"/>
                <w:sz w:val="18"/>
                <w:szCs w:val="18"/>
                <w:b w:val="1"/>
                <w:bCs w:val="1"/>
                <w:color w:val="auto"/>
                <w:w w:val="99"/>
              </w:rPr>
              <w:t>FORM OF SWING LINE NOTE</w:t>
            </w: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19"/>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3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40" w:type="dxa"/>
            <w:vAlign w:val="bottom"/>
            <w:gridSpan w:val="2"/>
          </w:tcPr>
          <w:p>
            <w:pPr>
              <w:jc w:val="right"/>
              <w:ind w:right="320"/>
              <w:spacing w:after="0"/>
              <w:rPr>
                <w:sz w:val="20"/>
                <w:szCs w:val="20"/>
                <w:color w:val="auto"/>
              </w:rPr>
            </w:pPr>
            <w:r>
              <w:rPr>
                <w:rFonts w:ascii="Arial" w:cs="Arial" w:eastAsia="Arial" w:hAnsi="Arial"/>
                <w:sz w:val="18"/>
                <w:szCs w:val="18"/>
                <w:color w:val="auto"/>
              </w:rPr>
              <w:t>, 20</w:t>
            </w:r>
          </w:p>
        </w:tc>
        <w:tc>
          <w:tcPr>
            <w:tcW w:w="200" w:type="dxa"/>
            <w:vAlign w:val="bottom"/>
          </w:tcPr>
          <w:p>
            <w:pPr>
              <w:spacing w:after="0"/>
              <w:rPr>
                <w:sz w:val="24"/>
                <w:szCs w:val="24"/>
                <w:color w:val="auto"/>
              </w:rPr>
            </w:pPr>
          </w:p>
        </w:tc>
      </w:tr>
      <w:tr>
        <w:trPr>
          <w:trHeight w:val="372"/>
        </w:trPr>
        <w:tc>
          <w:tcPr>
            <w:tcW w:w="11420" w:type="dxa"/>
            <w:vAlign w:val="bottom"/>
            <w:gridSpan w:val="10"/>
          </w:tcPr>
          <w:p>
            <w:pPr>
              <w:jc w:val="center"/>
              <w:spacing w:after="0"/>
              <w:rPr>
                <w:sz w:val="20"/>
                <w:szCs w:val="20"/>
                <w:color w:val="auto"/>
              </w:rPr>
            </w:pPr>
            <w:r>
              <w:rPr>
                <w:rFonts w:ascii="Arial" w:cs="Arial" w:eastAsia="Arial" w:hAnsi="Arial"/>
                <w:sz w:val="18"/>
                <w:szCs w:val="18"/>
                <w:color w:val="auto"/>
                <w:w w:val="92"/>
              </w:rPr>
              <w:t>FOR VALUE RECEIVED, the undersigned, [PLAINS MARKETING, L.P., a Texas limited partnership / PLAINS MIDSTREAM CANADA ULC, a</w:t>
            </w:r>
          </w:p>
        </w:tc>
      </w:tr>
      <w:tr>
        <w:trPr>
          <w:trHeight w:val="184"/>
        </w:trPr>
        <w:tc>
          <w:tcPr>
            <w:tcW w:w="3600" w:type="dxa"/>
            <w:vAlign w:val="bottom"/>
            <w:gridSpan w:val="2"/>
          </w:tcPr>
          <w:p>
            <w:pPr>
              <w:spacing w:after="0" w:line="184" w:lineRule="exact"/>
              <w:rPr>
                <w:sz w:val="20"/>
                <w:szCs w:val="20"/>
                <w:color w:val="auto"/>
              </w:rPr>
            </w:pPr>
            <w:r>
              <w:rPr>
                <w:rFonts w:ascii="Arial" w:cs="Arial" w:eastAsia="Arial" w:hAnsi="Arial"/>
                <w:sz w:val="18"/>
                <w:szCs w:val="18"/>
                <w:color w:val="auto"/>
              </w:rPr>
              <w:t>British Columbia unlimited liability company],</w:t>
            </w:r>
          </w:p>
        </w:tc>
        <w:tc>
          <w:tcPr>
            <w:tcW w:w="3540" w:type="dxa"/>
            <w:vAlign w:val="bottom"/>
            <w:gridSpan w:val="3"/>
          </w:tcPr>
          <w:p>
            <w:pPr>
              <w:ind w:left="300"/>
              <w:spacing w:after="0" w:line="184" w:lineRule="exact"/>
              <w:rPr>
                <w:sz w:val="20"/>
                <w:szCs w:val="20"/>
                <w:color w:val="auto"/>
              </w:rPr>
            </w:pPr>
            <w:r>
              <w:rPr>
                <w:rFonts w:ascii="Arial" w:cs="Arial" w:eastAsia="Arial" w:hAnsi="Arial"/>
                <w:sz w:val="18"/>
                <w:szCs w:val="18"/>
                <w:color w:val="auto"/>
              </w:rPr>
              <w:t>(“Borrower”), hereby promises to pay to</w:t>
            </w:r>
          </w:p>
        </w:tc>
        <w:tc>
          <w:tcPr>
            <w:tcW w:w="4280" w:type="dxa"/>
            <w:vAlign w:val="bottom"/>
            <w:gridSpan w:val="5"/>
          </w:tcPr>
          <w:p>
            <w:pPr>
              <w:ind w:left="160"/>
              <w:spacing w:after="0" w:line="184" w:lineRule="exact"/>
              <w:rPr>
                <w:sz w:val="20"/>
                <w:szCs w:val="20"/>
                <w:color w:val="auto"/>
              </w:rPr>
            </w:pPr>
            <w:r>
              <w:rPr>
                <w:rFonts w:ascii="Arial" w:cs="Arial" w:eastAsia="Arial" w:hAnsi="Arial"/>
                <w:sz w:val="18"/>
                <w:szCs w:val="18"/>
                <w:color w:val="auto"/>
                <w:w w:val="93"/>
              </w:rPr>
              <w:t>or its registered and permitted assigns (the “Swing Line</w:t>
            </w:r>
          </w:p>
        </w:tc>
      </w:tr>
      <w:tr>
        <w:trPr>
          <w:trHeight w:val="20"/>
        </w:trPr>
        <w:tc>
          <w:tcPr>
            <w:tcW w:w="50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7820" w:type="dxa"/>
            <w:vAlign w:val="bottom"/>
            <w:gridSpan w:val="6"/>
          </w:tcPr>
          <w:p>
            <w:pPr>
              <w:spacing w:after="0" w:line="196" w:lineRule="exact"/>
              <w:rPr>
                <w:sz w:val="20"/>
                <w:szCs w:val="20"/>
                <w:color w:val="auto"/>
              </w:rPr>
            </w:pPr>
            <w:r>
              <w:rPr>
                <w:rFonts w:ascii="Arial" w:cs="Arial" w:eastAsia="Arial" w:hAnsi="Arial"/>
                <w:sz w:val="18"/>
                <w:szCs w:val="18"/>
                <w:color w:val="auto"/>
                <w:w w:val="92"/>
              </w:rPr>
              <w:t>Lender”), in accordance with the provisions of the Agreement (as hereinafter defined), the principal sum of</w:t>
            </w:r>
          </w:p>
        </w:tc>
        <w:tc>
          <w:tcPr>
            <w:tcW w:w="1260" w:type="dxa"/>
            <w:vAlign w:val="bottom"/>
          </w:tcPr>
          <w:p>
            <w:pPr>
              <w:ind w:left="300"/>
              <w:spacing w:after="0" w:line="196" w:lineRule="exact"/>
              <w:rPr>
                <w:sz w:val="20"/>
                <w:szCs w:val="20"/>
                <w:color w:val="auto"/>
              </w:rPr>
            </w:pPr>
            <w:r>
              <w:rPr>
                <w:rFonts w:ascii="Arial" w:cs="Arial" w:eastAsia="Arial" w:hAnsi="Arial"/>
                <w:sz w:val="18"/>
                <w:szCs w:val="18"/>
                <w:color w:val="auto"/>
              </w:rPr>
              <w:t>Dollars ($</w:t>
            </w:r>
          </w:p>
        </w:tc>
        <w:tc>
          <w:tcPr>
            <w:tcW w:w="2340" w:type="dxa"/>
            <w:vAlign w:val="bottom"/>
            <w:gridSpan w:val="3"/>
          </w:tcPr>
          <w:p>
            <w:pPr>
              <w:ind w:left="260"/>
              <w:spacing w:after="0" w:line="196" w:lineRule="exact"/>
              <w:rPr>
                <w:sz w:val="20"/>
                <w:szCs w:val="20"/>
                <w:color w:val="auto"/>
              </w:rPr>
            </w:pPr>
            <w:r>
              <w:rPr>
                <w:rFonts w:ascii="Arial" w:cs="Arial" w:eastAsia="Arial" w:hAnsi="Arial"/>
                <w:sz w:val="18"/>
                <w:szCs w:val="18"/>
                <w:color w:val="auto"/>
                <w:w w:val="99"/>
              </w:rPr>
              <w:t>), or, if greater or less, the</w:t>
            </w:r>
          </w:p>
        </w:tc>
      </w:tr>
      <w:tr>
        <w:trPr>
          <w:trHeight w:val="20"/>
        </w:trPr>
        <w:tc>
          <w:tcPr>
            <w:tcW w:w="50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aggregate unpaid principal amount of each Swing Line Loan from time to time made by the Swing Line Lender to Borrower under that certain Third Amended and Restated Credit Agreement, dated as of August 19, 2011, as amended by that certain First Amendment to Third Amended and Restated Credit Agreement, dated as of June 27, 2012 (such Third Amended and Restated Credit Agreement, as amended, restated, extended, supplemented or otherwise modified in writing from time to time, the “</w:t>
      </w:r>
      <w:r>
        <w:rPr>
          <w:rFonts w:ascii="Arial" w:cs="Arial" w:eastAsia="Arial" w:hAnsi="Arial"/>
          <w:sz w:val="16"/>
          <w:szCs w:val="16"/>
          <w:u w:val="single" w:color="auto"/>
          <w:color w:val="auto"/>
        </w:rPr>
        <w:t>Agreement</w:t>
      </w:r>
      <w:r>
        <w:rPr>
          <w:rFonts w:ascii="Arial" w:cs="Arial" w:eastAsia="Arial" w:hAnsi="Arial"/>
          <w:sz w:val="16"/>
          <w:szCs w:val="16"/>
          <w:color w:val="auto"/>
        </w:rPr>
        <w:t>;” the terms defined therein being used herein as therein defined), among Plains Marketing, L.P., a Texas limited partnership, Plains Midstream Canada ULC, a British Columbia unlimited liability company, Plains All American Pipeline, L.P., a Delaware limited partnership, as guarantor, Bank of America, N.A., as Administrative Agent, Swing Line Lender and L/C Issuer, and the Lenders from time to time party thereto.</w:t>
      </w:r>
    </w:p>
    <w:p>
      <w:pPr>
        <w:spacing w:after="0" w:line="12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Borrower promises to pay interest on the unpaid principal amount of each Swing Line Loan from the date of such Swing Line Loan until such principal amount is paid in full, at such interest rates and at such times as provided in the Agreement. All payments of principal and interest shall be made as provided in the Agreement and to the Swing Line Lender in Dollars in immediately available funds at its Lending Office. If any amount is not paid in full when due pursuant to the Agreement, such unpaid amount shall bear interest, to be paid upon demand, from the due date thereof until the date of actual payment (and before as well as after judgment) computed at the per annum rate set forth in the Agreement.</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This Note is the Swing Line Note referred to in the Agreement, is entitled to the benefits thereof and may be prepaid in whole or in part subject to the terms and conditions provided therein. Upon the occurrence and continuation of one or more of the Events of Default specified in the Agreement, all amounts then remaining unpaid on this Swing Line Note shall become, or may be declared to be, immediately due and payable, in each case, to the extent provided in the Agreement. Swing Line Loans made by the Swing Line Lender shall be evidenced by one or more loan accounts or records maintained by the Swing Line Lender in the ordinary course of business. The Swing Line Lender may also attach schedules to this Swing Line Note and endorse thereon the date, amount and maturity of its Swing Line Loans and payments with respect thereto.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Swing Line Note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C-2 - 1</w:t>
      </w:r>
    </w:p>
    <w:p>
      <w:pPr>
        <w:sectPr>
          <w:pgSz w:w="11900" w:h="16838" w:orient="portrait"/>
          <w:cols w:equalWidth="0" w:num="1">
            <w:col w:w="11420"/>
          </w:cols>
          <w:pgMar w:left="240" w:top="280" w:right="239" w:bottom="1440" w:gutter="0" w:footer="0" w:header="0"/>
        </w:sectPr>
      </w:pPr>
    </w:p>
    <w:bookmarkStart w:id="203" w:name="page204"/>
    <w:bookmarkEnd w:id="203"/>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Borrower, for itself, its successors and assigns, hereby waives diligence in collecting, presentment, protest and demand and notice of protest, demand, dishonor and non-payment of this Swing Line Note.</w:t>
      </w:r>
    </w:p>
    <w:p>
      <w:pPr>
        <w:spacing w:after="0" w:line="11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Form of Swing Line Note</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C-2 - 2</w:t>
      </w:r>
    </w:p>
    <w:p>
      <w:pPr>
        <w:sectPr>
          <w:pgSz w:w="11900" w:h="16838" w:orient="portrait"/>
          <w:cols w:equalWidth="0" w:num="1">
            <w:col w:w="10980"/>
          </w:cols>
          <w:pgMar w:left="240" w:top="280" w:right="679" w:bottom="1440" w:gutter="0" w:footer="0" w:header="0"/>
        </w:sectPr>
      </w:pPr>
    </w:p>
    <w:bookmarkStart w:id="204" w:name="page205"/>
    <w:bookmarkEnd w:id="20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NOTE SHALL BE GOVERNED BY AND CONSTRUED IN ACCORDANCE WITH THE LAWS OF THE STATE OF NEW YORK.</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[PLAINS MARKETING, L.P.</w:t>
      </w:r>
    </w:p>
    <w:p>
      <w:pPr>
        <w:spacing w:after="0" w:line="23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PLAINS MARKETING GP INC.,</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its general partner</w:t>
      </w:r>
    </w:p>
    <w:p>
      <w:pPr>
        <w:spacing w:after="0" w:line="23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10795</wp:posOffset>
            </wp:positionV>
            <wp:extent cx="251269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Charles Kingswell-Smith</w:t>
      </w:r>
    </w:p>
    <w:p>
      <w:pPr>
        <w:spacing w:after="0" w:line="1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Vice President and Treasurer]</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[PLAINS MIDSTREAM CANADA ULC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10795</wp:posOffset>
            </wp:positionV>
            <wp:extent cx="271843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Charles Kingswell-Smith</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Vice President and Treasurer]</w:t>
      </w:r>
    </w:p>
    <w:p>
      <w:pPr>
        <w:spacing w:after="0" w:line="15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Form of Swing Line Note</w:t>
      </w:r>
    </w:p>
    <w:p>
      <w:pPr>
        <w:spacing w:after="0" w:line="15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C-2 - 3</w:t>
      </w:r>
    </w:p>
    <w:p>
      <w:pPr>
        <w:sectPr>
          <w:pgSz w:w="11900" w:h="16838" w:orient="portrait"/>
          <w:cols w:equalWidth="0" w:num="1">
            <w:col w:w="10000"/>
          </w:cols>
          <w:pgMar w:left="700" w:top="280" w:right="119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SWING LINE LOANS AND PAYMENTS WITH RESPECT THERETO</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Amount of</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49"/>
        </w:trPr>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Principal or</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480" w:type="dxa"/>
            <w:vAlign w:val="bottom"/>
          </w:tcPr>
          <w:p>
            <w:pPr>
              <w:spacing w:after="0"/>
              <w:rPr>
                <w:sz w:val="12"/>
                <w:szCs w:val="12"/>
                <w:color w:val="auto"/>
              </w:rPr>
            </w:pPr>
          </w:p>
        </w:tc>
      </w:tr>
      <w:tr>
        <w:trPr>
          <w:trHeight w:val="149"/>
        </w:trPr>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3"/>
          </w:tcPr>
          <w:p>
            <w:pPr>
              <w:ind w:left="600"/>
              <w:spacing w:after="0" w:line="149" w:lineRule="exact"/>
              <w:rPr>
                <w:sz w:val="20"/>
                <w:szCs w:val="20"/>
                <w:color w:val="auto"/>
              </w:rPr>
            </w:pPr>
            <w:r>
              <w:rPr>
                <w:rFonts w:ascii="Arial" w:cs="Arial" w:eastAsia="Arial" w:hAnsi="Arial"/>
                <w:sz w:val="14"/>
                <w:szCs w:val="14"/>
                <w:b w:val="1"/>
                <w:bCs w:val="1"/>
                <w:color w:val="auto"/>
              </w:rPr>
              <w:t>End of</w:t>
            </w: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Interest</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Principal</w:t>
            </w:r>
          </w:p>
        </w:tc>
        <w:tc>
          <w:tcPr>
            <w:tcW w:w="1480" w:type="dxa"/>
            <w:vAlign w:val="bottom"/>
          </w:tcPr>
          <w:p>
            <w:pPr>
              <w:spacing w:after="0"/>
              <w:rPr>
                <w:sz w:val="12"/>
                <w:szCs w:val="12"/>
                <w:color w:val="auto"/>
              </w:rPr>
            </w:pPr>
          </w:p>
        </w:tc>
      </w:tr>
      <w:tr>
        <w:trPr>
          <w:trHeight w:val="149"/>
        </w:trPr>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Type of</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120" w:type="dxa"/>
            <w:vAlign w:val="bottom"/>
          </w:tcPr>
          <w:p>
            <w:pPr>
              <w:spacing w:after="0"/>
              <w:rPr>
                <w:sz w:val="12"/>
                <w:szCs w:val="12"/>
                <w:color w:val="auto"/>
              </w:rPr>
            </w:pPr>
          </w:p>
        </w:tc>
        <w:tc>
          <w:tcPr>
            <w:tcW w:w="1960" w:type="dxa"/>
            <w:vAlign w:val="bottom"/>
            <w:gridSpan w:val="3"/>
          </w:tcPr>
          <w:p>
            <w:pPr>
              <w:ind w:left="580"/>
              <w:spacing w:after="0" w:line="149" w:lineRule="exact"/>
              <w:rPr>
                <w:sz w:val="20"/>
                <w:szCs w:val="20"/>
                <w:color w:val="auto"/>
              </w:rPr>
            </w:pPr>
            <w:r>
              <w:rPr>
                <w:rFonts w:ascii="Arial" w:cs="Arial" w:eastAsia="Arial" w:hAnsi="Arial"/>
                <w:sz w:val="14"/>
                <w:szCs w:val="14"/>
                <w:b w:val="1"/>
                <w:bCs w:val="1"/>
                <w:color w:val="auto"/>
              </w:rPr>
              <w:t>Interest</w:t>
            </w: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Paid This</w:t>
            </w: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Balance</w:t>
            </w:r>
          </w:p>
        </w:tc>
        <w:tc>
          <w:tcPr>
            <w:tcW w:w="148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Notation</w:t>
            </w:r>
          </w:p>
        </w:tc>
      </w:tr>
      <w:tr>
        <w:trPr>
          <w:trHeight w:val="168"/>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120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Loan Made</w:t>
            </w:r>
          </w:p>
        </w:tc>
        <w:tc>
          <w:tcPr>
            <w:tcW w:w="12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Loan Made</w:t>
            </w:r>
          </w:p>
        </w:tc>
        <w:tc>
          <w:tcPr>
            <w:tcW w:w="120" w:type="dxa"/>
            <w:vAlign w:val="bottom"/>
          </w:tcPr>
          <w:p>
            <w:pPr>
              <w:spacing w:after="0"/>
              <w:rPr>
                <w:sz w:val="14"/>
                <w:szCs w:val="14"/>
                <w:color w:val="auto"/>
              </w:rPr>
            </w:pPr>
          </w:p>
        </w:tc>
        <w:tc>
          <w:tcPr>
            <w:tcW w:w="16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Period</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This Date</w:t>
            </w:r>
          </w:p>
        </w:tc>
        <w:tc>
          <w:tcPr>
            <w:tcW w:w="100" w:type="dxa"/>
            <w:vAlign w:val="bottom"/>
          </w:tcPr>
          <w:p>
            <w:pPr>
              <w:spacing w:after="0"/>
              <w:rPr>
                <w:sz w:val="14"/>
                <w:szCs w:val="14"/>
                <w:color w:val="auto"/>
              </w:rPr>
            </w:pPr>
          </w:p>
        </w:tc>
        <w:tc>
          <w:tcPr>
            <w:tcW w:w="14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Made By</w:t>
            </w:r>
          </w:p>
        </w:tc>
      </w:tr>
      <w:tr>
        <w:trPr>
          <w:trHeight w:val="511"/>
        </w:trPr>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80" w:type="dxa"/>
            <w:vAlign w:val="bottom"/>
            <w:gridSpan w:val="4"/>
          </w:tcPr>
          <w:p>
            <w:pPr>
              <w:ind w:left="80"/>
              <w:spacing w:after="0"/>
              <w:rPr>
                <w:sz w:val="20"/>
                <w:szCs w:val="20"/>
                <w:color w:val="auto"/>
              </w:rPr>
            </w:pPr>
            <w:r>
              <w:rPr>
                <w:rFonts w:ascii="Arial" w:cs="Arial" w:eastAsia="Arial" w:hAnsi="Arial"/>
                <w:sz w:val="18"/>
                <w:szCs w:val="18"/>
                <w:color w:val="auto"/>
                <w:w w:val="99"/>
              </w:rPr>
              <w:t>Form of Swing Line Note</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65"/>
        </w:trPr>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3"/>
          </w:tcPr>
          <w:p>
            <w:pPr>
              <w:ind w:left="620"/>
              <w:spacing w:after="0"/>
              <w:rPr>
                <w:sz w:val="20"/>
                <w:szCs w:val="20"/>
                <w:color w:val="auto"/>
              </w:rPr>
            </w:pPr>
            <w:r>
              <w:rPr>
                <w:rFonts w:ascii="Arial" w:cs="Arial" w:eastAsia="Arial" w:hAnsi="Arial"/>
                <w:sz w:val="18"/>
                <w:szCs w:val="18"/>
                <w:color w:val="auto"/>
              </w:rPr>
              <w:t>C-2 - 4</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This Assignment and Assumption (this “</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is dated as of the Effective Date set forth below and is entered into by and between [the][each]</w:t>
      </w:r>
      <w:r>
        <w:rPr>
          <w:rFonts w:ascii="Arial" w:cs="Arial" w:eastAsia="Arial" w:hAnsi="Arial"/>
          <w:sz w:val="10"/>
          <w:szCs w:val="10"/>
          <w:color w:val="auto"/>
        </w:rPr>
        <w:t>1</w:t>
      </w:r>
      <w:r>
        <w:rPr>
          <w:rFonts w:ascii="Arial" w:cs="Arial" w:eastAsia="Arial" w:hAnsi="Arial"/>
          <w:sz w:val="16"/>
          <w:szCs w:val="16"/>
          <w:color w:val="auto"/>
        </w:rPr>
        <w:t xml:space="preserve"> Assignor identified in item 1 below ([the][each, an] “</w:t>
      </w:r>
      <w:r>
        <w:rPr>
          <w:rFonts w:ascii="Arial" w:cs="Arial" w:eastAsia="Arial" w:hAnsi="Arial"/>
          <w:sz w:val="16"/>
          <w:szCs w:val="16"/>
          <w:u w:val="single" w:color="auto"/>
          <w:color w:val="auto"/>
        </w:rPr>
        <w:t>Assignor</w:t>
      </w:r>
      <w:r>
        <w:rPr>
          <w:rFonts w:ascii="Arial" w:cs="Arial" w:eastAsia="Arial" w:hAnsi="Arial"/>
          <w:sz w:val="16"/>
          <w:szCs w:val="16"/>
          <w:color w:val="auto"/>
        </w:rPr>
        <w:t>”) and [the][each]</w:t>
      </w:r>
      <w:r>
        <w:rPr>
          <w:rFonts w:ascii="Arial" w:cs="Arial" w:eastAsia="Arial" w:hAnsi="Arial"/>
          <w:sz w:val="10"/>
          <w:szCs w:val="10"/>
          <w:color w:val="auto"/>
        </w:rPr>
        <w:t>2</w:t>
      </w:r>
      <w:r>
        <w:rPr>
          <w:rFonts w:ascii="Arial" w:cs="Arial" w:eastAsia="Arial" w:hAnsi="Arial"/>
          <w:sz w:val="16"/>
          <w:szCs w:val="16"/>
          <w:color w:val="auto"/>
        </w:rPr>
        <w:t xml:space="preserve"> Assignee identified in item 2 below ([the][each, an] “</w:t>
      </w:r>
      <w:r>
        <w:rPr>
          <w:rFonts w:ascii="Arial" w:cs="Arial" w:eastAsia="Arial" w:hAnsi="Arial"/>
          <w:sz w:val="16"/>
          <w:szCs w:val="16"/>
          <w:u w:val="single" w:color="auto"/>
          <w:color w:val="auto"/>
        </w:rPr>
        <w:t>Assignee</w:t>
      </w:r>
      <w:r>
        <w:rPr>
          <w:rFonts w:ascii="Arial" w:cs="Arial" w:eastAsia="Arial" w:hAnsi="Arial"/>
          <w:sz w:val="16"/>
          <w:szCs w:val="16"/>
          <w:color w:val="auto"/>
        </w:rPr>
        <w:t>”). [It is understood and agreed that the rights and obligations of [the Assignors][the Assignees]</w:t>
      </w:r>
      <w:r>
        <w:rPr>
          <w:rFonts w:ascii="Arial" w:cs="Arial" w:eastAsia="Arial" w:hAnsi="Arial"/>
          <w:sz w:val="10"/>
          <w:szCs w:val="10"/>
          <w:color w:val="auto"/>
        </w:rPr>
        <w:t>3</w:t>
      </w:r>
      <w:r>
        <w:rPr>
          <w:rFonts w:ascii="Arial" w:cs="Arial" w:eastAsia="Arial" w:hAnsi="Arial"/>
          <w:sz w:val="16"/>
          <w:szCs w:val="16"/>
          <w:color w:val="auto"/>
        </w:rPr>
        <w:t xml:space="preserve"> hereunder are several and not joint.]</w:t>
      </w:r>
      <w:r>
        <w:rPr>
          <w:rFonts w:ascii="Arial" w:cs="Arial" w:eastAsia="Arial" w:hAnsi="Arial"/>
          <w:sz w:val="10"/>
          <w:szCs w:val="10"/>
          <w:color w:val="auto"/>
        </w:rPr>
        <w:t>4</w:t>
      </w:r>
      <w:r>
        <w:rPr>
          <w:rFonts w:ascii="Arial" w:cs="Arial" w:eastAsia="Arial" w:hAnsi="Arial"/>
          <w:sz w:val="16"/>
          <w:szCs w:val="16"/>
          <w:color w:val="auto"/>
        </w:rPr>
        <w:t xml:space="preserve"> Capitalized terms used but not defined herein shall have the meanings given to them in the Credit Agreement identified below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2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(including, without limitation, the Letters of Credit and the Swing Line Loans included in such facilities</w:t>
      </w:r>
      <w:r>
        <w:rPr>
          <w:rFonts w:ascii="Arial" w:cs="Arial" w:eastAsia="Arial" w:hAnsi="Arial"/>
          <w:sz w:val="10"/>
          <w:szCs w:val="10"/>
          <w:color w:val="auto"/>
        </w:rPr>
        <w:t>5</w:t>
      </w:r>
      <w:r>
        <w:rPr>
          <w:rFonts w:ascii="Arial" w:cs="Arial" w:eastAsia="Arial" w:hAnsi="Arial"/>
          <w:sz w:val="16"/>
          <w:szCs w:val="16"/>
          <w:color w:val="auto"/>
        </w:rPr>
        <w:t>)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89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2" w:lineRule="exact"/>
        <w:rPr>
          <w:sz w:val="20"/>
          <w:szCs w:val="20"/>
          <w:color w:val="auto"/>
        </w:rPr>
      </w:pPr>
    </w:p>
    <w:p>
      <w:pPr>
        <w:ind w:left="220" w:hanging="212"/>
        <w:spacing w:after="0"/>
        <w:tabs>
          <w:tab w:leader="none" w:pos="220" w:val="left"/>
        </w:tabs>
        <w:numPr>
          <w:ilvl w:val="0"/>
          <w:numId w:val="178"/>
        </w:numPr>
        <w:rPr>
          <w:rFonts w:ascii="Arial" w:cs="Arial" w:eastAsia="Arial" w:hAnsi="Arial"/>
          <w:sz w:val="20"/>
          <w:szCs w:val="20"/>
          <w:color w:val="auto"/>
          <w:vertAlign w:val="superscript"/>
        </w:rPr>
      </w:pPr>
      <w:r>
        <w:rPr>
          <w:rFonts w:ascii="Arial" w:cs="Arial" w:eastAsia="Arial" w:hAnsi="Arial"/>
          <w:sz w:val="16"/>
          <w:szCs w:val="16"/>
          <w:color w:val="auto"/>
        </w:rPr>
        <w:t>For bracketed language here and elsewhere in this form relating to the Assignor(s), if the assignment is from a single Assignor, choose the first bracketed</w:t>
      </w:r>
    </w:p>
    <w:p>
      <w:pPr>
        <w:ind w:left="220"/>
        <w:spacing w:after="0" w:line="230" w:lineRule="auto"/>
        <w:rPr>
          <w:sz w:val="20"/>
          <w:szCs w:val="20"/>
          <w:color w:val="auto"/>
        </w:rPr>
      </w:pPr>
      <w:r>
        <w:rPr>
          <w:rFonts w:ascii="Arial" w:cs="Arial" w:eastAsia="Arial" w:hAnsi="Arial"/>
          <w:sz w:val="18"/>
          <w:szCs w:val="18"/>
          <w:color w:val="auto"/>
        </w:rPr>
        <w:t>language. If the assignment is from multiple Assignors, choose the second bracketed language.</w:t>
      </w:r>
    </w:p>
    <w:p>
      <w:pPr>
        <w:spacing w:after="0" w:line="11" w:lineRule="exact"/>
        <w:rPr>
          <w:sz w:val="20"/>
          <w:szCs w:val="20"/>
          <w:color w:val="auto"/>
        </w:rPr>
      </w:pPr>
    </w:p>
    <w:p>
      <w:pPr>
        <w:ind w:left="220" w:right="620" w:hanging="212"/>
        <w:spacing w:after="0" w:line="219" w:lineRule="auto"/>
        <w:tabs>
          <w:tab w:leader="none" w:pos="220" w:val="left"/>
        </w:tabs>
        <w:numPr>
          <w:ilvl w:val="0"/>
          <w:numId w:val="179"/>
        </w:numPr>
        <w:rPr>
          <w:rFonts w:ascii="Arial" w:cs="Arial" w:eastAsia="Arial" w:hAnsi="Arial"/>
          <w:sz w:val="22"/>
          <w:szCs w:val="22"/>
          <w:color w:val="auto"/>
          <w:vertAlign w:val="superscript"/>
        </w:rPr>
      </w:pPr>
      <w:r>
        <w:rPr>
          <w:rFonts w:ascii="Arial" w:cs="Arial" w:eastAsia="Arial" w:hAnsi="Arial"/>
          <w:sz w:val="18"/>
          <w:szCs w:val="18"/>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ind w:left="220" w:hanging="212"/>
        <w:spacing w:after="0" w:line="206" w:lineRule="auto"/>
        <w:tabs>
          <w:tab w:leader="none" w:pos="220" w:val="left"/>
        </w:tabs>
        <w:numPr>
          <w:ilvl w:val="0"/>
          <w:numId w:val="180"/>
        </w:numPr>
        <w:rPr>
          <w:rFonts w:ascii="Arial" w:cs="Arial" w:eastAsia="Arial" w:hAnsi="Arial"/>
          <w:sz w:val="22"/>
          <w:szCs w:val="22"/>
          <w:color w:val="auto"/>
          <w:vertAlign w:val="superscript"/>
        </w:rPr>
      </w:pPr>
      <w:r>
        <w:rPr>
          <w:rFonts w:ascii="Arial" w:cs="Arial" w:eastAsia="Arial" w:hAnsi="Arial"/>
          <w:sz w:val="18"/>
          <w:szCs w:val="18"/>
          <w:color w:val="auto"/>
        </w:rPr>
        <w:t>Select as appropriate.</w:t>
      </w:r>
    </w:p>
    <w:p>
      <w:pPr>
        <w:ind w:left="220" w:hanging="212"/>
        <w:spacing w:after="0" w:line="205" w:lineRule="auto"/>
        <w:tabs>
          <w:tab w:leader="none" w:pos="220" w:val="left"/>
        </w:tabs>
        <w:numPr>
          <w:ilvl w:val="0"/>
          <w:numId w:val="181"/>
        </w:numPr>
        <w:rPr>
          <w:rFonts w:ascii="Arial" w:cs="Arial" w:eastAsia="Arial" w:hAnsi="Arial"/>
          <w:sz w:val="22"/>
          <w:szCs w:val="22"/>
          <w:color w:val="auto"/>
          <w:vertAlign w:val="superscript"/>
        </w:rPr>
      </w:pPr>
      <w:r>
        <w:rPr>
          <w:rFonts w:ascii="Arial" w:cs="Arial" w:eastAsia="Arial" w:hAnsi="Arial"/>
          <w:sz w:val="18"/>
          <w:szCs w:val="18"/>
          <w:color w:val="auto"/>
        </w:rPr>
        <w:t>Include bracketed language if there are either multiple Assignors or multiple Assignees.</w:t>
      </w:r>
    </w:p>
    <w:p>
      <w:pPr>
        <w:ind w:left="220" w:hanging="212"/>
        <w:spacing w:after="0" w:line="221" w:lineRule="auto"/>
        <w:tabs>
          <w:tab w:leader="none" w:pos="220" w:val="left"/>
        </w:tabs>
        <w:numPr>
          <w:ilvl w:val="0"/>
          <w:numId w:val="182"/>
        </w:numPr>
        <w:rPr>
          <w:rFonts w:ascii="Arial" w:cs="Arial" w:eastAsia="Arial" w:hAnsi="Arial"/>
          <w:sz w:val="22"/>
          <w:szCs w:val="22"/>
          <w:color w:val="auto"/>
          <w:vertAlign w:val="superscript"/>
        </w:rPr>
      </w:pPr>
      <w:r>
        <w:rPr>
          <w:rFonts w:ascii="Arial" w:cs="Arial" w:eastAsia="Arial" w:hAnsi="Arial"/>
          <w:sz w:val="18"/>
          <w:szCs w:val="18"/>
          <w:color w:val="auto"/>
        </w:rPr>
        <w:t>Include all applicable subfacilities.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Assignment and Assumption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D-1 - 1</w:t>
      </w:r>
    </w:p>
    <w:p>
      <w:pPr>
        <w:sectPr>
          <w:pgSz w:w="11900" w:h="16838" w:orient="portrait"/>
          <w:cols w:equalWidth="0" w:num="1">
            <w:col w:w="11420"/>
          </w:cols>
          <w:pgMar w:left="240" w:top="280" w:right="239" w:bottom="1440" w:gutter="0" w:footer="0" w:header="0"/>
        </w:sectPr>
      </w:pPr>
    </w:p>
    <w:bookmarkStart w:id="207" w:name="page208"/>
    <w:bookmarkEnd w:id="207"/>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18"/>
          <w:szCs w:val="18"/>
          <w:u w:val="single" w:color="auto"/>
          <w:color w:val="auto"/>
        </w:rPr>
        <w:t>Assigned Interest</w:t>
      </w:r>
      <w:r>
        <w:rPr>
          <w:rFonts w:ascii="Arial" w:cs="Arial" w:eastAsia="Arial" w:hAnsi="Arial"/>
          <w:sz w:val="18"/>
          <w:szCs w:val="18"/>
          <w:color w:val="auto"/>
        </w:rPr>
        <w:t>”). Each such sale and assignment is without recourse to [the][any] Assignor and, except as expressly provided in this Assignment and Assumption, without representation or warranty by [the][any] Assignor.</w:t>
      </w:r>
    </w:p>
    <w:p>
      <w:pPr>
        <w:spacing w:after="0" w:line="400" w:lineRule="exact"/>
        <w:rPr>
          <w:sz w:val="20"/>
          <w:szCs w:val="20"/>
          <w:color w:val="auto"/>
        </w:rPr>
      </w:pPr>
    </w:p>
    <w:p>
      <w:pPr>
        <w:ind w:left="360" w:hanging="352"/>
        <w:spacing w:after="0"/>
        <w:tabs>
          <w:tab w:leader="none" w:pos="36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Assignor[s]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360" w:hanging="352"/>
        <w:spacing w:after="0"/>
        <w:tabs>
          <w:tab w:leader="none" w:pos="36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Assignee[s]</w:t>
      </w:r>
      <w:r>
        <w:rPr>
          <w:rFonts w:ascii="Arial" w:cs="Arial" w:eastAsia="Arial" w:hAnsi="Arial"/>
          <w:sz w:val="18"/>
          <w:szCs w:val="18"/>
          <w:color w:val="auto"/>
        </w:rPr>
        <w:t>:</w:t>
      </w:r>
    </w:p>
    <w:p>
      <w:pPr>
        <w:spacing w:after="0" w:line="373"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[for each Assignee, indicate [Affiliate][Approved Fund]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Borrower(s)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Administrative Agent</w:t>
      </w:r>
      <w:r>
        <w:rPr>
          <w:rFonts w:ascii="Arial" w:cs="Arial" w:eastAsia="Arial" w:hAnsi="Arial"/>
          <w:sz w:val="18"/>
          <w:szCs w:val="18"/>
          <w:color w:val="auto"/>
        </w:rPr>
        <w:t>: Bank of America, N.A., as the administrative agent under the Credit Agreement</w:t>
      </w:r>
    </w:p>
    <w:p>
      <w:pPr>
        <w:spacing w:after="0" w:line="225" w:lineRule="exact"/>
        <w:rPr>
          <w:rFonts w:ascii="Arial" w:cs="Arial" w:eastAsia="Arial" w:hAnsi="Arial"/>
          <w:sz w:val="18"/>
          <w:szCs w:val="18"/>
          <w:color w:val="auto"/>
        </w:rPr>
      </w:pPr>
    </w:p>
    <w:p>
      <w:pPr>
        <w:ind w:left="360" w:right="160" w:hanging="352"/>
        <w:spacing w:after="0" w:line="298" w:lineRule="auto"/>
        <w:tabs>
          <w:tab w:leader="none" w:pos="360"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Credit Agreement</w:t>
      </w:r>
      <w:r>
        <w:rPr>
          <w:rFonts w:ascii="Arial" w:cs="Arial" w:eastAsia="Arial" w:hAnsi="Arial"/>
          <w:sz w:val="16"/>
          <w:szCs w:val="16"/>
          <w:color w:val="auto"/>
        </w:rPr>
        <w:t>: Third Amended and Restated Credit Agreement, dated as of August 19, 2011, as amended by that certain First Amendment to Third Amended and Restated Credit Agreement, dated as of June 27, 2012, among Plains Marketing, L.P., a Texas limited partnership, Plains Midstream Canada ULC, a British Columbia unlimited liability company, Plains All American Pipeline, L.P., a Delaware limited partnership, as guarantor, Bank of America, N.A., as Administrative Agent, Swing Line Lender and L/C Issuer, and the Lenders from time to time party thereto, as amended and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-986155</wp:posOffset>
            </wp:positionV>
            <wp:extent cx="32588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-1397635</wp:posOffset>
            </wp:positionV>
            <wp:extent cx="32588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-1629410</wp:posOffset>
            </wp:positionV>
            <wp:extent cx="32588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-1903730</wp:posOffset>
            </wp:positionV>
            <wp:extent cx="32588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-2134870</wp:posOffset>
            </wp:positionV>
            <wp:extent cx="32588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 Assignment and Assumption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D-1 - 2</w:t>
      </w:r>
    </w:p>
    <w:p>
      <w:pPr>
        <w:sectPr>
          <w:pgSz w:w="11900" w:h="16838" w:orient="portrait"/>
          <w:cols w:equalWidth="0" w:num="1">
            <w:col w:w="11380"/>
          </w:cols>
          <w:pgMar w:left="240" w:top="280" w:right="279" w:bottom="1440" w:gutter="0" w:footer="0" w:header="0"/>
        </w:sectPr>
      </w:pPr>
    </w:p>
    <w:bookmarkStart w:id="208" w:name="page209"/>
    <w:bookmarkEnd w:id="208"/>
    <w:p>
      <w:pPr>
        <w:ind w:left="460" w:hanging="452"/>
        <w:spacing w:after="0"/>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Assigned Interest[s]</w:t>
      </w:r>
      <w:r>
        <w:rPr>
          <w:rFonts w:ascii="Arial" w:cs="Arial" w:eastAsia="Arial" w:hAnsi="Arial"/>
          <w:sz w:val="18"/>
          <w:szCs w:val="18"/>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86"/>
              </w:rPr>
              <w:t>Aggregate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0"/>
              </w:rPr>
              <w:t>Amount of</w:t>
            </w:r>
          </w:p>
        </w:tc>
        <w:tc>
          <w:tcPr>
            <w:tcW w:w="560" w:type="dxa"/>
            <w:vAlign w:val="bottom"/>
          </w:tcPr>
          <w:p>
            <w:pPr>
              <w:spacing w:after="0"/>
              <w:rPr>
                <w:sz w:val="12"/>
                <w:szCs w:val="12"/>
                <w:color w:val="auto"/>
              </w:rPr>
            </w:pP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3"/>
              </w:rPr>
              <w:t>Amount of</w:t>
            </w:r>
          </w:p>
        </w:tc>
        <w:tc>
          <w:tcPr>
            <w:tcW w:w="1500" w:type="dxa"/>
            <w:vAlign w:val="bottom"/>
            <w:gridSpan w:val="2"/>
          </w:tcPr>
          <w:p>
            <w:pPr>
              <w:jc w:val="center"/>
              <w:ind w:right="552"/>
              <w:spacing w:after="0" w:line="149" w:lineRule="exact"/>
              <w:rPr>
                <w:sz w:val="20"/>
                <w:szCs w:val="20"/>
                <w:color w:val="auto"/>
              </w:rPr>
            </w:pPr>
            <w:r>
              <w:rPr>
                <w:rFonts w:ascii="Arial" w:cs="Arial" w:eastAsia="Arial" w:hAnsi="Arial"/>
                <w:sz w:val="14"/>
                <w:szCs w:val="14"/>
                <w:color w:val="auto"/>
                <w:w w:val="80"/>
              </w:rPr>
              <w:t>Percentage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460" w:type="dxa"/>
            <w:vAlign w:val="bottom"/>
            <w:gridSpan w:val="4"/>
            <w:vMerge w:val="restart"/>
          </w:tcPr>
          <w:p>
            <w:pPr>
              <w:spacing w:after="0"/>
              <w:rPr>
                <w:sz w:val="20"/>
                <w:szCs w:val="20"/>
                <w:color w:val="auto"/>
              </w:rPr>
            </w:pPr>
            <w:r>
              <w:rPr>
                <w:rFonts w:ascii="Arial" w:cs="Arial" w:eastAsia="Arial" w:hAnsi="Arial"/>
                <w:sz w:val="14"/>
                <w:szCs w:val="14"/>
                <w:color w:val="auto"/>
              </w:rPr>
              <w:t>Assignor[s]</w:t>
            </w:r>
            <w:r>
              <w:rPr>
                <w:rFonts w:ascii="Arial" w:cs="Arial" w:eastAsia="Arial" w:hAnsi="Arial"/>
                <w:sz w:val="22"/>
                <w:szCs w:val="22"/>
                <w:color w:val="auto"/>
                <w:vertAlign w:val="superscript"/>
              </w:rPr>
              <w:t>6</w:t>
            </w:r>
          </w:p>
        </w:tc>
        <w:tc>
          <w:tcPr>
            <w:tcW w:w="7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color w:val="auto"/>
              </w:rPr>
              <w:t>Assignee[s]</w:t>
            </w:r>
            <w:r>
              <w:rPr>
                <w:rFonts w:ascii="Arial" w:cs="Arial" w:eastAsia="Arial" w:hAnsi="Arial"/>
                <w:sz w:val="22"/>
                <w:szCs w:val="22"/>
                <w:color w:val="auto"/>
                <w:vertAlign w:val="superscript"/>
              </w:rPr>
              <w:t>7</w:t>
            </w:r>
          </w:p>
        </w:tc>
        <w:tc>
          <w:tcPr>
            <w:tcW w:w="1020" w:type="dxa"/>
            <w:vAlign w:val="bottom"/>
            <w:gridSpan w:val="2"/>
          </w:tcPr>
          <w:p>
            <w:pPr>
              <w:jc w:val="center"/>
              <w:ind w:right="460"/>
              <w:spacing w:after="0" w:line="133" w:lineRule="exact"/>
              <w:rPr>
                <w:sz w:val="20"/>
                <w:szCs w:val="20"/>
                <w:color w:val="auto"/>
              </w:rPr>
            </w:pPr>
            <w:r>
              <w:rPr>
                <w:rFonts w:ascii="Arial" w:cs="Arial" w:eastAsia="Arial" w:hAnsi="Arial"/>
                <w:sz w:val="14"/>
                <w:szCs w:val="14"/>
                <w:color w:val="auto"/>
                <w:w w:val="91"/>
              </w:rPr>
              <w:t>Facility</w:t>
            </w:r>
          </w:p>
        </w:tc>
        <w:tc>
          <w:tcPr>
            <w:tcW w:w="860" w:type="dxa"/>
            <w:vAlign w:val="bottom"/>
          </w:tcPr>
          <w:p>
            <w:pPr>
              <w:jc w:val="center"/>
              <w:spacing w:after="0" w:line="133" w:lineRule="exact"/>
              <w:rPr>
                <w:sz w:val="20"/>
                <w:szCs w:val="20"/>
                <w:color w:val="auto"/>
              </w:rPr>
            </w:pPr>
            <w:r>
              <w:rPr>
                <w:rFonts w:ascii="Arial" w:cs="Arial" w:eastAsia="Arial" w:hAnsi="Arial"/>
                <w:sz w:val="14"/>
                <w:szCs w:val="14"/>
                <w:color w:val="auto"/>
                <w:w w:val="88"/>
              </w:rPr>
              <w:t>Commitment</w:t>
            </w:r>
          </w:p>
        </w:tc>
        <w:tc>
          <w:tcPr>
            <w:tcW w:w="560" w:type="dxa"/>
            <w:vAlign w:val="bottom"/>
          </w:tcPr>
          <w:p>
            <w:pPr>
              <w:spacing w:after="0"/>
              <w:rPr>
                <w:sz w:val="11"/>
                <w:szCs w:val="11"/>
                <w:color w:val="auto"/>
              </w:rPr>
            </w:pPr>
          </w:p>
        </w:tc>
        <w:tc>
          <w:tcPr>
            <w:tcW w:w="1260" w:type="dxa"/>
            <w:vAlign w:val="bottom"/>
            <w:gridSpan w:val="2"/>
          </w:tcPr>
          <w:p>
            <w:pPr>
              <w:spacing w:after="0" w:line="133" w:lineRule="exact"/>
              <w:rPr>
                <w:sz w:val="20"/>
                <w:szCs w:val="20"/>
                <w:color w:val="auto"/>
              </w:rPr>
            </w:pPr>
            <w:r>
              <w:rPr>
                <w:rFonts w:ascii="Arial" w:cs="Arial" w:eastAsia="Arial" w:hAnsi="Arial"/>
                <w:sz w:val="14"/>
                <w:szCs w:val="14"/>
                <w:color w:val="auto"/>
              </w:rPr>
              <w:t>Commitment</w:t>
            </w:r>
          </w:p>
        </w:tc>
        <w:tc>
          <w:tcPr>
            <w:tcW w:w="1500" w:type="dxa"/>
            <w:vAlign w:val="bottom"/>
            <w:gridSpan w:val="2"/>
          </w:tcPr>
          <w:p>
            <w:pPr>
              <w:jc w:val="center"/>
              <w:ind w:right="552"/>
              <w:spacing w:after="0" w:line="133" w:lineRule="exact"/>
              <w:rPr>
                <w:sz w:val="20"/>
                <w:szCs w:val="20"/>
                <w:color w:val="auto"/>
              </w:rPr>
            </w:pPr>
            <w:r>
              <w:rPr>
                <w:rFonts w:ascii="Arial" w:cs="Arial" w:eastAsia="Arial" w:hAnsi="Arial"/>
                <w:sz w:val="14"/>
                <w:szCs w:val="14"/>
                <w:color w:val="auto"/>
                <w:w w:val="90"/>
              </w:rPr>
              <w:t>Assigned of</w:t>
            </w:r>
          </w:p>
        </w:tc>
        <w:tc>
          <w:tcPr>
            <w:tcW w:w="440" w:type="dxa"/>
            <w:vAlign w:val="bottom"/>
          </w:tcPr>
          <w:p>
            <w:pPr>
              <w:ind w:left="20"/>
              <w:spacing w:after="0" w:line="133" w:lineRule="exact"/>
              <w:rPr>
                <w:sz w:val="20"/>
                <w:szCs w:val="20"/>
                <w:color w:val="auto"/>
              </w:rPr>
            </w:pPr>
            <w:r>
              <w:rPr>
                <w:rFonts w:ascii="Arial" w:cs="Arial" w:eastAsia="Arial" w:hAnsi="Arial"/>
                <w:sz w:val="14"/>
                <w:szCs w:val="14"/>
                <w:color w:val="auto"/>
                <w:w w:val="93"/>
              </w:rPr>
              <w:t>CUSIP</w:t>
            </w:r>
          </w:p>
        </w:tc>
        <w:tc>
          <w:tcPr>
            <w:tcW w:w="0" w:type="dxa"/>
            <w:vAlign w:val="bottom"/>
          </w:tcPr>
          <w:p>
            <w:pPr>
              <w:spacing w:after="0"/>
              <w:rPr>
                <w:sz w:val="1"/>
                <w:szCs w:val="1"/>
                <w:color w:val="auto"/>
              </w:rPr>
            </w:pPr>
          </w:p>
        </w:tc>
      </w:tr>
      <w:tr>
        <w:trPr>
          <w:trHeight w:val="169"/>
        </w:trPr>
        <w:tc>
          <w:tcPr>
            <w:tcW w:w="1460" w:type="dxa"/>
            <w:vAlign w:val="bottom"/>
            <w:gridSpan w:val="4"/>
            <w:vMerge w:val="continue"/>
          </w:tcPr>
          <w:p>
            <w:pPr>
              <w:spacing w:after="0"/>
              <w:rPr>
                <w:sz w:val="14"/>
                <w:szCs w:val="14"/>
                <w:color w:val="auto"/>
              </w:rPr>
            </w:pPr>
          </w:p>
        </w:tc>
        <w:tc>
          <w:tcPr>
            <w:tcW w:w="7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20" w:type="dxa"/>
            <w:vAlign w:val="bottom"/>
            <w:gridSpan w:val="2"/>
          </w:tcPr>
          <w:p>
            <w:pPr>
              <w:jc w:val="center"/>
              <w:ind w:right="460"/>
              <w:spacing w:after="0" w:line="162" w:lineRule="exact"/>
              <w:rPr>
                <w:sz w:val="20"/>
                <w:szCs w:val="20"/>
                <w:color w:val="auto"/>
              </w:rPr>
            </w:pPr>
            <w:r>
              <w:rPr>
                <w:rFonts w:ascii="Arial" w:cs="Arial" w:eastAsia="Arial" w:hAnsi="Arial"/>
                <w:sz w:val="12"/>
                <w:szCs w:val="12"/>
                <w:color w:val="auto"/>
                <w:w w:val="99"/>
              </w:rPr>
              <w:t>Assigned</w:t>
            </w:r>
            <w:r>
              <w:rPr>
                <w:rFonts w:ascii="Arial" w:cs="Arial" w:eastAsia="Arial" w:hAnsi="Arial"/>
                <w:sz w:val="18"/>
                <w:szCs w:val="18"/>
                <w:color w:val="auto"/>
                <w:w w:val="99"/>
                <w:vertAlign w:val="superscript"/>
              </w:rPr>
              <w:t>8</w:t>
            </w:r>
          </w:p>
        </w:tc>
        <w:tc>
          <w:tcPr>
            <w:tcW w:w="860" w:type="dxa"/>
            <w:vAlign w:val="bottom"/>
          </w:tcPr>
          <w:p>
            <w:pPr>
              <w:spacing w:after="0" w:line="162" w:lineRule="exact"/>
              <w:rPr>
                <w:sz w:val="20"/>
                <w:szCs w:val="20"/>
                <w:color w:val="auto"/>
              </w:rPr>
            </w:pPr>
            <w:r>
              <w:rPr>
                <w:rFonts w:ascii="Arial" w:cs="Arial" w:eastAsia="Arial" w:hAnsi="Arial"/>
                <w:sz w:val="12"/>
                <w:szCs w:val="12"/>
                <w:color w:val="auto"/>
              </w:rPr>
              <w:t>for all Lenders</w:t>
            </w:r>
            <w:r>
              <w:rPr>
                <w:rFonts w:ascii="Arial" w:cs="Arial" w:eastAsia="Arial" w:hAnsi="Arial"/>
                <w:sz w:val="18"/>
                <w:szCs w:val="18"/>
                <w:color w:val="auto"/>
                <w:vertAlign w:val="superscript"/>
              </w:rPr>
              <w:t>9</w:t>
            </w:r>
          </w:p>
        </w:tc>
        <w:tc>
          <w:tcPr>
            <w:tcW w:w="560" w:type="dxa"/>
            <w:vAlign w:val="bottom"/>
          </w:tcPr>
          <w:p>
            <w:pPr>
              <w:spacing w:after="0"/>
              <w:rPr>
                <w:sz w:val="14"/>
                <w:szCs w:val="14"/>
                <w:color w:val="auto"/>
              </w:rPr>
            </w:pPr>
          </w:p>
        </w:tc>
        <w:tc>
          <w:tcPr>
            <w:tcW w:w="1260" w:type="dxa"/>
            <w:vAlign w:val="bottom"/>
            <w:gridSpan w:val="2"/>
          </w:tcPr>
          <w:p>
            <w:pPr>
              <w:jc w:val="center"/>
              <w:ind w:right="560"/>
              <w:spacing w:after="0"/>
              <w:rPr>
                <w:sz w:val="20"/>
                <w:szCs w:val="20"/>
                <w:color w:val="auto"/>
              </w:rPr>
            </w:pPr>
            <w:r>
              <w:rPr>
                <w:rFonts w:ascii="Arial" w:cs="Arial" w:eastAsia="Arial" w:hAnsi="Arial"/>
                <w:sz w:val="14"/>
                <w:szCs w:val="14"/>
                <w:color w:val="auto"/>
                <w:w w:val="86"/>
              </w:rPr>
              <w:t>Assigned</w:t>
            </w:r>
          </w:p>
        </w:tc>
        <w:tc>
          <w:tcPr>
            <w:tcW w:w="1500" w:type="dxa"/>
            <w:vAlign w:val="bottom"/>
            <w:gridSpan w:val="2"/>
          </w:tcPr>
          <w:p>
            <w:pPr>
              <w:jc w:val="center"/>
              <w:ind w:right="552"/>
              <w:spacing w:after="0" w:line="162" w:lineRule="exact"/>
              <w:rPr>
                <w:sz w:val="20"/>
                <w:szCs w:val="20"/>
                <w:color w:val="auto"/>
              </w:rPr>
            </w:pPr>
            <w:r>
              <w:rPr>
                <w:rFonts w:ascii="Arial" w:cs="Arial" w:eastAsia="Arial" w:hAnsi="Arial"/>
                <w:sz w:val="12"/>
                <w:szCs w:val="12"/>
                <w:color w:val="auto"/>
              </w:rPr>
              <w:t>Commitment</w:t>
            </w:r>
            <w:r>
              <w:rPr>
                <w:rFonts w:ascii="Arial" w:cs="Arial" w:eastAsia="Arial" w:hAnsi="Arial"/>
                <w:sz w:val="18"/>
                <w:szCs w:val="18"/>
                <w:color w:val="auto"/>
                <w:vertAlign w:val="superscript"/>
              </w:rPr>
              <w:t>10</w:t>
            </w:r>
          </w:p>
        </w:tc>
        <w:tc>
          <w:tcPr>
            <w:tcW w:w="440" w:type="dxa"/>
            <w:vAlign w:val="bottom"/>
          </w:tcPr>
          <w:p>
            <w:pPr>
              <w:spacing w:after="0"/>
              <w:rPr>
                <w:sz w:val="20"/>
                <w:szCs w:val="20"/>
                <w:color w:val="auto"/>
              </w:rPr>
            </w:pPr>
            <w:r>
              <w:rPr>
                <w:rFonts w:ascii="Arial" w:cs="Arial" w:eastAsia="Arial" w:hAnsi="Arial"/>
                <w:sz w:val="14"/>
                <w:szCs w:val="14"/>
                <w:color w:val="auto"/>
                <w:w w:val="84"/>
              </w:rPr>
              <w:t>Number</w:t>
            </w:r>
          </w:p>
        </w:tc>
        <w:tc>
          <w:tcPr>
            <w:tcW w:w="0" w:type="dxa"/>
            <w:vAlign w:val="bottom"/>
          </w:tcPr>
          <w:p>
            <w:pPr>
              <w:spacing w:after="0"/>
              <w:rPr>
                <w:sz w:val="1"/>
                <w:szCs w:val="1"/>
                <w:color w:val="auto"/>
              </w:rPr>
            </w:pPr>
          </w:p>
        </w:tc>
      </w:tr>
      <w:tr>
        <w:trPr>
          <w:trHeight w:val="216"/>
        </w:trPr>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jc w:val="right"/>
              <w:ind w:right="412"/>
              <w:spacing w:after="0"/>
              <w:rPr>
                <w:sz w:val="20"/>
                <w:szCs w:val="20"/>
                <w:color w:val="auto"/>
              </w:rPr>
            </w:pPr>
            <w:r>
              <w:rPr>
                <w:rFonts w:ascii="Arial" w:cs="Arial" w:eastAsia="Arial" w:hAnsi="Arial"/>
                <w:sz w:val="18"/>
                <w:szCs w:val="18"/>
                <w:color w:val="auto"/>
                <w:w w:val="87"/>
              </w:rPr>
              <w:t>%</w:t>
            </w:r>
          </w:p>
        </w:tc>
        <w:tc>
          <w:tcPr>
            <w:tcW w:w="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50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460" w:type="dxa"/>
            <w:vAlign w:val="bottom"/>
            <w:gridSpan w:val="4"/>
          </w:tcPr>
          <w:p>
            <w:pPr>
              <w:spacing w:after="0"/>
              <w:rPr>
                <w:sz w:val="20"/>
                <w:szCs w:val="20"/>
                <w:color w:val="auto"/>
              </w:rPr>
            </w:pPr>
            <w:r>
              <w:rPr>
                <w:rFonts w:ascii="Arial" w:cs="Arial" w:eastAsia="Arial" w:hAnsi="Arial"/>
                <w:sz w:val="18"/>
                <w:szCs w:val="18"/>
                <w:color w:val="auto"/>
              </w:rPr>
              <w:t>[7.   Trade Date:</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11</w:t>
            </w:r>
          </w:p>
        </w:tc>
        <w:tc>
          <w:tcPr>
            <w:tcW w:w="2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760" w:type="dxa"/>
            <w:vAlign w:val="bottom"/>
            <w:gridSpan w:val="1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1460" w:type="dxa"/>
            <w:vAlign w:val="bottom"/>
            <w:gridSpan w:val="4"/>
          </w:tcPr>
          <w:p>
            <w:pPr>
              <w:spacing w:after="0"/>
              <w:rPr>
                <w:sz w:val="20"/>
                <w:szCs w:val="20"/>
                <w:color w:val="auto"/>
              </w:rPr>
            </w:pPr>
            <w:r>
              <w:rPr>
                <w:rFonts w:ascii="Arial" w:cs="Arial" w:eastAsia="Arial" w:hAnsi="Arial"/>
                <w:sz w:val="18"/>
                <w:szCs w:val="18"/>
                <w:color w:val="auto"/>
              </w:rPr>
              <w:t>Effective Date:</w:t>
            </w:r>
          </w:p>
        </w:tc>
        <w:tc>
          <w:tcPr>
            <w:tcW w:w="760" w:type="dxa"/>
            <w:vAlign w:val="bottom"/>
          </w:tcPr>
          <w:p>
            <w:pPr>
              <w:jc w:val="right"/>
              <w:ind w:right="232"/>
              <w:spacing w:after="0"/>
              <w:rPr>
                <w:sz w:val="20"/>
                <w:szCs w:val="20"/>
                <w:color w:val="auto"/>
              </w:rPr>
            </w:pPr>
            <w:r>
              <w:rPr>
                <w:rFonts w:ascii="Arial" w:cs="Arial" w:eastAsia="Arial" w:hAnsi="Arial"/>
                <w:sz w:val="18"/>
                <w:szCs w:val="18"/>
                <w:color w:val="auto"/>
              </w:rPr>
              <w:t>, 20</w:t>
            </w:r>
          </w:p>
        </w:tc>
        <w:tc>
          <w:tcPr>
            <w:tcW w:w="8760" w:type="dxa"/>
            <w:vAlign w:val="bottom"/>
            <w:gridSpan w:val="11"/>
          </w:tcPr>
          <w:p>
            <w:pPr>
              <w:jc w:val="right"/>
              <w:ind w:right="532"/>
              <w:spacing w:after="0"/>
              <w:rPr>
                <w:sz w:val="20"/>
                <w:szCs w:val="20"/>
                <w:color w:val="auto"/>
              </w:rPr>
            </w:pPr>
            <w:r>
              <w:rPr>
                <w:rFonts w:ascii="Arial" w:cs="Arial" w:eastAsia="Arial" w:hAnsi="Arial"/>
                <w:sz w:val="18"/>
                <w:szCs w:val="18"/>
                <w:color w:val="auto"/>
                <w:w w:val="97"/>
              </w:rPr>
              <w:t>[TO BE INSERTED BY ADMINISTRATIVE AGENT AND WHICH SHALL BE THE EFFECTIVE DATE OF</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RECORDATION OF TRANSFER IN THE REGISTER THEREFOR.]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ASSIGNOR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ASSIGNOR]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ASSIGNEE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89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1" w:lineRule="exact"/>
        <w:rPr>
          <w:sz w:val="20"/>
          <w:szCs w:val="20"/>
          <w:color w:val="auto"/>
        </w:rPr>
      </w:pPr>
    </w:p>
    <w:p>
      <w:pPr>
        <w:ind w:left="220" w:hanging="212"/>
        <w:spacing w:after="0"/>
        <w:tabs>
          <w:tab w:leader="none" w:pos="220" w:val="left"/>
        </w:tabs>
        <w:numPr>
          <w:ilvl w:val="0"/>
          <w:numId w:val="185"/>
        </w:numPr>
        <w:rPr>
          <w:rFonts w:ascii="Arial" w:cs="Arial" w:eastAsia="Arial" w:hAnsi="Arial"/>
          <w:sz w:val="22"/>
          <w:szCs w:val="22"/>
          <w:color w:val="auto"/>
          <w:vertAlign w:val="superscript"/>
        </w:rPr>
      </w:pPr>
      <w:r>
        <w:rPr>
          <w:rFonts w:ascii="Arial" w:cs="Arial" w:eastAsia="Arial" w:hAnsi="Arial"/>
          <w:sz w:val="18"/>
          <w:szCs w:val="18"/>
          <w:color w:val="auto"/>
        </w:rPr>
        <w:t>List each Assignor, as appropriate.</w:t>
      </w:r>
    </w:p>
    <w:p>
      <w:pPr>
        <w:ind w:left="220" w:hanging="212"/>
        <w:spacing w:after="0" w:line="205" w:lineRule="auto"/>
        <w:tabs>
          <w:tab w:leader="none" w:pos="220" w:val="left"/>
        </w:tabs>
        <w:numPr>
          <w:ilvl w:val="0"/>
          <w:numId w:val="186"/>
        </w:numPr>
        <w:rPr>
          <w:rFonts w:ascii="Arial" w:cs="Arial" w:eastAsia="Arial" w:hAnsi="Arial"/>
          <w:sz w:val="22"/>
          <w:szCs w:val="22"/>
          <w:color w:val="auto"/>
          <w:vertAlign w:val="superscript"/>
        </w:rPr>
      </w:pPr>
      <w:r>
        <w:rPr>
          <w:rFonts w:ascii="Arial" w:cs="Arial" w:eastAsia="Arial" w:hAnsi="Arial"/>
          <w:sz w:val="18"/>
          <w:szCs w:val="18"/>
          <w:color w:val="auto"/>
        </w:rPr>
        <w:t>List each Assignee, as appropriate.</w:t>
      </w:r>
    </w:p>
    <w:p>
      <w:pPr>
        <w:spacing w:after="0" w:line="11" w:lineRule="exact"/>
        <w:rPr>
          <w:sz w:val="20"/>
          <w:szCs w:val="20"/>
          <w:color w:val="auto"/>
        </w:rPr>
      </w:pPr>
    </w:p>
    <w:p>
      <w:pPr>
        <w:ind w:left="220" w:right="40" w:hanging="212"/>
        <w:spacing w:after="0" w:line="219" w:lineRule="auto"/>
        <w:tabs>
          <w:tab w:leader="none" w:pos="220" w:val="left"/>
        </w:tabs>
        <w:numPr>
          <w:ilvl w:val="0"/>
          <w:numId w:val="187"/>
        </w:numPr>
        <w:rPr>
          <w:rFonts w:ascii="Arial" w:cs="Arial" w:eastAsia="Arial" w:hAnsi="Arial"/>
          <w:sz w:val="22"/>
          <w:szCs w:val="22"/>
          <w:color w:val="auto"/>
          <w:vertAlign w:val="superscript"/>
        </w:rPr>
      </w:pPr>
      <w:r>
        <w:rPr>
          <w:rFonts w:ascii="Arial" w:cs="Arial" w:eastAsia="Arial" w:hAnsi="Arial"/>
          <w:sz w:val="18"/>
          <w:szCs w:val="18"/>
          <w:color w:val="auto"/>
        </w:rPr>
        <w:t>Fill in the appropriate terminology for the types of facilities under the Credit Agreement that are being assigned under this Assignment (e.g. “Revolving Credit Commitment”, etc.).</w:t>
      </w:r>
    </w:p>
    <w:p>
      <w:pPr>
        <w:spacing w:after="0" w:line="12" w:lineRule="exact"/>
        <w:rPr>
          <w:sz w:val="20"/>
          <w:szCs w:val="20"/>
          <w:color w:val="auto"/>
        </w:rPr>
      </w:pPr>
    </w:p>
    <w:p>
      <w:pPr>
        <w:ind w:left="220" w:right="360" w:hanging="212"/>
        <w:spacing w:after="0" w:line="219" w:lineRule="auto"/>
        <w:tabs>
          <w:tab w:leader="none" w:pos="220" w:val="left"/>
        </w:tabs>
        <w:numPr>
          <w:ilvl w:val="0"/>
          <w:numId w:val="188"/>
        </w:numPr>
        <w:rPr>
          <w:rFonts w:ascii="Arial" w:cs="Arial" w:eastAsia="Arial" w:hAnsi="Arial"/>
          <w:sz w:val="22"/>
          <w:szCs w:val="22"/>
          <w:color w:val="auto"/>
          <w:vertAlign w:val="superscript"/>
        </w:rPr>
      </w:pPr>
      <w:r>
        <w:rPr>
          <w:rFonts w:ascii="Arial" w:cs="Arial" w:eastAsia="Arial" w:hAnsi="Arial"/>
          <w:sz w:val="18"/>
          <w:szCs w:val="18"/>
          <w:color w:val="auto"/>
        </w:rPr>
        <w:t>Amounts in this column and in the column immediately to the right to be adjusted by the counterparties to take into account any payments or prepayments made between the Trade Date and the Effective Date.</w:t>
      </w:r>
    </w:p>
    <w:p>
      <w:pPr>
        <w:ind w:left="220" w:hanging="212"/>
        <w:spacing w:after="0" w:line="222" w:lineRule="auto"/>
        <w:tabs>
          <w:tab w:leader="none" w:pos="220" w:val="left"/>
        </w:tabs>
        <w:numPr>
          <w:ilvl w:val="0"/>
          <w:numId w:val="189"/>
        </w:numPr>
        <w:rPr>
          <w:rFonts w:ascii="Arial" w:cs="Arial" w:eastAsia="Arial" w:hAnsi="Arial"/>
          <w:sz w:val="22"/>
          <w:szCs w:val="22"/>
          <w:color w:val="auto"/>
          <w:vertAlign w:val="superscript"/>
        </w:rPr>
      </w:pPr>
      <w:r>
        <w:rPr>
          <w:rFonts w:ascii="Arial" w:cs="Arial" w:eastAsia="Arial" w:hAnsi="Arial"/>
          <w:sz w:val="18"/>
          <w:szCs w:val="18"/>
          <w:color w:val="auto"/>
        </w:rPr>
        <w:t>Set forth, to at least 9 decimals, as a percentage of the Commitment/Loans of all Lenders thereunder.</w:t>
      </w:r>
    </w:p>
    <w:p>
      <w:pPr>
        <w:spacing w:after="0" w:line="8" w:lineRule="exact"/>
        <w:rPr>
          <w:rFonts w:ascii="Arial" w:cs="Arial" w:eastAsia="Arial" w:hAnsi="Arial"/>
          <w:sz w:val="22"/>
          <w:szCs w:val="22"/>
          <w:color w:val="auto"/>
          <w:vertAlign w:val="superscript"/>
        </w:rPr>
      </w:pPr>
    </w:p>
    <w:p>
      <w:pPr>
        <w:ind w:left="220" w:hanging="212"/>
        <w:spacing w:after="0" w:line="197" w:lineRule="auto"/>
        <w:tabs>
          <w:tab w:leader="none" w:pos="220" w:val="left"/>
        </w:tabs>
        <w:numPr>
          <w:ilvl w:val="0"/>
          <w:numId w:val="189"/>
        </w:numPr>
        <w:rPr>
          <w:rFonts w:ascii="Arial" w:cs="Arial" w:eastAsia="Arial" w:hAnsi="Arial"/>
          <w:sz w:val="22"/>
          <w:szCs w:val="22"/>
          <w:color w:val="auto"/>
          <w:vertAlign w:val="superscript"/>
        </w:rPr>
      </w:pPr>
      <w:r>
        <w:rPr>
          <w:rFonts w:ascii="Arial" w:cs="Arial" w:eastAsia="Arial" w:hAnsi="Arial"/>
          <w:sz w:val="18"/>
          <w:szCs w:val="18"/>
          <w:color w:val="auto"/>
        </w:rPr>
        <w:t>To be completed if the Assignor and the Assignee intend that the minimum assignment amount is to be determined as of the Trade Date.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Assignment and Assumption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D-1 - 3</w:t>
      </w:r>
    </w:p>
    <w:p>
      <w:pPr>
        <w:sectPr>
          <w:pgSz w:w="11900" w:h="16838" w:orient="portrait"/>
          <w:cols w:equalWidth="0" w:num="1">
            <w:col w:w="11420"/>
          </w:cols>
          <w:pgMar w:left="240" w:top="280" w:right="23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[Consented to and]</w:t>
      </w:r>
      <w:r>
        <w:rPr>
          <w:rFonts w:ascii="Arial" w:cs="Arial" w:eastAsia="Arial" w:hAnsi="Arial"/>
          <w:sz w:val="11"/>
          <w:szCs w:val="11"/>
          <w:color w:val="auto"/>
        </w:rPr>
        <w:t>12</w:t>
      </w:r>
      <w:r>
        <w:rPr>
          <w:rFonts w:ascii="Arial" w:cs="Arial" w:eastAsia="Arial" w:hAnsi="Arial"/>
          <w:sz w:val="18"/>
          <w:szCs w:val="18"/>
          <w:color w:val="auto"/>
        </w:rPr>
        <w:t xml:space="preserve">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11"/>
          <w:szCs w:val="11"/>
          <w:color w:val="auto"/>
        </w:rPr>
        <w:t>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89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8" w:lineRule="exact"/>
        <w:rPr>
          <w:sz w:val="20"/>
          <w:szCs w:val="20"/>
          <w:color w:val="auto"/>
        </w:rPr>
      </w:pPr>
    </w:p>
    <w:p>
      <w:pPr>
        <w:ind w:left="220" w:hanging="212"/>
        <w:spacing w:after="0"/>
        <w:tabs>
          <w:tab w:leader="none" w:pos="220" w:val="left"/>
        </w:tabs>
        <w:numPr>
          <w:ilvl w:val="0"/>
          <w:numId w:val="190"/>
        </w:numPr>
        <w:rPr>
          <w:rFonts w:ascii="Arial" w:cs="Arial" w:eastAsia="Arial" w:hAnsi="Arial"/>
          <w:sz w:val="22"/>
          <w:szCs w:val="22"/>
          <w:color w:val="auto"/>
          <w:vertAlign w:val="superscript"/>
        </w:rPr>
      </w:pPr>
      <w:r>
        <w:rPr>
          <w:rFonts w:ascii="Arial" w:cs="Arial" w:eastAsia="Arial" w:hAnsi="Arial"/>
          <w:sz w:val="18"/>
          <w:szCs w:val="18"/>
          <w:color w:val="auto"/>
        </w:rPr>
        <w:t>To be added only if the consent of the Administrative Agent is required by the terms of the Credit Agreement.</w:t>
      </w:r>
    </w:p>
    <w:p>
      <w:pPr>
        <w:spacing w:after="0" w:line="7" w:lineRule="exact"/>
        <w:rPr>
          <w:rFonts w:ascii="Arial" w:cs="Arial" w:eastAsia="Arial" w:hAnsi="Arial"/>
          <w:sz w:val="22"/>
          <w:szCs w:val="22"/>
          <w:color w:val="auto"/>
          <w:vertAlign w:val="superscript"/>
        </w:rPr>
      </w:pPr>
    </w:p>
    <w:p>
      <w:pPr>
        <w:ind w:left="220" w:hanging="212"/>
        <w:spacing w:after="0" w:line="228" w:lineRule="auto"/>
        <w:tabs>
          <w:tab w:leader="none" w:pos="220" w:val="left"/>
        </w:tabs>
        <w:numPr>
          <w:ilvl w:val="0"/>
          <w:numId w:val="190"/>
        </w:numPr>
        <w:rPr>
          <w:rFonts w:ascii="Arial" w:cs="Arial" w:eastAsia="Arial" w:hAnsi="Arial"/>
          <w:sz w:val="19"/>
          <w:szCs w:val="19"/>
          <w:color w:val="auto"/>
          <w:vertAlign w:val="superscript"/>
        </w:rPr>
      </w:pPr>
      <w:r>
        <w:rPr>
          <w:rFonts w:ascii="Arial" w:cs="Arial" w:eastAsia="Arial" w:hAnsi="Arial"/>
          <w:sz w:val="15"/>
          <w:szCs w:val="15"/>
          <w:color w:val="auto"/>
        </w:rPr>
        <w:t>To be added only if the consent of the Borrower and/or other parties (e.g. Swing Line Lender, L/C Issuer) is required by the terms of the Credit Agreement.</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Form of Assignment and Assumption</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D-1 - 4</w:t>
      </w:r>
    </w:p>
    <w:p>
      <w:pPr>
        <w:sectPr>
          <w:pgSz w:w="11900" w:h="16838" w:orient="portrait"/>
          <w:cols w:equalWidth="0" w:num="1">
            <w:col w:w="11120"/>
          </w:cols>
          <w:pgMar w:left="240" w:top="280" w:right="5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1 TO ASSIGNMENT AND ASSUMPTION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15" w:lineRule="exact"/>
        <w:rPr>
          <w:sz w:val="20"/>
          <w:szCs w:val="20"/>
          <w:color w:val="auto"/>
        </w:rPr>
      </w:pPr>
    </w:p>
    <w:p>
      <w:pPr>
        <w:ind w:left="1100" w:hanging="179"/>
        <w:spacing w:after="0"/>
        <w:tabs>
          <w:tab w:leader="none" w:pos="110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[The][Each] Assignor (a) represents and warrants that (i) it is the legal and beneficial owner of [the][[the relevant] Assigned Interest,</w:t>
      </w:r>
    </w:p>
    <w:p>
      <w:pPr>
        <w:spacing w:after="0" w:line="38" w:lineRule="exact"/>
        <w:rPr>
          <w:sz w:val="20"/>
          <w:szCs w:val="20"/>
          <w:color w:val="auto"/>
        </w:rPr>
      </w:pPr>
    </w:p>
    <w:p>
      <w:pPr>
        <w:ind w:right="40" w:firstLine="8"/>
        <w:spacing w:after="0" w:line="290" w:lineRule="auto"/>
        <w:tabs>
          <w:tab w:leader="none" w:pos="258"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[the][such]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18"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w:t>
      </w:r>
      <w:r>
        <w:rPr>
          <w:rFonts w:ascii="Arial" w:cs="Arial" w:eastAsia="Arial" w:hAnsi="Arial"/>
          <w:sz w:val="16"/>
          <w:szCs w:val="16"/>
          <w:u w:val="single" w:color="auto"/>
          <w:color w:val="auto"/>
        </w:rPr>
        <w:t>Section 11.06(b)(iii)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of the Credit Agreement (subject to such consents, if any, as may be required under </w:t>
      </w:r>
      <w:r>
        <w:rPr>
          <w:rFonts w:ascii="Arial" w:cs="Arial" w:eastAsia="Arial" w:hAnsi="Arial"/>
          <w:sz w:val="16"/>
          <w:szCs w:val="16"/>
          <w:u w:val="single" w:color="auto"/>
          <w:color w:val="auto"/>
        </w:rPr>
        <w:t>Section 11.06(b)(iii)</w:t>
      </w:r>
      <w:r>
        <w:rPr>
          <w:rFonts w:ascii="Arial" w:cs="Arial" w:eastAsia="Arial" w:hAnsi="Arial"/>
          <w:sz w:val="16"/>
          <w:szCs w:val="16"/>
          <w:color w:val="auto"/>
        </w:rPr>
        <w:t xml:space="preserve"> of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Credit Agreement, and has received or has been accorded the opportunity to receive copies of the most recent financial statements delivered pursuant to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if it is a Foreign Lender, attached hereto is any documentation required to be delivered by it pursuant to the terms of the Credit Agreement, duly completed and executed by [the][such] Assignee; and (b) agrees that (i) it will, independently and without reliance upon the Administrative Agent, [the][any] Assignor or any other Lender, and based on such documents and information as it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Assignment and Assumption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D-1 - 5</w:t>
      </w:r>
    </w:p>
    <w:p>
      <w:pPr>
        <w:sectPr>
          <w:pgSz w:w="11900" w:h="16838" w:orient="portrait"/>
          <w:cols w:equalWidth="0" w:num="1">
            <w:col w:w="11420"/>
          </w:cols>
          <w:pgMar w:left="240" w:top="280" w:right="239" w:bottom="1440" w:gutter="0" w:footer="0" w:header="0"/>
        </w:sectPr>
      </w:pPr>
    </w:p>
    <w:bookmarkStart w:id="211" w:name="page212"/>
    <w:bookmarkEnd w:id="211"/>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85" w:lineRule="exact"/>
        <w:rPr>
          <w:sz w:val="20"/>
          <w:szCs w:val="20"/>
          <w:color w:val="auto"/>
        </w:rPr>
      </w:pPr>
    </w:p>
    <w:p>
      <w:pPr>
        <w:ind w:right="100" w:firstLine="921"/>
        <w:spacing w:after="0" w:line="306" w:lineRule="auto"/>
        <w:tabs>
          <w:tab w:leader="none" w:pos="1088"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w:t>
      </w:r>
    </w:p>
    <w:p>
      <w:pPr>
        <w:spacing w:after="0" w:line="106" w:lineRule="exact"/>
        <w:rPr>
          <w:rFonts w:ascii="Arial" w:cs="Arial" w:eastAsia="Arial" w:hAnsi="Arial"/>
          <w:sz w:val="16"/>
          <w:szCs w:val="16"/>
          <w:color w:val="auto"/>
        </w:rPr>
      </w:pPr>
    </w:p>
    <w:p>
      <w:pPr>
        <w:ind w:firstLine="921"/>
        <w:spacing w:after="0" w:line="255" w:lineRule="auto"/>
        <w:tabs>
          <w:tab w:leader="none" w:pos="1088"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 without regard to principles of conflicts of Laws.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Assignment and Assumption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D-1 - 6</w:t>
      </w:r>
    </w:p>
    <w:p>
      <w:pPr>
        <w:sectPr>
          <w:pgSz w:w="11900" w:h="16838" w:orient="portrait"/>
          <w:cols w:equalWidth="0" w:num="1">
            <w:col w:w="11400"/>
          </w:cols>
          <w:pgMar w:left="240" w:top="280" w:right="25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D-2</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FORM OF ADMINISTRATIVE QUESTIONNAIRE</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[See attached]</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 of Administrative Questionnaire</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D-2 - 1</w:t>
      </w:r>
    </w:p>
    <w:p>
      <w:pPr>
        <w:sectPr>
          <w:pgSz w:w="11900" w:h="16838" w:orient="portrait"/>
          <w:cols w:equalWidth="0" w:num="1">
            <w:col w:w="10220"/>
          </w:cols>
          <w:pgMar w:left="1440" w:top="280" w:right="239" w:bottom="1440" w:gutter="0" w:footer="0" w:header="0"/>
        </w:sectPr>
      </w:pPr>
    </w:p>
    <w:bookmarkStart w:id="213" w:name="page214"/>
    <w:bookmarkEnd w:id="213"/>
    <w:p>
      <w:pPr>
        <w:ind w:left="406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ADMINISTRATIVE DETAILS REPLY FORM – US DOLLAR ONLY</w:t>
      </w:r>
    </w:p>
    <w:p>
      <w:pPr>
        <w:spacing w:after="0" w:line="171" w:lineRule="exact"/>
        <w:rPr>
          <w:sz w:val="20"/>
          <w:szCs w:val="20"/>
          <w:color w:val="auto"/>
        </w:rPr>
      </w:pPr>
    </w:p>
    <w:p>
      <w:pPr>
        <w:ind w:left="9640"/>
        <w:spacing w:after="0"/>
        <w:rPr>
          <w:sz w:val="20"/>
          <w:szCs w:val="20"/>
          <w:color w:val="auto"/>
        </w:rPr>
      </w:pPr>
      <w:r>
        <w:rPr>
          <w:rFonts w:ascii="Arial" w:cs="Arial" w:eastAsia="Arial" w:hAnsi="Arial"/>
          <w:sz w:val="22"/>
          <w:szCs w:val="22"/>
          <w:b w:val="1"/>
          <w:b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74295</wp:posOffset>
            </wp:positionV>
            <wp:extent cx="7023735" cy="26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02373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FAX ALONG WITH COMMITMENT LETTER TO:</w:t>
            </w:r>
          </w:p>
        </w:tc>
        <w:tc>
          <w:tcPr>
            <w:tcW w:w="200" w:type="dxa"/>
            <w:vAlign w:val="bottom"/>
            <w:tcBorders>
              <w:bottom w:val="single" w:sz="8" w:color="auto"/>
            </w:tcBorders>
          </w:tcPr>
          <w:p>
            <w:pPr>
              <w:spacing w:after="0"/>
              <w:rPr>
                <w:sz w:val="19"/>
                <w:szCs w:val="19"/>
                <w:color w:val="auto"/>
              </w:rPr>
            </w:pPr>
          </w:p>
        </w:tc>
        <w:tc>
          <w:tcPr>
            <w:tcW w:w="6640" w:type="dxa"/>
            <w:vAlign w:val="bottom"/>
            <w:tcBorders>
              <w:bottom w:val="single" w:sz="8" w:color="auto"/>
            </w:tcBorders>
            <w:gridSpan w:val="4"/>
          </w:tcPr>
          <w:p>
            <w:pPr>
              <w:jc w:val="center"/>
              <w:ind w:right="5320"/>
              <w:spacing w:after="0"/>
              <w:rPr>
                <w:sz w:val="20"/>
                <w:szCs w:val="20"/>
                <w:color w:val="auto"/>
              </w:rPr>
            </w:pPr>
            <w:r>
              <w:rPr>
                <w:rFonts w:ascii="Arial" w:cs="Arial" w:eastAsia="Arial" w:hAnsi="Arial"/>
                <w:sz w:val="18"/>
                <w:szCs w:val="18"/>
                <w:color w:val="auto"/>
                <w:w w:val="97"/>
              </w:rPr>
              <w:t>Bridgett Manduk</w:t>
            </w:r>
          </w:p>
        </w:tc>
      </w:tr>
      <w:tr>
        <w:trPr>
          <w:trHeight w:val="399"/>
        </w:trPr>
        <w:tc>
          <w:tcPr>
            <w:tcW w:w="2080" w:type="dxa"/>
            <w:vAlign w:val="bottom"/>
          </w:tcPr>
          <w:p>
            <w:pPr>
              <w:spacing w:after="0"/>
              <w:rPr>
                <w:sz w:val="24"/>
                <w:szCs w:val="24"/>
                <w:color w:val="auto"/>
              </w:rPr>
            </w:pPr>
          </w:p>
        </w:tc>
        <w:tc>
          <w:tcPr>
            <w:tcW w:w="2700" w:type="dxa"/>
            <w:vAlign w:val="bottom"/>
            <w:gridSpan w:val="2"/>
          </w:tcPr>
          <w:p>
            <w:pPr>
              <w:ind w:left="2200"/>
              <w:spacing w:after="0"/>
              <w:rPr>
                <w:sz w:val="20"/>
                <w:szCs w:val="20"/>
                <w:color w:val="auto"/>
              </w:rPr>
            </w:pPr>
            <w:r>
              <w:rPr>
                <w:rFonts w:ascii="Arial" w:cs="Arial" w:eastAsia="Arial" w:hAnsi="Arial"/>
                <w:sz w:val="18"/>
                <w:szCs w:val="18"/>
                <w:color w:val="auto"/>
                <w:w w:val="95"/>
              </w:rPr>
              <w:t>FAX #</w:t>
            </w:r>
          </w:p>
        </w:tc>
        <w:tc>
          <w:tcPr>
            <w:tcW w:w="40" w:type="dxa"/>
            <w:vAlign w:val="bottom"/>
          </w:tcPr>
          <w:p>
            <w:pPr>
              <w:spacing w:after="0"/>
              <w:rPr>
                <w:sz w:val="24"/>
                <w:szCs w:val="24"/>
                <w:color w:val="auto"/>
              </w:rPr>
            </w:pPr>
          </w:p>
        </w:tc>
        <w:tc>
          <w:tcPr>
            <w:tcW w:w="3540" w:type="dxa"/>
            <w:vAlign w:val="bottom"/>
            <w:tcBorders>
              <w:bottom w:val="single" w:sz="8" w:color="auto"/>
            </w:tcBorders>
            <w:gridSpan w:val="2"/>
          </w:tcPr>
          <w:p>
            <w:pPr>
              <w:jc w:val="right"/>
              <w:ind w:right="2272"/>
              <w:spacing w:after="0"/>
              <w:rPr>
                <w:sz w:val="20"/>
                <w:szCs w:val="20"/>
                <w:color w:val="auto"/>
              </w:rPr>
            </w:pPr>
            <w:r>
              <w:rPr>
                <w:rFonts w:ascii="Arial" w:cs="Arial" w:eastAsia="Arial" w:hAnsi="Arial"/>
                <w:sz w:val="18"/>
                <w:szCs w:val="18"/>
                <w:color w:val="auto"/>
              </w:rPr>
              <w:t>415.503.5011</w:t>
            </w:r>
          </w:p>
        </w:tc>
        <w:tc>
          <w:tcPr>
            <w:tcW w:w="3060" w:type="dxa"/>
            <w:vAlign w:val="bottom"/>
            <w:tcBorders>
              <w:bottom w:val="single" w:sz="8" w:color="auto"/>
            </w:tcBorders>
          </w:tcPr>
          <w:p>
            <w:pPr>
              <w:spacing w:after="0"/>
              <w:rPr>
                <w:sz w:val="24"/>
                <w:szCs w:val="24"/>
                <w:color w:val="auto"/>
              </w:rPr>
            </w:pPr>
          </w:p>
        </w:tc>
      </w:tr>
      <w:tr>
        <w:trPr>
          <w:trHeight w:val="410"/>
        </w:trPr>
        <w:tc>
          <w:tcPr>
            <w:tcW w:w="2080" w:type="dxa"/>
            <w:vAlign w:val="bottom"/>
          </w:tcPr>
          <w:p>
            <w:pPr>
              <w:spacing w:after="0"/>
              <w:rPr>
                <w:sz w:val="20"/>
                <w:szCs w:val="20"/>
                <w:color w:val="auto"/>
              </w:rPr>
            </w:pPr>
            <w:r>
              <w:rPr>
                <w:rFonts w:ascii="Arial" w:cs="Arial" w:eastAsia="Arial" w:hAnsi="Arial"/>
                <w:sz w:val="18"/>
                <w:szCs w:val="18"/>
                <w:b w:val="1"/>
                <w:bCs w:val="1"/>
                <w:color w:val="auto"/>
              </w:rPr>
              <w:t>I. Borrowers Name:</w:t>
            </w:r>
          </w:p>
        </w:tc>
        <w:tc>
          <w:tcPr>
            <w:tcW w:w="9340" w:type="dxa"/>
            <w:vAlign w:val="bottom"/>
            <w:gridSpan w:val="6"/>
          </w:tcPr>
          <w:p>
            <w:pPr>
              <w:spacing w:after="0"/>
              <w:rPr>
                <w:sz w:val="20"/>
                <w:szCs w:val="20"/>
                <w:color w:val="auto"/>
              </w:rPr>
            </w:pPr>
            <w:r>
              <w:rPr>
                <w:rFonts w:ascii="Arial" w:cs="Arial" w:eastAsia="Arial" w:hAnsi="Arial"/>
                <w:sz w:val="18"/>
                <w:szCs w:val="18"/>
                <w:b w:val="1"/>
                <w:bCs w:val="1"/>
                <w:color w:val="auto"/>
              </w:rPr>
              <w:t>Plains Marketing, L.P. and Plains Midstream Canada ULC</w:t>
            </w:r>
          </w:p>
        </w:tc>
      </w:tr>
      <w:tr>
        <w:trPr>
          <w:trHeight w:val="394"/>
        </w:trPr>
        <w:tc>
          <w:tcPr>
            <w:tcW w:w="2080" w:type="dxa"/>
            <w:vAlign w:val="bottom"/>
          </w:tcPr>
          <w:p>
            <w:pPr>
              <w:spacing w:after="0"/>
              <w:rPr>
                <w:sz w:val="24"/>
                <w:szCs w:val="24"/>
                <w:color w:val="auto"/>
              </w:rPr>
            </w:pPr>
          </w:p>
        </w:tc>
        <w:tc>
          <w:tcPr>
            <w:tcW w:w="2500" w:type="dxa"/>
            <w:vAlign w:val="bottom"/>
          </w:tcPr>
          <w:p>
            <w:pPr>
              <w:jc w:val="right"/>
              <w:ind w:right="972"/>
              <w:spacing w:after="0"/>
              <w:rPr>
                <w:sz w:val="20"/>
                <w:szCs w:val="20"/>
                <w:color w:val="auto"/>
              </w:rPr>
            </w:pPr>
            <w:r>
              <w:rPr>
                <w:rFonts w:ascii="Arial" w:cs="Arial" w:eastAsia="Arial" w:hAnsi="Arial"/>
                <w:sz w:val="18"/>
                <w:szCs w:val="18"/>
                <w:color w:val="auto"/>
              </w:rPr>
              <w:t>$1,400,000,000</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140" w:type="dxa"/>
            <w:vAlign w:val="bottom"/>
            <w:gridSpan w:val="2"/>
          </w:tcPr>
          <w:p>
            <w:pPr>
              <w:ind w:left="1280"/>
              <w:spacing w:after="0"/>
              <w:rPr>
                <w:sz w:val="20"/>
                <w:szCs w:val="20"/>
                <w:color w:val="auto"/>
              </w:rPr>
            </w:pPr>
            <w:r>
              <w:rPr>
                <w:rFonts w:ascii="Arial" w:cs="Arial" w:eastAsia="Arial" w:hAnsi="Arial"/>
                <w:sz w:val="18"/>
                <w:szCs w:val="18"/>
                <w:color w:val="auto"/>
              </w:rPr>
              <w:t>Type of Credit Facility    Revolving Credit Facility</w:t>
            </w:r>
          </w:p>
        </w:tc>
      </w:tr>
      <w:tr>
        <w:trPr>
          <w:trHeight w:val="20"/>
        </w:trPr>
        <w:tc>
          <w:tcPr>
            <w:tcW w:w="208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Legal Name of Lender of Record for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2466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3380" w:type="dxa"/>
            <w:vAlign w:val="bottom"/>
          </w:tcPr>
          <w:p>
            <w:pPr>
              <w:ind w:left="120"/>
              <w:spacing w:after="0"/>
              <w:rPr>
                <w:sz w:val="20"/>
                <w:szCs w:val="20"/>
                <w:color w:val="auto"/>
              </w:rPr>
            </w:pPr>
            <w:r>
              <w:rPr>
                <w:rFonts w:ascii="Arial" w:cs="Arial" w:eastAsia="Arial" w:hAnsi="Arial"/>
                <w:sz w:val="18"/>
                <w:szCs w:val="18"/>
                <w:b w:val="1"/>
                <w:bCs w:val="1"/>
                <w:color w:val="auto"/>
              </w:rPr>
              <w:t>Signing Credit Agreement</w:t>
            </w:r>
          </w:p>
        </w:tc>
        <w:tc>
          <w:tcPr>
            <w:tcW w:w="440" w:type="dxa"/>
            <w:vAlign w:val="bottom"/>
            <w:tcBorders>
              <w:bottom w:val="single" w:sz="8" w:color="auto"/>
            </w:tcBorders>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8"/>
                <w:szCs w:val="18"/>
                <w:b w:val="1"/>
                <w:bCs w:val="1"/>
                <w:color w:val="auto"/>
              </w:rPr>
              <w:t>YES</w:t>
            </w:r>
          </w:p>
        </w:tc>
        <w:tc>
          <w:tcPr>
            <w:tcW w:w="460" w:type="dxa"/>
            <w:vAlign w:val="bottom"/>
            <w:tcBorders>
              <w:bottom w:val="single" w:sz="8" w:color="auto"/>
            </w:tcBorders>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b w:val="1"/>
                <w:bCs w:val="1"/>
                <w:color w:val="auto"/>
                <w:w w:val="88"/>
              </w:rPr>
              <w:t>NO</w:t>
            </w:r>
          </w:p>
        </w:tc>
      </w:tr>
      <w:tr>
        <w:trPr>
          <w:trHeight w:val="183"/>
        </w:trPr>
        <w:tc>
          <w:tcPr>
            <w:tcW w:w="180" w:type="dxa"/>
            <w:vAlign w:val="bottom"/>
          </w:tcPr>
          <w:p>
            <w:pPr>
              <w:spacing w:after="0" w:line="182" w:lineRule="exact"/>
              <w:rPr>
                <w:sz w:val="20"/>
                <w:szCs w:val="20"/>
                <w:color w:val="auto"/>
              </w:rPr>
            </w:pPr>
            <w:r>
              <w:rPr>
                <w:rFonts w:ascii="Arial" w:cs="Arial" w:eastAsia="Arial" w:hAnsi="Arial"/>
                <w:sz w:val="18"/>
                <w:szCs w:val="18"/>
                <w:b w:val="1"/>
                <w:bCs w:val="1"/>
                <w:color w:val="auto"/>
              </w:rPr>
              <w:t>•</w:t>
            </w:r>
          </w:p>
        </w:tc>
        <w:tc>
          <w:tcPr>
            <w:tcW w:w="3380" w:type="dxa"/>
            <w:vAlign w:val="bottom"/>
          </w:tcPr>
          <w:p>
            <w:pPr>
              <w:ind w:left="120"/>
              <w:spacing w:after="0" w:line="182" w:lineRule="exact"/>
              <w:rPr>
                <w:sz w:val="20"/>
                <w:szCs w:val="20"/>
                <w:color w:val="auto"/>
              </w:rPr>
            </w:pPr>
            <w:r>
              <w:rPr>
                <w:rFonts w:ascii="Arial" w:cs="Arial" w:eastAsia="Arial" w:hAnsi="Arial"/>
                <w:sz w:val="18"/>
                <w:szCs w:val="18"/>
                <w:b w:val="1"/>
                <w:bCs w:val="1"/>
                <w:color w:val="auto"/>
              </w:rPr>
              <w:t>Coming in via Assignment</w:t>
            </w:r>
          </w:p>
        </w:tc>
        <w:tc>
          <w:tcPr>
            <w:tcW w:w="440" w:type="dxa"/>
            <w:vAlign w:val="bottom"/>
            <w:tcBorders>
              <w:bottom w:val="single" w:sz="8" w:color="auto"/>
            </w:tcBorders>
          </w:tcPr>
          <w:p>
            <w:pPr>
              <w:spacing w:after="0"/>
              <w:rPr>
                <w:sz w:val="15"/>
                <w:szCs w:val="15"/>
                <w:color w:val="auto"/>
              </w:rPr>
            </w:pPr>
          </w:p>
        </w:tc>
        <w:tc>
          <w:tcPr>
            <w:tcW w:w="580" w:type="dxa"/>
            <w:vAlign w:val="bottom"/>
          </w:tcPr>
          <w:p>
            <w:pPr>
              <w:ind w:left="120"/>
              <w:spacing w:after="0" w:line="182" w:lineRule="exact"/>
              <w:rPr>
                <w:sz w:val="20"/>
                <w:szCs w:val="20"/>
                <w:color w:val="auto"/>
              </w:rPr>
            </w:pPr>
            <w:r>
              <w:rPr>
                <w:rFonts w:ascii="Arial" w:cs="Arial" w:eastAsia="Arial" w:hAnsi="Arial"/>
                <w:sz w:val="18"/>
                <w:szCs w:val="18"/>
                <w:b w:val="1"/>
                <w:bCs w:val="1"/>
                <w:color w:val="auto"/>
              </w:rPr>
              <w:t>YES</w:t>
            </w:r>
          </w:p>
        </w:tc>
        <w:tc>
          <w:tcPr>
            <w:tcW w:w="460" w:type="dxa"/>
            <w:vAlign w:val="bottom"/>
            <w:tcBorders>
              <w:bottom w:val="single" w:sz="8" w:color="auto"/>
            </w:tcBorders>
          </w:tcPr>
          <w:p>
            <w:pPr>
              <w:spacing w:after="0"/>
              <w:rPr>
                <w:sz w:val="15"/>
                <w:szCs w:val="15"/>
                <w:color w:val="auto"/>
              </w:rPr>
            </w:pPr>
          </w:p>
        </w:tc>
        <w:tc>
          <w:tcPr>
            <w:tcW w:w="360" w:type="dxa"/>
            <w:vAlign w:val="bottom"/>
          </w:tcPr>
          <w:p>
            <w:pPr>
              <w:ind w:left="100"/>
              <w:spacing w:after="0" w:line="182" w:lineRule="exact"/>
              <w:rPr>
                <w:sz w:val="20"/>
                <w:szCs w:val="20"/>
                <w:color w:val="auto"/>
              </w:rPr>
            </w:pPr>
            <w:r>
              <w:rPr>
                <w:rFonts w:ascii="Arial" w:cs="Arial" w:eastAsia="Arial" w:hAnsi="Arial"/>
                <w:sz w:val="18"/>
                <w:szCs w:val="18"/>
                <w:b w:val="1"/>
                <w:bCs w:val="1"/>
                <w:color w:val="auto"/>
                <w:w w:val="88"/>
              </w:rPr>
              <w:t>NO</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Type of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8890</wp:posOffset>
            </wp:positionV>
            <wp:extent cx="608012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6" w:lineRule="exact"/>
        <w:rPr>
          <w:sz w:val="20"/>
          <w:szCs w:val="20"/>
          <w:color w:val="auto"/>
        </w:rPr>
      </w:pPr>
    </w:p>
    <w:p>
      <w:pPr>
        <w:ind w:right="840"/>
        <w:spacing w:after="0" w:line="245" w:lineRule="auto"/>
        <w:rPr>
          <w:sz w:val="20"/>
          <w:szCs w:val="20"/>
          <w:color w:val="auto"/>
        </w:rPr>
      </w:pPr>
      <w:r>
        <w:rPr>
          <w:rFonts w:ascii="Arial" w:cs="Arial" w:eastAsia="Arial" w:hAnsi="Arial"/>
          <w:sz w:val="18"/>
          <w:szCs w:val="18"/>
          <w:b w:val="1"/>
          <w:bCs w:val="1"/>
          <w:color w:val="auto"/>
        </w:rPr>
        <w:t>(Bank, Asset Manager, Broker/Dealer, CLO/CDO, Finance Company, Hedge Fund, Insurance, Mutual Fund, Pension Fund, Other Regulated Investment Fund, Special Purpose Vehicle, Other – please specify)</w:t>
      </w:r>
    </w:p>
    <w:p>
      <w:pPr>
        <w:sectPr>
          <w:pgSz w:w="11900" w:h="16838" w:orient="portrait"/>
          <w:cols w:equalWidth="0" w:num="1">
            <w:col w:w="11420"/>
          </w:cols>
          <w:pgMar w:left="240" w:top="322" w:right="239" w:bottom="1440" w:gutter="0" w:footer="0" w:header="0"/>
        </w:sectPr>
      </w:pP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Domestic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935355</wp:posOffset>
            </wp:positionV>
            <wp:extent cx="348170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4817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703580</wp:posOffset>
            </wp:positionV>
            <wp:extent cx="348170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817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472440</wp:posOffset>
            </wp:positionV>
            <wp:extent cx="348170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817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348170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VI. </w:t>
      </w:r>
      <w:r>
        <w:rPr>
          <w:rFonts w:ascii="Arial" w:cs="Arial" w:eastAsia="Arial" w:hAnsi="Arial"/>
          <w:sz w:val="16"/>
          <w:szCs w:val="16"/>
          <w:b w:val="1"/>
          <w:bCs w:val="1"/>
          <w:color w:val="auto"/>
        </w:rPr>
        <w:t>Contact Information:</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3700"/>
        <w:spacing w:after="0"/>
        <w:rPr>
          <w:sz w:val="20"/>
          <w:szCs w:val="20"/>
          <w:color w:val="auto"/>
        </w:rPr>
      </w:pPr>
      <w:r>
        <w:rPr>
          <w:rFonts w:ascii="Arial" w:cs="Arial" w:eastAsia="Arial" w:hAnsi="Arial"/>
          <w:sz w:val="16"/>
          <w:szCs w:val="16"/>
          <w:b w:val="1"/>
          <w:bCs w:val="1"/>
          <w:color w:val="auto"/>
        </w:rPr>
        <w:t>V. Eurodollar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949960</wp:posOffset>
            </wp:positionV>
            <wp:extent cx="361886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718185</wp:posOffset>
            </wp:positionV>
            <wp:extent cx="361886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487045</wp:posOffset>
            </wp:positionV>
            <wp:extent cx="361886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255270</wp:posOffset>
            </wp:positionV>
            <wp:extent cx="361886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19" w:lineRule="exact"/>
        <w:rPr>
          <w:sz w:val="20"/>
          <w:szCs w:val="20"/>
          <w:color w:val="auto"/>
        </w:rPr>
      </w:pPr>
    </w:p>
    <w:p>
      <w:pPr>
        <w:sectPr>
          <w:pgSz w:w="11900" w:h="16838" w:orient="portrait"/>
          <w:cols w:equalWidth="0" w:num="2">
            <w:col w:w="5100" w:space="720"/>
            <w:col w:w="5600"/>
          </w:cols>
          <w:pgMar w:left="240" w:top="322" w:right="239" w:bottom="1440" w:gutter="0" w:footer="0" w:header="0"/>
          <w:type w:val="continuous"/>
        </w:sectPr>
      </w:pPr>
    </w:p>
    <w:p>
      <w:pPr>
        <w:ind w:right="180"/>
        <w:spacing w:after="0" w:line="244" w:lineRule="auto"/>
        <w:rPr>
          <w:sz w:val="20"/>
          <w:szCs w:val="20"/>
          <w:color w:val="auto"/>
        </w:rPr>
      </w:pPr>
      <w:r>
        <w:rPr>
          <w:rFonts w:ascii="Arial" w:cs="Arial" w:eastAsia="Arial" w:hAnsi="Arial"/>
          <w:sz w:val="18"/>
          <w:szCs w:val="18"/>
          <w:b w:val="1"/>
          <w:bCs w:val="1"/>
          <w:i w:val="1"/>
          <w:iCs w:val="1"/>
          <w:color w:val="auto"/>
        </w:rPr>
        <w:t>Syndicate level information (which may contain material non-public information about the Borrower and its related parties or their respective securities will be made available to the Credit Contact(s). The Credit Contacts identified must be able to receive such information in accordance with his/her institution’s compliance procedures and applicable laws, including Federal and State securities laws.</w:t>
      </w:r>
    </w:p>
    <w:p>
      <w:pPr>
        <w:spacing w:after="0" w:line="165" w:lineRule="exact"/>
        <w:rPr>
          <w:sz w:val="20"/>
          <w:szCs w:val="20"/>
          <w:color w:val="auto"/>
        </w:rPr>
      </w:pPr>
    </w:p>
    <w:tbl>
      <w:tblPr>
        <w:tblLayout w:type="fixed"/>
        <w:tblInd w:w="3020" w:type="dxa"/>
        <w:tblCellMar>
          <w:top w:w="0" w:type="dxa"/>
          <w:left w:w="0" w:type="dxa"/>
          <w:bottom w:w="0" w:type="dxa"/>
          <w:right w:w="0" w:type="dxa"/>
        </w:tblCellMar>
      </w:tblPr>
      <w:tr>
        <w:trPr>
          <w:trHeight w:val="207"/>
        </w:trPr>
        <w:tc>
          <w:tcPr>
            <w:tcW w:w="1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16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95"/>
              </w:rPr>
              <w:t>Primary</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7"/>
              </w:rPr>
              <w:t>Secondary</w:t>
            </w:r>
          </w:p>
        </w:tc>
      </w:tr>
      <w:tr>
        <w:trPr>
          <w:trHeight w:val="201"/>
        </w:trPr>
        <w:tc>
          <w:tcPr>
            <w:tcW w:w="1220" w:type="dxa"/>
            <w:vAlign w:val="bottom"/>
            <w:tcBorders>
              <w:bottom w:val="single" w:sz="8" w:color="auto"/>
            </w:tcBorders>
          </w:tcPr>
          <w:p>
            <w:pPr>
              <w:spacing w:after="0" w:line="175" w:lineRule="exact"/>
              <w:rPr>
                <w:sz w:val="20"/>
                <w:szCs w:val="20"/>
                <w:color w:val="auto"/>
              </w:rPr>
            </w:pPr>
            <w:r>
              <w:rPr>
                <w:rFonts w:ascii="Arial" w:cs="Arial" w:eastAsia="Arial" w:hAnsi="Arial"/>
                <w:sz w:val="18"/>
                <w:szCs w:val="18"/>
                <w:b w:val="1"/>
                <w:bCs w:val="1"/>
                <w:color w:val="auto"/>
                <w:w w:val="96"/>
              </w:rPr>
              <w:t>Credit Contact</w:t>
            </w:r>
          </w:p>
        </w:tc>
        <w:tc>
          <w:tcPr>
            <w:tcW w:w="1840" w:type="dxa"/>
            <w:vAlign w:val="bottom"/>
          </w:tcPr>
          <w:p>
            <w:pPr>
              <w:spacing w:after="0"/>
              <w:rPr>
                <w:sz w:val="17"/>
                <w:szCs w:val="17"/>
                <w:color w:val="auto"/>
              </w:rPr>
            </w:pPr>
          </w:p>
        </w:tc>
        <w:tc>
          <w:tcPr>
            <w:tcW w:w="164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8"/>
                <w:szCs w:val="18"/>
                <w:b w:val="1"/>
                <w:bCs w:val="1"/>
                <w:color w:val="auto"/>
                <w:w w:val="98"/>
              </w:rPr>
              <w:t>Operations Contact</w:t>
            </w:r>
          </w:p>
        </w:tc>
        <w:tc>
          <w:tcPr>
            <w:tcW w:w="1520" w:type="dxa"/>
            <w:vAlign w:val="bottom"/>
          </w:tcPr>
          <w:p>
            <w:pPr>
              <w:spacing w:after="0"/>
              <w:rPr>
                <w:sz w:val="17"/>
                <w:szCs w:val="17"/>
                <w:color w:val="auto"/>
              </w:rPr>
            </w:pPr>
          </w:p>
        </w:tc>
        <w:tc>
          <w:tcPr>
            <w:tcW w:w="164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8"/>
                <w:szCs w:val="18"/>
                <w:b w:val="1"/>
                <w:bCs w:val="1"/>
                <w:color w:val="auto"/>
                <w:w w:val="98"/>
              </w:rPr>
              <w:t>Operations Contact</w:t>
            </w:r>
          </w:p>
        </w:tc>
      </w:tr>
    </w:tbl>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-4445</wp:posOffset>
            </wp:positionV>
            <wp:extent cx="595185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951855"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-4445</wp:posOffset>
            </wp:positionV>
            <wp:extent cx="595185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951855"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158115</wp:posOffset>
            </wp:positionV>
            <wp:extent cx="595185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951855" cy="889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-4445</wp:posOffset>
            </wp:positionV>
            <wp:extent cx="595185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95185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-4445</wp:posOffset>
            </wp:positionV>
            <wp:extent cx="595185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951855"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-4445</wp:posOffset>
            </wp:positionV>
            <wp:extent cx="595185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951855"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E 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-4445</wp:posOffset>
            </wp:positionV>
            <wp:extent cx="595185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951855" cy="8890"/>
                    </a:xfrm>
                    <a:prstGeom prst="rect">
                      <a:avLst/>
                    </a:prstGeom>
                    <a:noFill/>
                  </pic:spPr>
                </pic:pic>
              </a:graphicData>
            </a:graphic>
          </wp:anchor>
        </w:drawing>
      </w:r>
    </w:p>
    <w:p>
      <w:pPr>
        <w:spacing w:after="0" w:line="192" w:lineRule="exact"/>
        <w:rPr>
          <w:sz w:val="20"/>
          <w:szCs w:val="20"/>
          <w:color w:val="auto"/>
        </w:rPr>
      </w:pPr>
    </w:p>
    <w:p>
      <w:pPr>
        <w:jc w:val="right"/>
        <w:ind w:right="100"/>
        <w:spacing w:after="0"/>
        <w:tabs>
          <w:tab w:leader="none" w:pos="1320" w:val="left"/>
          <w:tab w:leader="none" w:pos="260" w:val="left"/>
        </w:tabs>
        <w:rPr>
          <w:sz w:val="20"/>
          <w:szCs w:val="20"/>
          <w:color w:val="auto"/>
        </w:rPr>
      </w:pPr>
      <w:r>
        <w:rPr>
          <w:rFonts w:ascii="Arial" w:cs="Arial" w:eastAsia="Arial" w:hAnsi="Arial"/>
          <w:sz w:val="18"/>
          <w:szCs w:val="18"/>
          <w:color w:val="auto"/>
        </w:rPr>
        <w:t>Does Secondary Operations Contact need copy of notices?</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6565900</wp:posOffset>
            </wp:positionH>
            <wp:positionV relativeFrom="paragraph">
              <wp:posOffset>-4445</wp:posOffset>
            </wp:positionV>
            <wp:extent cx="28321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-4445</wp:posOffset>
            </wp:positionV>
            <wp:extent cx="28321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304165</wp:posOffset>
            </wp:positionV>
            <wp:extent cx="7023735" cy="2743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02373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22" w:right="239" w:bottom="1440" w:gutter="0" w:footer="0" w:header="0"/>
          <w:type w:val="continuous"/>
        </w:sectPr>
      </w:pPr>
    </w:p>
    <w:bookmarkStart w:id="214" w:name="page215"/>
    <w:bookmarkEnd w:id="214"/>
    <w:p>
      <w:pPr>
        <w:jc w:val="right"/>
        <w:ind w:right="18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DETAILS REPLY FORM – US DOLLAR ONLY</w:t>
      </w:r>
    </w:p>
    <w:p>
      <w:pPr>
        <w:spacing w:after="0" w:line="171" w:lineRule="exact"/>
        <w:rPr>
          <w:sz w:val="20"/>
          <w:szCs w:val="20"/>
          <w:color w:val="auto"/>
        </w:rPr>
      </w:pPr>
    </w:p>
    <w:tbl>
      <w:tblPr>
        <w:tblLayout w:type="fixed"/>
        <w:tblInd w:w="180" w:type="dxa"/>
        <w:tblCellMar>
          <w:top w:w="0" w:type="dxa"/>
          <w:left w:w="0" w:type="dxa"/>
          <w:bottom w:w="0" w:type="dxa"/>
          <w:right w:w="0" w:type="dxa"/>
        </w:tblCellMar>
      </w:tblPr>
      <w:tr>
        <w:trPr>
          <w:trHeight w:val="286"/>
        </w:trPr>
        <w:tc>
          <w:tcPr>
            <w:tcW w:w="4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300" w:type="dxa"/>
            <w:vAlign w:val="bottom"/>
            <w:gridSpan w:val="3"/>
          </w:tcPr>
          <w:p>
            <w:pPr>
              <w:ind w:left="700"/>
              <w:spacing w:after="0"/>
              <w:rPr>
                <w:sz w:val="20"/>
                <w:szCs w:val="20"/>
                <w:color w:val="auto"/>
              </w:rPr>
            </w:pPr>
            <w:r>
              <w:rPr>
                <w:rFonts w:ascii="Arial" w:cs="Arial" w:eastAsia="Arial" w:hAnsi="Arial"/>
                <w:sz w:val="22"/>
                <w:szCs w:val="22"/>
                <w:b w:val="1"/>
                <w:bCs w:val="1"/>
                <w:color w:val="auto"/>
                <w:w w:val="96"/>
              </w:rPr>
              <w:t>CONFIDENTIAL</w:t>
            </w:r>
          </w:p>
        </w:tc>
      </w:tr>
      <w:tr>
        <w:trPr>
          <w:trHeight w:val="105"/>
        </w:trPr>
        <w:tc>
          <w:tcPr>
            <w:tcW w:w="40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r>
      <w:tr>
        <w:trPr>
          <w:trHeight w:val="732"/>
        </w:trPr>
        <w:tc>
          <w:tcPr>
            <w:tcW w:w="5660" w:type="dxa"/>
            <w:vAlign w:val="bottom"/>
            <w:gridSpan w:val="3"/>
          </w:tcPr>
          <w:p>
            <w:pPr>
              <w:jc w:val="center"/>
              <w:ind w:left="2892"/>
              <w:spacing w:after="0"/>
              <w:rPr>
                <w:sz w:val="20"/>
                <w:szCs w:val="20"/>
                <w:color w:val="auto"/>
              </w:rPr>
            </w:pPr>
            <w:r>
              <w:rPr>
                <w:rFonts w:ascii="Arial" w:cs="Arial" w:eastAsia="Arial" w:hAnsi="Arial"/>
                <w:sz w:val="18"/>
                <w:szCs w:val="18"/>
                <w:color w:val="auto"/>
                <w:w w:val="97"/>
              </w:rPr>
              <w:t>Letter of Credit</w:t>
            </w:r>
          </w:p>
        </w:tc>
        <w:tc>
          <w:tcPr>
            <w:tcW w:w="3100" w:type="dxa"/>
            <w:vAlign w:val="bottom"/>
          </w:tcPr>
          <w:p>
            <w:pPr>
              <w:jc w:val="center"/>
              <w:spacing w:after="0"/>
              <w:rPr>
                <w:sz w:val="20"/>
                <w:szCs w:val="20"/>
                <w:color w:val="auto"/>
              </w:rPr>
            </w:pPr>
            <w:r>
              <w:rPr>
                <w:rFonts w:ascii="Arial" w:cs="Arial" w:eastAsia="Arial" w:hAnsi="Arial"/>
                <w:sz w:val="18"/>
                <w:szCs w:val="18"/>
                <w:color w:val="auto"/>
                <w:w w:val="96"/>
              </w:rPr>
              <w:t>Draft Documentation</w:t>
            </w: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2"/>
        </w:trPr>
        <w:tc>
          <w:tcPr>
            <w:tcW w:w="4000" w:type="dxa"/>
            <w:vAlign w:val="bottom"/>
          </w:tcPr>
          <w:p>
            <w:pPr>
              <w:spacing w:after="0"/>
              <w:rPr>
                <w:sz w:val="14"/>
                <w:szCs w:val="14"/>
                <w:color w:val="auto"/>
              </w:rPr>
            </w:pPr>
          </w:p>
        </w:tc>
        <w:tc>
          <w:tcPr>
            <w:tcW w:w="620" w:type="dxa"/>
            <w:vAlign w:val="bottom"/>
          </w:tcPr>
          <w:p>
            <w:pPr>
              <w:jc w:val="center"/>
              <w:spacing w:after="0" w:line="152" w:lineRule="exact"/>
              <w:rPr>
                <w:sz w:val="20"/>
                <w:szCs w:val="20"/>
                <w:color w:val="auto"/>
              </w:rPr>
            </w:pPr>
            <w:r>
              <w:rPr>
                <w:rFonts w:ascii="Arial" w:cs="Arial" w:eastAsia="Arial" w:hAnsi="Arial"/>
                <w:sz w:val="16"/>
                <w:szCs w:val="16"/>
                <w:color w:val="auto"/>
              </w:rPr>
              <w:t>Contact</w:t>
            </w:r>
          </w:p>
        </w:tc>
        <w:tc>
          <w:tcPr>
            <w:tcW w:w="1040" w:type="dxa"/>
            <w:vAlign w:val="bottom"/>
          </w:tcPr>
          <w:p>
            <w:pPr>
              <w:spacing w:after="0"/>
              <w:rPr>
                <w:sz w:val="14"/>
                <w:szCs w:val="14"/>
                <w:color w:val="auto"/>
              </w:rPr>
            </w:pPr>
          </w:p>
        </w:tc>
        <w:tc>
          <w:tcPr>
            <w:tcW w:w="3100" w:type="dxa"/>
            <w:vAlign w:val="bottom"/>
          </w:tcPr>
          <w:p>
            <w:pPr>
              <w:jc w:val="center"/>
              <w:spacing w:after="0" w:line="152" w:lineRule="exact"/>
              <w:rPr>
                <w:sz w:val="20"/>
                <w:szCs w:val="20"/>
                <w:color w:val="auto"/>
              </w:rPr>
            </w:pPr>
            <w:r>
              <w:rPr>
                <w:rFonts w:ascii="Arial" w:cs="Arial" w:eastAsia="Arial" w:hAnsi="Arial"/>
                <w:sz w:val="16"/>
                <w:szCs w:val="16"/>
                <w:color w:val="auto"/>
              </w:rPr>
              <w:t>Contact</w:t>
            </w:r>
          </w:p>
        </w:tc>
        <w:tc>
          <w:tcPr>
            <w:tcW w:w="720" w:type="dxa"/>
            <w:vAlign w:val="bottom"/>
          </w:tcPr>
          <w:p>
            <w:pPr>
              <w:spacing w:after="0"/>
              <w:rPr>
                <w:sz w:val="14"/>
                <w:szCs w:val="14"/>
                <w:color w:val="auto"/>
              </w:rPr>
            </w:pPr>
          </w:p>
        </w:tc>
        <w:tc>
          <w:tcPr>
            <w:tcW w:w="1580" w:type="dxa"/>
            <w:vAlign w:val="bottom"/>
            <w:gridSpan w:val="2"/>
          </w:tcPr>
          <w:p>
            <w:pPr>
              <w:spacing w:after="0" w:line="152" w:lineRule="exact"/>
              <w:rPr>
                <w:sz w:val="20"/>
                <w:szCs w:val="20"/>
                <w:color w:val="auto"/>
              </w:rPr>
            </w:pPr>
            <w:r>
              <w:rPr>
                <w:rFonts w:ascii="Arial" w:cs="Arial" w:eastAsia="Arial" w:hAnsi="Arial"/>
                <w:sz w:val="16"/>
                <w:szCs w:val="16"/>
                <w:color w:val="auto"/>
              </w:rPr>
              <w:t>Legal Counsel</w:t>
            </w:r>
          </w:p>
        </w:tc>
      </w:tr>
      <w:tr>
        <w:trPr>
          <w:trHeight w:val="27"/>
        </w:trPr>
        <w:tc>
          <w:tcPr>
            <w:tcW w:w="40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-4445</wp:posOffset>
            </wp:positionV>
            <wp:extent cx="529971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29971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-4445</wp:posOffset>
            </wp:positionV>
            <wp:extent cx="529971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29971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-4445</wp:posOffset>
            </wp:positionV>
            <wp:extent cx="529971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29971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-4445</wp:posOffset>
            </wp:positionV>
            <wp:extent cx="529971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29971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-4445</wp:posOffset>
            </wp:positionV>
            <wp:extent cx="529971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29971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E 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-4445</wp:posOffset>
            </wp:positionV>
            <wp:extent cx="529971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299710" cy="8890"/>
                    </a:xfrm>
                    <a:prstGeom prst="rect">
                      <a:avLst/>
                    </a:prstGeom>
                    <a:noFill/>
                  </pic:spPr>
                </pic:pic>
              </a:graphicData>
            </a:graphic>
          </wp:anchor>
        </w:drawing>
      </w:r>
    </w:p>
    <w:p>
      <w:pPr>
        <w:spacing w:after="0" w:line="129" w:lineRule="exact"/>
        <w:rPr>
          <w:sz w:val="20"/>
          <w:szCs w:val="20"/>
          <w:color w:val="auto"/>
        </w:rPr>
      </w:pPr>
    </w:p>
    <w:p>
      <w:pPr>
        <w:ind w:right="840"/>
        <w:spacing w:after="0" w:line="264" w:lineRule="auto"/>
        <w:rPr>
          <w:sz w:val="20"/>
          <w:szCs w:val="20"/>
          <w:color w:val="auto"/>
        </w:rPr>
      </w:pPr>
      <w:r>
        <w:rPr>
          <w:rFonts w:ascii="Arial" w:cs="Arial" w:eastAsia="Arial" w:hAnsi="Arial"/>
          <w:sz w:val="18"/>
          <w:szCs w:val="18"/>
          <w:b w:val="1"/>
          <w:bCs w:val="1"/>
          <w:color w:val="auto"/>
        </w:rPr>
        <w:t>VII. Lender’s Standby Letter of Credit, Commercial Letter of Credit, and Bankers’ Acceptance Fed Wire Payment Instructions (if applicable):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Pay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89535</wp:posOffset>
            </wp:positionV>
            <wp:extent cx="348170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34" w:lineRule="exact"/>
        <w:rPr>
          <w:sz w:val="20"/>
          <w:szCs w:val="20"/>
          <w:color w:val="auto"/>
        </w:rPr>
      </w:pPr>
    </w:p>
    <w:p>
      <w:pPr>
        <w:ind w:left="720"/>
        <w:spacing w:after="0"/>
        <w:rPr>
          <w:sz w:val="20"/>
          <w:szCs w:val="20"/>
          <w:color w:val="auto"/>
        </w:rPr>
      </w:pPr>
      <w:r>
        <w:rPr>
          <w:rFonts w:ascii="Arial" w:cs="Arial" w:eastAsia="Arial" w:hAnsi="Arial"/>
          <w:sz w:val="14"/>
          <w:szCs w:val="14"/>
          <w:color w:val="auto"/>
        </w:rPr>
        <w:t>(Bank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86995</wp:posOffset>
            </wp:positionV>
            <wp:extent cx="348170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30"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(ABA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86995</wp:posOffset>
            </wp:positionV>
            <wp:extent cx="348170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30"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86995</wp:posOffset>
            </wp:positionV>
            <wp:extent cx="348170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30"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(Attention)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Lender’s Fed Wire Payment Instructions: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Pay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89535</wp:posOffset>
            </wp:positionV>
            <wp:extent cx="687768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34" w:lineRule="exact"/>
        <w:rPr>
          <w:sz w:val="20"/>
          <w:szCs w:val="20"/>
          <w:color w:val="auto"/>
        </w:rPr>
      </w:pPr>
    </w:p>
    <w:p>
      <w:pPr>
        <w:ind w:left="720"/>
        <w:spacing w:after="0"/>
        <w:rPr>
          <w:sz w:val="20"/>
          <w:szCs w:val="20"/>
          <w:color w:val="auto"/>
        </w:rPr>
      </w:pPr>
      <w:r>
        <w:rPr>
          <w:rFonts w:ascii="Arial" w:cs="Arial" w:eastAsia="Arial" w:hAnsi="Arial"/>
          <w:sz w:val="14"/>
          <w:szCs w:val="14"/>
          <w:color w:val="auto"/>
        </w:rPr>
        <w:t>(Bank Name)</w:t>
      </w:r>
    </w:p>
    <w:p>
      <w:pPr>
        <w:spacing w:after="0" w:line="117"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322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(ABA #)</w:t>
            </w:r>
          </w:p>
        </w:tc>
        <w:tc>
          <w:tcPr>
            <w:tcW w:w="7620" w:type="dxa"/>
            <w:vAlign w:val="bottom"/>
            <w:tcBorders>
              <w:top w:val="single" w:sz="8" w:color="auto"/>
            </w:tcBorders>
          </w:tcPr>
          <w:p>
            <w:pPr>
              <w:ind w:left="2380"/>
              <w:spacing w:after="0"/>
              <w:rPr>
                <w:sz w:val="20"/>
                <w:szCs w:val="20"/>
                <w:color w:val="auto"/>
              </w:rPr>
            </w:pPr>
            <w:r>
              <w:rPr>
                <w:rFonts w:ascii="Arial" w:cs="Arial" w:eastAsia="Arial" w:hAnsi="Arial"/>
                <w:sz w:val="14"/>
                <w:szCs w:val="14"/>
                <w:color w:val="auto"/>
              </w:rPr>
              <w:t>(City/State)</w:t>
            </w:r>
          </w:p>
        </w:tc>
      </w:tr>
      <w:tr>
        <w:trPr>
          <w:trHeight w:val="135"/>
        </w:trPr>
        <w:tc>
          <w:tcPr>
            <w:tcW w:w="3220" w:type="dxa"/>
            <w:vAlign w:val="bottom"/>
            <w:tcBorders>
              <w:bottom w:val="single" w:sz="8" w:color="auto"/>
            </w:tcBorders>
          </w:tcPr>
          <w:p>
            <w:pPr>
              <w:spacing w:after="0"/>
              <w:rPr>
                <w:sz w:val="11"/>
                <w:szCs w:val="11"/>
                <w:color w:val="auto"/>
              </w:rPr>
            </w:pPr>
          </w:p>
        </w:tc>
        <w:tc>
          <w:tcPr>
            <w:tcW w:w="7620" w:type="dxa"/>
            <w:vAlign w:val="bottom"/>
            <w:tcBorders>
              <w:bottom w:val="single" w:sz="8" w:color="auto"/>
            </w:tcBorders>
          </w:tcPr>
          <w:p>
            <w:pPr>
              <w:spacing w:after="0"/>
              <w:rPr>
                <w:sz w:val="11"/>
                <w:szCs w:val="11"/>
                <w:color w:val="auto"/>
              </w:rPr>
            </w:pPr>
          </w:p>
        </w:tc>
      </w:tr>
      <w:tr>
        <w:trPr>
          <w:trHeight w:val="156"/>
        </w:trPr>
        <w:tc>
          <w:tcPr>
            <w:tcW w:w="3220" w:type="dxa"/>
            <w:vAlign w:val="bottom"/>
          </w:tcPr>
          <w:p>
            <w:pPr>
              <w:ind w:left="140"/>
              <w:spacing w:after="0" w:line="156" w:lineRule="exact"/>
              <w:rPr>
                <w:sz w:val="20"/>
                <w:szCs w:val="20"/>
                <w:color w:val="auto"/>
              </w:rPr>
            </w:pPr>
            <w:r>
              <w:rPr>
                <w:rFonts w:ascii="Arial" w:cs="Arial" w:eastAsia="Arial" w:hAnsi="Arial"/>
                <w:sz w:val="14"/>
                <w:szCs w:val="14"/>
                <w:color w:val="auto"/>
              </w:rPr>
              <w:t>(Account #)</w:t>
            </w:r>
          </w:p>
        </w:tc>
        <w:tc>
          <w:tcPr>
            <w:tcW w:w="7620" w:type="dxa"/>
            <w:vAlign w:val="bottom"/>
          </w:tcPr>
          <w:p>
            <w:pPr>
              <w:ind w:left="2380"/>
              <w:spacing w:after="0" w:line="156" w:lineRule="exact"/>
              <w:rPr>
                <w:sz w:val="20"/>
                <w:szCs w:val="20"/>
                <w:color w:val="auto"/>
              </w:rPr>
            </w:pPr>
            <w:r>
              <w:rPr>
                <w:rFonts w:ascii="Arial" w:cs="Arial" w:eastAsia="Arial" w:hAnsi="Arial"/>
                <w:sz w:val="14"/>
                <w:szCs w:val="14"/>
                <w:color w:val="auto"/>
              </w:rPr>
              <w:t>(Account Name)</w:t>
            </w:r>
          </w:p>
        </w:tc>
      </w:tr>
      <w:tr>
        <w:trPr>
          <w:trHeight w:val="135"/>
        </w:trPr>
        <w:tc>
          <w:tcPr>
            <w:tcW w:w="3220" w:type="dxa"/>
            <w:vAlign w:val="bottom"/>
            <w:tcBorders>
              <w:bottom w:val="single" w:sz="8" w:color="auto"/>
            </w:tcBorders>
          </w:tcPr>
          <w:p>
            <w:pPr>
              <w:spacing w:after="0"/>
              <w:rPr>
                <w:sz w:val="11"/>
                <w:szCs w:val="11"/>
                <w:color w:val="auto"/>
              </w:rPr>
            </w:pPr>
          </w:p>
        </w:tc>
        <w:tc>
          <w:tcPr>
            <w:tcW w:w="7620" w:type="dxa"/>
            <w:vAlign w:val="bottom"/>
            <w:tcBorders>
              <w:bottom w:val="single" w:sz="8" w:color="auto"/>
            </w:tcBorders>
          </w:tcPr>
          <w:p>
            <w:pPr>
              <w:spacing w:after="0"/>
              <w:rPr>
                <w:sz w:val="11"/>
                <w:szCs w:val="11"/>
                <w:color w:val="auto"/>
              </w:rPr>
            </w:pPr>
          </w:p>
        </w:tc>
      </w:tr>
      <w:tr>
        <w:trPr>
          <w:trHeight w:val="156"/>
        </w:trPr>
        <w:tc>
          <w:tcPr>
            <w:tcW w:w="3220" w:type="dxa"/>
            <w:vAlign w:val="bottom"/>
          </w:tcPr>
          <w:p>
            <w:pPr>
              <w:ind w:left="140"/>
              <w:spacing w:after="0" w:line="156" w:lineRule="exact"/>
              <w:rPr>
                <w:sz w:val="20"/>
                <w:szCs w:val="20"/>
                <w:color w:val="auto"/>
              </w:rPr>
            </w:pPr>
            <w:r>
              <w:rPr>
                <w:rFonts w:ascii="Arial" w:cs="Arial" w:eastAsia="Arial" w:hAnsi="Arial"/>
                <w:sz w:val="14"/>
                <w:szCs w:val="14"/>
                <w:color w:val="auto"/>
              </w:rPr>
              <w:t>(Attention)</w:t>
            </w:r>
          </w:p>
        </w:tc>
        <w:tc>
          <w:tcPr>
            <w:tcW w:w="76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 Organizational Structure and Tax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215265</wp:posOffset>
            </wp:positionV>
            <wp:extent cx="7023735" cy="2743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023735" cy="27432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22" w:right="239" w:bottom="1440" w:gutter="0" w:footer="0" w:header="0"/>
        </w:sectPr>
      </w:pPr>
    </w:p>
    <w:bookmarkStart w:id="215" w:name="page216"/>
    <w:bookmarkEnd w:id="215"/>
    <w:p>
      <w:pPr>
        <w:ind w:left="406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DETAILS REPLY FORM – US DOLLAR ONLY</w:t>
      </w:r>
    </w:p>
    <w:p>
      <w:pPr>
        <w:spacing w:after="0" w:line="171" w:lineRule="exact"/>
        <w:rPr>
          <w:sz w:val="20"/>
          <w:szCs w:val="20"/>
          <w:color w:val="auto"/>
        </w:rPr>
      </w:pPr>
    </w:p>
    <w:p>
      <w:pPr>
        <w:ind w:left="9640"/>
        <w:spacing w:after="0"/>
        <w:rPr>
          <w:sz w:val="20"/>
          <w:szCs w:val="20"/>
          <w:color w:val="auto"/>
        </w:rPr>
      </w:pPr>
      <w:r>
        <w:rPr>
          <w:rFonts w:ascii="Arial" w:cs="Arial" w:eastAsia="Arial" w:hAnsi="Arial"/>
          <w:sz w:val="22"/>
          <w:szCs w:val="22"/>
          <w:b w:val="1"/>
          <w:b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74295</wp:posOffset>
            </wp:positionV>
            <wp:extent cx="7023735" cy="260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023735" cy="2603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refer to the enclosed withholding tax instructions below and then complete this section accordingly:</w:t>
      </w:r>
    </w:p>
    <w:p>
      <w:pPr>
        <w:spacing w:after="0" w:line="180"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Lender Taxpayer Identification Number (TIN):</w:t>
      </w:r>
      <w:r>
        <w:rPr>
          <w:sz w:val="20"/>
          <w:szCs w:val="20"/>
          <w:color w:val="auto"/>
        </w:rPr>
        <w:tab/>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3382010</wp:posOffset>
            </wp:positionH>
            <wp:positionV relativeFrom="paragraph">
              <wp:posOffset>-21590</wp:posOffset>
            </wp:positionV>
            <wp:extent cx="30924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09245" cy="8890"/>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-21590</wp:posOffset>
            </wp:positionV>
            <wp:extent cx="92837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92837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Tax Withholding Form Delivered to Bank of America*:</w:t>
      </w:r>
    </w:p>
    <w:p>
      <w:pPr>
        <w:spacing w:after="0" w:line="176"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W-9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94361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84"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W-8BEN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94361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84"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W-8ECI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94361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84"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W-8EXP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94361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84"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W-8IMY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94361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NON–U.S. LENDER INSTITUTIONS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 Corporations:</w:t>
      </w:r>
    </w:p>
    <w:p>
      <w:pPr>
        <w:spacing w:after="0" w:line="7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If your institution is incorporated outside of the United States for U.S. federal income tax purposes, and is the beneficial owner of the interest and other income it receives, you must complete one of the following three tax forms, as applicable to your institution: a.) Form W-8BEN (Certificate of Foreign Status of Beneficial Owner), b.) Form W-8ECI (Income Effectively Connected to a U.S. Trade or Business), or c.) Form W-8EXP (Certificate of Foreign Government or Governmental Agency).</w:t>
      </w:r>
    </w:p>
    <w:p>
      <w:pPr>
        <w:spacing w:after="0" w:line="15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 xml:space="preserve">A U.S. taxpayer identification number is required for any institution submitting a Form W-8 ECI. It is also required on Form W-8BEN for certain institutions claiming the benefits of a tax treaty with the U.S. Please refer to the instructions when completing the form applicable to your institution. In addition, please be advised that U.S. tax regulations do not permit the acceptance of faxed forms. </w:t>
      </w:r>
      <w:r>
        <w:rPr>
          <w:rFonts w:ascii="Arial" w:cs="Arial" w:eastAsia="Arial" w:hAnsi="Arial"/>
          <w:sz w:val="16"/>
          <w:szCs w:val="16"/>
          <w:b w:val="1"/>
          <w:bCs w:val="1"/>
          <w:color w:val="auto"/>
        </w:rPr>
        <w:t>An original tax form must be submitted.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2. Flow-Through Entities</w:t>
      </w:r>
    </w:p>
    <w:p>
      <w:pPr>
        <w:spacing w:after="0" w:line="77"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If your institution is organized outside the U.S., and is classified for U.S. federal income tax purposes as either a Partnership, Trust, Qualified or Non-Qualified Intermediary, or other non-U.S. flow-through entity, an original Form W-8IMY (Certificate of Foreign Intermediary, Foreign Flow-Through Entity, or Certain U.S. branches for United States Tax Withholding) must be completed by the intermediary together with a withholding statement. Flow-through entities other than Qualified Intermediaries are required to include tax forms for each of the underlying beneficial owners.</w:t>
      </w:r>
    </w:p>
    <w:p>
      <w:pPr>
        <w:spacing w:after="0" w:line="12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 xml:space="preserve">Please refer to the instructions when completing this form. In addition, please be advised that U.S. tax regulations do not permit the acceptance of faxed forms. </w:t>
      </w:r>
      <w:r>
        <w:rPr>
          <w:rFonts w:ascii="Arial" w:cs="Arial" w:eastAsia="Arial" w:hAnsi="Arial"/>
          <w:sz w:val="18"/>
          <w:szCs w:val="18"/>
          <w:b w:val="1"/>
          <w:bCs w:val="1"/>
          <w:color w:val="auto"/>
        </w:rPr>
        <w:t>Original tax form(s) must be submitted.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199390</wp:posOffset>
            </wp:positionV>
            <wp:extent cx="7023735" cy="2743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023735" cy="27432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322" w:right="279" w:bottom="1440" w:gutter="0" w:footer="0" w:header="0"/>
        </w:sectPr>
      </w:pPr>
    </w:p>
    <w:bookmarkStart w:id="216" w:name="page217"/>
    <w:bookmarkEnd w:id="216"/>
    <w:p>
      <w:pPr>
        <w:jc w:val="right"/>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ADMINISTRATIVE DETAILS REPLY FORM – US DOLLAR ONLY</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74295</wp:posOffset>
            </wp:positionV>
            <wp:extent cx="7023735" cy="260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023735" cy="260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U.S. LENDER INSTITUTIONS:</w:t>
      </w:r>
    </w:p>
    <w:p>
      <w:pPr>
        <w:spacing w:after="0" w:line="77" w:lineRule="exact"/>
        <w:rPr>
          <w:sz w:val="20"/>
          <w:szCs w:val="20"/>
          <w:color w:val="auto"/>
        </w:rPr>
      </w:pPr>
    </w:p>
    <w:p>
      <w:pPr>
        <w:ind w:right="820"/>
        <w:spacing w:after="0" w:line="239" w:lineRule="auto"/>
        <w:rPr>
          <w:sz w:val="20"/>
          <w:szCs w:val="20"/>
          <w:color w:val="auto"/>
        </w:rPr>
      </w:pPr>
      <w:r>
        <w:rPr>
          <w:rFonts w:ascii="Arial" w:cs="Arial" w:eastAsia="Arial" w:hAnsi="Arial"/>
          <w:sz w:val="18"/>
          <w:szCs w:val="18"/>
          <w:color w:val="auto"/>
        </w:rPr>
        <w:t xml:space="preserve">If your institution is incorporated or organized within the United States, you must complete and return Form W-9 (Request for Taxpayer Identification Number and Certification). </w:t>
      </w:r>
      <w:r>
        <w:rPr>
          <w:rFonts w:ascii="Arial" w:cs="Arial" w:eastAsia="Arial" w:hAnsi="Arial"/>
          <w:sz w:val="18"/>
          <w:szCs w:val="18"/>
          <w:b w:val="1"/>
          <w:bCs w:val="1"/>
          <w:color w:val="auto"/>
        </w:rPr>
        <w:t>Please be advised that we require an original form W-9</w:t>
      </w:r>
      <w:r>
        <w:rPr>
          <w:rFonts w:ascii="Arial" w:cs="Arial" w:eastAsia="Arial" w:hAnsi="Arial"/>
          <w:sz w:val="18"/>
          <w:szCs w:val="18"/>
          <w:color w:val="auto"/>
        </w:rPr>
        <w:t>.</w:t>
      </w:r>
    </w:p>
    <w:p>
      <w:pPr>
        <w:spacing w:after="0" w:line="135" w:lineRule="exact"/>
        <w:rPr>
          <w:sz w:val="20"/>
          <w:szCs w:val="20"/>
          <w:color w:val="auto"/>
        </w:rPr>
      </w:pPr>
    </w:p>
    <w:p>
      <w:pPr>
        <w:jc w:val="both"/>
        <w:ind w:right="380"/>
        <w:spacing w:after="0" w:line="248" w:lineRule="auto"/>
        <w:rPr>
          <w:sz w:val="20"/>
          <w:szCs w:val="20"/>
          <w:color w:val="auto"/>
        </w:rPr>
      </w:pPr>
      <w:r>
        <w:rPr>
          <w:rFonts w:ascii="Arial" w:cs="Arial" w:eastAsia="Arial" w:hAnsi="Arial"/>
          <w:sz w:val="18"/>
          <w:szCs w:val="18"/>
          <w:b w:val="1"/>
          <w:bCs w:val="1"/>
          <w:i w:val="1"/>
          <w:iCs w:val="1"/>
          <w:color w:val="auto"/>
        </w:rPr>
        <w:t>Pursuant to the language contained in the tax section of the Credit Agreement, the applicable tax form for your institution must be completed and returned on or prior to the date on which your institution becomes a lender under this Credit Agreement. Failure to provide the proper tax form when requested will subject your institution to U.S. tax withholding.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*Additional guidance and instructions as to where to submit this documentation can be found at this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875030" cy="5657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7503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 Bank of America Payment Instructions:</w:t>
      </w:r>
    </w:p>
    <w:p>
      <w:pPr>
        <w:spacing w:after="0" w:line="29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Pay to:</w:t>
      </w:r>
      <w:r>
        <w:rPr>
          <w:sz w:val="20"/>
          <w:szCs w:val="20"/>
          <w:color w:val="auto"/>
        </w:rPr>
        <w:tab/>
      </w:r>
      <w:r>
        <w:rPr>
          <w:rFonts w:ascii="Arial" w:cs="Arial" w:eastAsia="Arial" w:hAnsi="Arial"/>
          <w:sz w:val="16"/>
          <w:szCs w:val="16"/>
          <w:color w:val="auto"/>
        </w:rPr>
        <w:t>Bank of America, N.A.</w:t>
      </w:r>
    </w:p>
    <w:p>
      <w:pPr>
        <w:ind w:left="800"/>
        <w:spacing w:after="0" w:line="234" w:lineRule="auto"/>
        <w:rPr>
          <w:sz w:val="20"/>
          <w:szCs w:val="20"/>
          <w:color w:val="auto"/>
        </w:rPr>
      </w:pPr>
      <w:r>
        <w:rPr>
          <w:rFonts w:ascii="Arial" w:cs="Arial" w:eastAsia="Arial" w:hAnsi="Arial"/>
          <w:sz w:val="18"/>
          <w:szCs w:val="18"/>
          <w:color w:val="auto"/>
        </w:rPr>
        <w:t>ABA # 026009593</w:t>
      </w:r>
    </w:p>
    <w:p>
      <w:pPr>
        <w:ind w:left="800"/>
        <w:spacing w:after="0" w:line="235" w:lineRule="auto"/>
        <w:rPr>
          <w:sz w:val="20"/>
          <w:szCs w:val="20"/>
          <w:color w:val="auto"/>
        </w:rPr>
      </w:pPr>
      <w:r>
        <w:rPr>
          <w:rFonts w:ascii="Arial" w:cs="Arial" w:eastAsia="Arial" w:hAnsi="Arial"/>
          <w:sz w:val="18"/>
          <w:szCs w:val="18"/>
          <w:color w:val="auto"/>
        </w:rPr>
        <w:t>New York, NY</w:t>
      </w:r>
    </w:p>
    <w:p>
      <w:pPr>
        <w:ind w:left="800"/>
        <w:spacing w:after="0" w:line="235" w:lineRule="auto"/>
        <w:rPr>
          <w:sz w:val="20"/>
          <w:szCs w:val="20"/>
          <w:color w:val="auto"/>
        </w:rPr>
      </w:pPr>
      <w:r>
        <w:rPr>
          <w:rFonts w:ascii="Arial" w:cs="Arial" w:eastAsia="Arial" w:hAnsi="Arial"/>
          <w:sz w:val="18"/>
          <w:szCs w:val="18"/>
          <w:color w:val="auto"/>
        </w:rPr>
        <w:t>Acct. # 37508-36479</w:t>
      </w:r>
    </w:p>
    <w:p>
      <w:pPr>
        <w:ind w:left="800"/>
        <w:spacing w:after="0" w:line="235" w:lineRule="auto"/>
        <w:rPr>
          <w:sz w:val="20"/>
          <w:szCs w:val="20"/>
          <w:color w:val="auto"/>
        </w:rPr>
      </w:pPr>
      <w:r>
        <w:rPr>
          <w:rFonts w:ascii="Arial" w:cs="Arial" w:eastAsia="Arial" w:hAnsi="Arial"/>
          <w:sz w:val="18"/>
          <w:szCs w:val="18"/>
          <w:color w:val="auto"/>
        </w:rPr>
        <w:t>Attn: Corporate Credit Services—West</w:t>
      </w:r>
    </w:p>
    <w:p>
      <w:pPr>
        <w:ind w:left="800"/>
        <w:spacing w:after="0"/>
        <w:rPr>
          <w:sz w:val="20"/>
          <w:szCs w:val="20"/>
          <w:color w:val="auto"/>
        </w:rPr>
      </w:pPr>
      <w:r>
        <w:rPr>
          <w:rFonts w:ascii="Arial" w:cs="Arial" w:eastAsia="Arial" w:hAnsi="Arial"/>
          <w:sz w:val="18"/>
          <w:szCs w:val="18"/>
          <w:color w:val="auto"/>
        </w:rPr>
        <w:t>Ref: Plains Marketing,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3/1/07 Revision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201295</wp:posOffset>
            </wp:positionV>
            <wp:extent cx="7023735" cy="2743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023735" cy="27432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322" w:right="41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color w:val="auto"/>
        </w:rPr>
        <w:t>Exhibit 10.2</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 TO CREDIT AGREEMENT</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THIS FIRST AMENDMENT TO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the 27th day of June, 2012, is by and among PLAINS ALL AMERICAN PIPELINE, L.P. (the “</w:t>
      </w:r>
      <w:r>
        <w:rPr>
          <w:rFonts w:ascii="Arial" w:cs="Arial" w:eastAsia="Arial" w:hAnsi="Arial"/>
          <w:sz w:val="18"/>
          <w:szCs w:val="18"/>
          <w:u w:val="single" w:color="auto"/>
          <w:color w:val="auto"/>
        </w:rPr>
        <w:t>Company</w:t>
      </w:r>
      <w:r>
        <w:rPr>
          <w:rFonts w:ascii="Arial" w:cs="Arial" w:eastAsia="Arial" w:hAnsi="Arial"/>
          <w:sz w:val="18"/>
          <w:szCs w:val="18"/>
          <w:color w:val="auto"/>
        </w:rPr>
        <w:t>”), PLAINS MIDSTREAM CANADA ULC, a British Columbia unlimited liability company (formerly an Alberta unlimited liability corporation) (“</w:t>
      </w:r>
      <w:r>
        <w:rPr>
          <w:rFonts w:ascii="Arial" w:cs="Arial" w:eastAsia="Arial" w:hAnsi="Arial"/>
          <w:sz w:val="18"/>
          <w:szCs w:val="18"/>
          <w:u w:val="single" w:color="auto"/>
          <w:color w:val="auto"/>
        </w:rPr>
        <w:t>PMCULC</w:t>
      </w:r>
      <w:r>
        <w:rPr>
          <w:rFonts w:ascii="Arial" w:cs="Arial" w:eastAsia="Arial" w:hAnsi="Arial"/>
          <w:sz w:val="18"/>
          <w:szCs w:val="18"/>
          <w:color w:val="auto"/>
        </w:rPr>
        <w:t>”, and, together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and individually, a “</w:t>
      </w:r>
      <w:r>
        <w:rPr>
          <w:rFonts w:ascii="Arial" w:cs="Arial" w:eastAsia="Arial" w:hAnsi="Arial"/>
          <w:sz w:val="18"/>
          <w:szCs w:val="18"/>
          <w:u w:val="single" w:color="auto"/>
          <w:color w:val="auto"/>
        </w:rPr>
        <w:t>Borrower</w:t>
      </w:r>
      <w:r>
        <w:rPr>
          <w:rFonts w:ascii="Arial" w:cs="Arial" w:eastAsia="Arial" w:hAnsi="Arial"/>
          <w:sz w:val="18"/>
          <w:szCs w:val="18"/>
          <w:color w:val="auto"/>
        </w:rPr>
        <w:t>”), BANK OF AMERICA, N.A., as Administrative Agent, Swing Line Lender and an L/C Issuer, WELLS FARGO BANK, NATIONAL ASSOCIATION, as an L/C Issuer, and the Lenders party hereto.</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WHEREAS, the Company, certain Subsidiaries of the Company from time to time party thereto, Administrative Agent, Swing Line Lender, certain of the L/C Issuers and Lenders entered into that certain Credit Agreement dated as of August 19, 2011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for the purposes and consideration therein expressed; and</w:t>
      </w:r>
    </w:p>
    <w:p>
      <w:pPr>
        <w:spacing w:after="0" w:line="140" w:lineRule="exact"/>
        <w:rPr>
          <w:sz w:val="20"/>
          <w:szCs w:val="20"/>
          <w:color w:val="auto"/>
        </w:rPr>
      </w:pPr>
    </w:p>
    <w:p>
      <w:pPr>
        <w:jc w:val="both"/>
        <w:ind w:right="160" w:firstLine="456"/>
        <w:spacing w:after="0" w:line="268" w:lineRule="auto"/>
        <w:rPr>
          <w:sz w:val="20"/>
          <w:szCs w:val="20"/>
          <w:color w:val="auto"/>
        </w:rPr>
      </w:pPr>
      <w:r>
        <w:rPr>
          <w:rFonts w:ascii="Arial" w:cs="Arial" w:eastAsia="Arial" w:hAnsi="Arial"/>
          <w:sz w:val="18"/>
          <w:szCs w:val="18"/>
          <w:color w:val="auto"/>
        </w:rPr>
        <w:t>WHEREAS, the Borrowers, Administrative Agent, Swing Line Lender, L/C Issuers and the Lenders party hereto desire to amend the Original Agreement for the purposes described herein;</w:t>
      </w:r>
    </w:p>
    <w:p>
      <w:pPr>
        <w:spacing w:after="0" w:line="132" w:lineRule="exact"/>
        <w:rPr>
          <w:sz w:val="20"/>
          <w:szCs w:val="20"/>
          <w:color w:val="auto"/>
        </w:rPr>
      </w:pPr>
    </w:p>
    <w:p>
      <w:pPr>
        <w:jc w:val="both"/>
        <w:ind w:right="160" w:firstLine="456"/>
        <w:spacing w:after="0" w:line="332" w:lineRule="auto"/>
        <w:rPr>
          <w:sz w:val="20"/>
          <w:szCs w:val="20"/>
          <w:color w:val="auto"/>
        </w:rPr>
      </w:pPr>
      <w:r>
        <w:rPr>
          <w:rFonts w:ascii="Arial" w:cs="Arial" w:eastAsia="Arial" w:hAnsi="Arial"/>
          <w:sz w:val="16"/>
          <w:szCs w:val="16"/>
          <w:color w:val="auto"/>
        </w:rPr>
        <w:t>NOW, THEREFORE, in consideration of the premises and the mutual covenants and agreements contained herein and in the Original Agreement, and for other good and valuable consideration, the receipt and sufficiency of which are hereby acknowledged, the parties hereto do hereby agree as follows: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 — </w:t>
      </w:r>
      <w:r>
        <w:rPr>
          <w:rFonts w:ascii="Arial" w:cs="Arial" w:eastAsia="Arial" w:hAnsi="Arial"/>
          <w:sz w:val="18"/>
          <w:szCs w:val="18"/>
          <w:u w:val="single" w:color="auto"/>
          <w:color w:val="auto"/>
        </w:rPr>
        <w:t>Definitions and References</w:t>
      </w:r>
    </w:p>
    <w:p>
      <w:pPr>
        <w:spacing w:after="0" w:line="171" w:lineRule="exact"/>
        <w:rPr>
          <w:sz w:val="20"/>
          <w:szCs w:val="20"/>
          <w:color w:val="auto"/>
        </w:rPr>
      </w:pPr>
    </w:p>
    <w:p>
      <w:pPr>
        <w:ind w:right="220" w:firstLine="464"/>
        <w:spacing w:after="0" w:line="268" w:lineRule="auto"/>
        <w:tabs>
          <w:tab w:leader="none" w:pos="58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Terms Defined in the Original Agreement</w:t>
      </w:r>
      <w:r>
        <w:rPr>
          <w:rFonts w:ascii="Arial" w:cs="Arial" w:eastAsia="Arial" w:hAnsi="Arial"/>
          <w:sz w:val="18"/>
          <w:szCs w:val="18"/>
          <w:color w:val="auto"/>
        </w:rPr>
        <w:t>. Unless the context otherwise requires or unless otherwise expressly defined herein, the terms defined in the Original Agreement shall have the same meanings whenever used in this Amendment.</w:t>
      </w:r>
    </w:p>
    <w:p>
      <w:pPr>
        <w:spacing w:after="0" w:line="131" w:lineRule="exact"/>
        <w:rPr>
          <w:rFonts w:ascii="Arial" w:cs="Arial" w:eastAsia="Arial" w:hAnsi="Arial"/>
          <w:sz w:val="18"/>
          <w:szCs w:val="18"/>
          <w:color w:val="auto"/>
        </w:rPr>
      </w:pPr>
    </w:p>
    <w:p>
      <w:pPr>
        <w:ind w:right="100" w:firstLine="464"/>
        <w:spacing w:after="0" w:line="268" w:lineRule="auto"/>
        <w:tabs>
          <w:tab w:leader="none" w:pos="58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Defined Terms</w:t>
      </w:r>
      <w:r>
        <w:rPr>
          <w:rFonts w:ascii="Arial" w:cs="Arial" w:eastAsia="Arial" w:hAnsi="Arial"/>
          <w:sz w:val="18"/>
          <w:szCs w:val="18"/>
          <w:color w:val="auto"/>
        </w:rPr>
        <w:t>. Unless the context otherwise requires, the following terms when used in this Amendment shall have the meanings assigned to them in this § 1.2.</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w:t>
      </w:r>
      <w:r>
        <w:rPr>
          <w:rFonts w:ascii="Arial" w:cs="Arial" w:eastAsia="Arial" w:hAnsi="Arial"/>
          <w:sz w:val="18"/>
          <w:szCs w:val="18"/>
          <w:color w:val="auto"/>
        </w:rPr>
        <w:t>” means this First Amendment to Credit Agreement.</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means the Original Agreement as amended hereby.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II. — </w:t>
      </w:r>
      <w:r>
        <w:rPr>
          <w:rFonts w:ascii="Arial" w:cs="Arial" w:eastAsia="Arial" w:hAnsi="Arial"/>
          <w:sz w:val="18"/>
          <w:szCs w:val="18"/>
          <w:u w:val="single" w:color="auto"/>
          <w:color w:val="auto"/>
        </w:rPr>
        <w:t>Amendments</w:t>
      </w:r>
    </w:p>
    <w:p>
      <w:pPr>
        <w:spacing w:after="0" w:line="171" w:lineRule="exact"/>
        <w:rPr>
          <w:sz w:val="20"/>
          <w:szCs w:val="20"/>
          <w:color w:val="auto"/>
        </w:rPr>
      </w:pPr>
    </w:p>
    <w:p>
      <w:pPr>
        <w:ind w:left="600" w:hanging="136"/>
        <w:spacing w:after="0"/>
        <w:tabs>
          <w:tab w:leader="none" w:pos="6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71" w:lineRule="exact"/>
        <w:rPr>
          <w:sz w:val="20"/>
          <w:szCs w:val="20"/>
          <w:color w:val="auto"/>
        </w:rPr>
      </w:pPr>
    </w:p>
    <w:p>
      <w:pPr>
        <w:ind w:left="700" w:hanging="236"/>
        <w:spacing w:after="0"/>
        <w:tabs>
          <w:tab w:leader="none" w:pos="70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definition of “Applicable Time” set forth in Section 1.01 of the Original Agreement is hereby amended in part by adding the following at the end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such local time shall be no earlier than 12:00 noon, Eastern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The definition of “Base Rate” set forth in Section 1.01 of the Original Agreement is hereby amended in its entirety to read as follows:</w:t>
      </w:r>
    </w:p>
    <w:p>
      <w:pPr>
        <w:sectPr>
          <w:pgSz w:w="11900" w:h="16838" w:orient="portrait"/>
          <w:cols w:equalWidth="0" w:num="1">
            <w:col w:w="11420"/>
          </w:cols>
          <w:pgMar w:left="240" w:top="131" w:right="239" w:bottom="1440" w:gutter="0" w:footer="0" w:header="0"/>
        </w:sectPr>
      </w:pPr>
    </w:p>
    <w:bookmarkStart w:id="218" w:name="page219"/>
    <w:bookmarkEnd w:id="218"/>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Base Rate</w:t>
      </w:r>
      <w:r>
        <w:rPr>
          <w:rFonts w:ascii="Arial" w:cs="Arial" w:eastAsia="Arial" w:hAnsi="Arial"/>
          <w:sz w:val="16"/>
          <w:szCs w:val="16"/>
          <w:color w:val="auto"/>
        </w:rPr>
        <w:t>” means for any day a fluctuating rate per annum equal to the highest of (a) the Federal Funds Rate in effect on such day plus 1/2 of 1%,</w:t>
      </w:r>
    </w:p>
    <w:p>
      <w:pPr>
        <w:spacing w:after="0" w:line="38" w:lineRule="exact"/>
        <w:rPr>
          <w:sz w:val="20"/>
          <w:szCs w:val="20"/>
          <w:color w:val="auto"/>
        </w:rPr>
      </w:pPr>
    </w:p>
    <w:p>
      <w:pPr>
        <w:ind w:left="460" w:firstLine="4"/>
        <w:spacing w:after="0" w:line="287" w:lineRule="auto"/>
        <w:tabs>
          <w:tab w:leader="none" w:pos="709"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rate of interest in effect for such day as publicly announced from time to time by Bank of America as its “prime rate,” (or, as to Base Rate Loans to a Designated Borrower, the rate of interest publicly announced from time to time by Bank of America, Canada Branch as its reference rate of interest for loans in U.S. Dollars to Canadian customers and designated as its “prime rate”) and (c) the Eurocurrency Rate in effect on such day as determined pursuant to clause (b) of the definition thereof plus 1.00%. The “prime rate” is a rate set by Bank of America (or Bank of America, Canada Branch, as applicable) based upon various factors including Bank of America’s (or Bank of America, Canada Branch’s, as applicable) costs and desired return, general economic conditions and other factors, and is used as a reference point for pricing some loans, which may be priced at, above, or below such announced rate. Any change in such prime rate announced by Bank of America (or Bank of America, Canada Branch, as applicable) shall take effect at the opening of business on the day specified in the public announcement of such change.</w:t>
      </w:r>
    </w:p>
    <w:p>
      <w:pPr>
        <w:spacing w:after="0" w:line="124" w:lineRule="exact"/>
        <w:rPr>
          <w:rFonts w:ascii="Arial" w:cs="Arial" w:eastAsia="Arial" w:hAnsi="Arial"/>
          <w:sz w:val="16"/>
          <w:szCs w:val="16"/>
          <w:color w:val="auto"/>
        </w:rPr>
      </w:pPr>
    </w:p>
    <w:p>
      <w:pPr>
        <w:ind w:left="700" w:hanging="236"/>
        <w:spacing w:after="0"/>
        <w:tabs>
          <w:tab w:leader="none" w:pos="70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Clause (b) of the definition of “Eurocurrency Rate” set forth in Section 1.01 of the Original Agreement is hereby amended in its entirety to read as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83" w:lineRule="exact"/>
        <w:rPr>
          <w:rFonts w:ascii="Arial" w:cs="Arial" w:eastAsia="Arial" w:hAnsi="Arial"/>
          <w:sz w:val="16"/>
          <w:szCs w:val="16"/>
          <w:color w:val="auto"/>
        </w:rPr>
      </w:pPr>
    </w:p>
    <w:p>
      <w:pPr>
        <w:ind w:left="460" w:right="40" w:firstLine="443"/>
        <w:spacing w:after="0" w:line="290" w:lineRule="auto"/>
        <w:tabs>
          <w:tab w:leader="none" w:pos="1147" w:val="left"/>
        </w:tabs>
        <w:numPr>
          <w:ilvl w:val="1"/>
          <w:numId w:val="197"/>
        </w:numPr>
        <w:rPr>
          <w:rFonts w:ascii="Arial" w:cs="Arial" w:eastAsia="Arial" w:hAnsi="Arial"/>
          <w:sz w:val="16"/>
          <w:szCs w:val="16"/>
          <w:color w:val="auto"/>
        </w:rPr>
      </w:pPr>
      <w:r>
        <w:rPr>
          <w:rFonts w:ascii="Arial" w:cs="Arial" w:eastAsia="Arial" w:hAnsi="Arial"/>
          <w:sz w:val="16"/>
          <w:szCs w:val="16"/>
          <w:color w:val="auto"/>
        </w:rPr>
        <w:t>for any interest calculation with respect to a Base Rate Loan or a Swing Line Loan based on the Eurocurrency Rate on any date, the rate per annum equal to (i) BBA LIBOR, at approximately 12:00 p.m., London time on such date for deposits in the relevant currency being delivered in the London interbank market for a term of seven days (or if a term of seven days is unavailable then a term of one month) commencing that day or (ii) if such published rates are not available at such time for any reason, the rate per annum determined by the Administrative Agent to be the rate at which deposits in such currency for delivery on the date of determination in same day funds in the approximate amount of the Base Rate Loan or Swing Line Loan being made, continued or converted and with a term equal to one month would be offered by Bank of America’s London Branch to major banks in the London interbank Eurocurrency market at their request at the date and time of determination.</w:t>
      </w:r>
    </w:p>
    <w:p>
      <w:pPr>
        <w:spacing w:after="0" w:line="118" w:lineRule="exact"/>
        <w:rPr>
          <w:rFonts w:ascii="Arial" w:cs="Arial" w:eastAsia="Arial" w:hAnsi="Arial"/>
          <w:sz w:val="16"/>
          <w:szCs w:val="16"/>
          <w:color w:val="auto"/>
        </w:rPr>
      </w:pPr>
    </w:p>
    <w:p>
      <w:pPr>
        <w:ind w:left="720" w:hanging="256"/>
        <w:spacing w:after="0"/>
        <w:tabs>
          <w:tab w:leader="none" w:pos="72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definition of “Letter of Credit” set forth in Section 1.01 of the Original Agreement is hereby amended in its entirety to read as follows:</w:t>
      </w:r>
    </w:p>
    <w:p>
      <w:pPr>
        <w:spacing w:after="0" w:line="113" w:lineRule="exact"/>
        <w:rPr>
          <w:sz w:val="20"/>
          <w:szCs w:val="20"/>
          <w:color w:val="auto"/>
        </w:rPr>
      </w:pPr>
    </w:p>
    <w:p>
      <w:pPr>
        <w:ind w:left="460" w:right="4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xml:space="preserve">” means any letter of credit issued hereunder at the request of any Borrower providing for the payment of cash upon the honoring of a drawing thereunder and shall include the Existing Letters of Credit. A Letter of Credit may be a commercial letter of credit or a standby letter of credit;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commercial letter of credit issued hereunder shall provide solely for cash payment upon presentation of a sight draft, unless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agreed to by the L/C Issuer issuing such letter of credit.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 The definition of “PMCULC” set forth in Section 1.01 of the Original Agreement is hereby amended in its entirety to read as follows:</w:t>
      </w:r>
    </w:p>
    <w:p>
      <w:pPr>
        <w:spacing w:after="0" w:line="90" w:lineRule="exact"/>
        <w:rPr>
          <w:sz w:val="20"/>
          <w:szCs w:val="20"/>
          <w:color w:val="auto"/>
        </w:rPr>
      </w:pPr>
    </w:p>
    <w:p>
      <w:pPr>
        <w:ind w:left="460" w:right="8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PMCULC</w:t>
      </w:r>
      <w:r>
        <w:rPr>
          <w:rFonts w:ascii="Arial" w:cs="Arial" w:eastAsia="Arial" w:hAnsi="Arial"/>
          <w:sz w:val="18"/>
          <w:szCs w:val="18"/>
          <w:color w:val="auto"/>
        </w:rPr>
        <w:t>” means Plains Midstream Canada ULC, a British Columbia limited liability company (formerly an Alberta unlimited liability corporation).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219" w:name="page220"/>
    <w:bookmarkEnd w:id="219"/>
    <w:p>
      <w:pPr>
        <w:ind w:left="-8" w:right="120" w:firstLine="464"/>
        <w:spacing w:after="0" w:line="259" w:lineRule="auto"/>
        <w:tabs>
          <w:tab w:leader="none" w:pos="668" w:val="left"/>
        </w:tabs>
        <w:numPr>
          <w:ilvl w:val="0"/>
          <w:numId w:val="1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references to “and purchase” in the second sentence of the definition of “Applicable Percentage”, “and purchase” in subclause (i) of clause (a) of the definition of “Commitment”, and “or purchase” in the definition of “Committed Borrowing”, each as set forth in Section 1.01 of the Original Agreement, are hereby deleted.</w:t>
      </w:r>
    </w:p>
    <w:p>
      <w:pPr>
        <w:spacing w:after="0" w:line="140" w:lineRule="exact"/>
        <w:rPr>
          <w:sz w:val="20"/>
          <w:szCs w:val="20"/>
          <w:color w:val="auto"/>
        </w:rPr>
      </w:pPr>
    </w:p>
    <w:p>
      <w:pPr>
        <w:ind w:left="592" w:hanging="136"/>
        <w:spacing w:after="0"/>
        <w:tabs>
          <w:tab w:leader="none" w:pos="592" w:val="left"/>
        </w:tabs>
        <w:numPr>
          <w:ilvl w:val="1"/>
          <w:numId w:val="199"/>
        </w:numPr>
        <w:rPr>
          <w:rFonts w:ascii="Arial" w:cs="Arial" w:eastAsia="Arial" w:hAnsi="Arial"/>
          <w:sz w:val="16"/>
          <w:szCs w:val="16"/>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Canadian BA’s</w:t>
      </w:r>
      <w:r>
        <w:rPr>
          <w:rFonts w:ascii="Arial" w:cs="Arial" w:eastAsia="Arial" w:hAnsi="Arial"/>
          <w:sz w:val="16"/>
          <w:szCs w:val="16"/>
          <w:color w:val="auto"/>
        </w:rPr>
        <w:t>. The references to “and purchase” in the first sentence of Section 2.01 of the Original Agreement, and “and purchased” in clause</w:t>
      </w:r>
    </w:p>
    <w:p>
      <w:pPr>
        <w:spacing w:after="0" w:line="38" w:lineRule="exact"/>
        <w:rPr>
          <w:rFonts w:ascii="Arial" w:cs="Arial" w:eastAsia="Arial" w:hAnsi="Arial"/>
          <w:sz w:val="16"/>
          <w:szCs w:val="16"/>
          <w:color w:val="auto"/>
        </w:rPr>
      </w:pPr>
    </w:p>
    <w:p>
      <w:pPr>
        <w:jc w:val="both"/>
        <w:ind w:left="-8" w:right="560" w:firstLine="8"/>
        <w:spacing w:after="0" w:line="302" w:lineRule="auto"/>
        <w:tabs>
          <w:tab w:leader="none" w:pos="241" w:val="left"/>
        </w:tabs>
        <w:numPr>
          <w:ilvl w:val="0"/>
          <w:numId w:val="199"/>
        </w:numPr>
        <w:rPr>
          <w:rFonts w:ascii="Arial" w:cs="Arial" w:eastAsia="Arial" w:hAnsi="Arial"/>
          <w:sz w:val="16"/>
          <w:szCs w:val="16"/>
          <w:color w:val="auto"/>
        </w:rPr>
      </w:pPr>
      <w:r>
        <w:rPr>
          <w:rFonts w:ascii="Arial" w:cs="Arial" w:eastAsia="Arial" w:hAnsi="Arial"/>
          <w:sz w:val="16"/>
          <w:szCs w:val="16"/>
          <w:color w:val="auto"/>
        </w:rPr>
        <w:t>of the proviso to Section 2.03(a)(i)(B) of the Original Agreement and clause (ii) of the proviso to Section 2.04(a) of the Original Agreement are hereby deleted, and the reference to “which term(s) shall be identical” in the first sentence of Section 4(a) of Schedule 2.01A to the Original Agreement is hereby amended to refer instead to “which term(s) shall, subject to the provisions hereof, be identical”.</w:t>
      </w:r>
    </w:p>
    <w:p>
      <w:pPr>
        <w:spacing w:after="0" w:line="109" w:lineRule="exact"/>
        <w:rPr>
          <w:rFonts w:ascii="Arial" w:cs="Arial" w:eastAsia="Arial" w:hAnsi="Arial"/>
          <w:sz w:val="16"/>
          <w:szCs w:val="16"/>
          <w:color w:val="auto"/>
        </w:rPr>
      </w:pPr>
    </w:p>
    <w:p>
      <w:pPr>
        <w:ind w:left="-8" w:right="400" w:firstLine="464"/>
        <w:spacing w:after="0" w:line="259" w:lineRule="auto"/>
        <w:tabs>
          <w:tab w:leader="none" w:pos="5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Indebtedness</w:t>
      </w:r>
      <w:r>
        <w:rPr>
          <w:rFonts w:ascii="Arial" w:cs="Arial" w:eastAsia="Arial" w:hAnsi="Arial"/>
          <w:sz w:val="18"/>
          <w:szCs w:val="18"/>
          <w:color w:val="auto"/>
        </w:rPr>
        <w:t>. The reference to “Plains Marketing (and guarantees thereof by its Subsidiaries)” in clause (i) of Section 7.02(d) of the Original Agreement is hereby amended to refer instead to “Plains Marketing (and guarantees thereof by its Subsidiaries) and PMCULC (and guarantees thereof by its Subsidiaries)”.</w:t>
      </w:r>
    </w:p>
    <w:p>
      <w:pPr>
        <w:spacing w:after="0" w:line="3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xml:space="preserve">ARTICLE III. — </w:t>
      </w:r>
      <w:r>
        <w:rPr>
          <w:rFonts w:ascii="Arial" w:cs="Arial" w:eastAsia="Arial" w:hAnsi="Arial"/>
          <w:sz w:val="18"/>
          <w:szCs w:val="18"/>
          <w:u w:val="single" w:color="auto"/>
          <w:color w:val="auto"/>
        </w:rPr>
        <w:t>Conditions of Effectiveness</w:t>
      </w:r>
    </w:p>
    <w:p>
      <w:pPr>
        <w:spacing w:after="0" w:line="171" w:lineRule="exact"/>
        <w:rPr>
          <w:sz w:val="20"/>
          <w:szCs w:val="20"/>
          <w:color w:val="auto"/>
        </w:rPr>
      </w:pPr>
    </w:p>
    <w:p>
      <w:pPr>
        <w:ind w:left="592" w:hanging="136"/>
        <w:spacing w:after="0"/>
        <w:tabs>
          <w:tab w:leader="none" w:pos="59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Effective Date</w:t>
      </w:r>
      <w:r>
        <w:rPr>
          <w:rFonts w:ascii="Arial" w:cs="Arial" w:eastAsia="Arial" w:hAnsi="Arial"/>
          <w:sz w:val="18"/>
          <w:szCs w:val="18"/>
          <w:color w:val="auto"/>
        </w:rPr>
        <w:t>. This Amendment shall become effective as of the date first written above, when and only when</w:t>
      </w:r>
    </w:p>
    <w:p>
      <w:pPr>
        <w:spacing w:after="0" w:line="90" w:lineRule="exact"/>
        <w:rPr>
          <w:rFonts w:ascii="Arial" w:cs="Arial" w:eastAsia="Arial" w:hAnsi="Arial"/>
          <w:sz w:val="18"/>
          <w:szCs w:val="18"/>
          <w:color w:val="auto"/>
        </w:rPr>
      </w:pPr>
    </w:p>
    <w:p>
      <w:pPr>
        <w:ind w:left="452" w:right="440" w:firstLine="443"/>
        <w:spacing w:after="0" w:line="268" w:lineRule="auto"/>
        <w:tabs>
          <w:tab w:leader="none" w:pos="11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Administrative Agent shall have received, at Administrative Agent’s office a counterpart of this Amendment executed and delivered by each Borrower, Administrative Agent, each L/C Issuer and Required Lenders; and</w:t>
      </w:r>
    </w:p>
    <w:p>
      <w:pPr>
        <w:spacing w:after="0" w:line="50" w:lineRule="exact"/>
        <w:rPr>
          <w:rFonts w:ascii="Arial" w:cs="Arial" w:eastAsia="Arial" w:hAnsi="Arial"/>
          <w:sz w:val="18"/>
          <w:szCs w:val="18"/>
          <w:color w:val="auto"/>
        </w:rPr>
      </w:pPr>
    </w:p>
    <w:p>
      <w:pPr>
        <w:ind w:left="452" w:right="240" w:firstLine="443"/>
        <w:spacing w:after="0" w:line="259" w:lineRule="auto"/>
        <w:tabs>
          <w:tab w:leader="none" w:pos="1149"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Administrative Agent shall have additionally received all of the following documents, each document (unless otherwise indicated) being dated the date of receipt thereof by Administrative Agent, duly authorized, executed and delivered, and in form and substance reasonably satisfactory to Administrative Agent:</w:t>
      </w:r>
    </w:p>
    <w:p>
      <w:pPr>
        <w:spacing w:after="0" w:line="59" w:lineRule="exact"/>
        <w:rPr>
          <w:sz w:val="20"/>
          <w:szCs w:val="20"/>
          <w:color w:val="auto"/>
        </w:rPr>
      </w:pPr>
    </w:p>
    <w:p>
      <w:pPr>
        <w:ind w:left="912"/>
        <w:spacing w:after="0"/>
        <w:rPr>
          <w:sz w:val="20"/>
          <w:szCs w:val="20"/>
          <w:color w:val="auto"/>
        </w:rPr>
      </w:pPr>
      <w:r>
        <w:rPr>
          <w:rFonts w:ascii="Arial" w:cs="Arial" w:eastAsia="Arial" w:hAnsi="Arial"/>
          <w:sz w:val="18"/>
          <w:szCs w:val="18"/>
          <w:u w:val="single" w:color="auto"/>
          <w:color w:val="auto"/>
        </w:rPr>
        <w:t>Supporting Documents</w:t>
      </w:r>
      <w:r>
        <w:rPr>
          <w:rFonts w:ascii="Arial" w:cs="Arial" w:eastAsia="Arial" w:hAnsi="Arial"/>
          <w:sz w:val="18"/>
          <w:szCs w:val="18"/>
          <w:color w:val="auto"/>
        </w:rPr>
        <w:t>. Such supporting documents as Administrative Agent may reasonably request.</w:t>
      </w:r>
    </w:p>
    <w:p>
      <w:pPr>
        <w:spacing w:after="0" w:line="33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xml:space="preserve">ARTICLE IV. — </w:t>
      </w:r>
      <w:r>
        <w:rPr>
          <w:rFonts w:ascii="Arial" w:cs="Arial" w:eastAsia="Arial" w:hAnsi="Arial"/>
          <w:sz w:val="18"/>
          <w:szCs w:val="18"/>
          <w:u w:val="single" w:color="auto"/>
          <w:color w:val="auto"/>
        </w:rPr>
        <w:t>Representations and Warranties</w:t>
      </w:r>
    </w:p>
    <w:p>
      <w:pPr>
        <w:spacing w:after="0" w:line="171" w:lineRule="exact"/>
        <w:rPr>
          <w:sz w:val="20"/>
          <w:szCs w:val="20"/>
          <w:color w:val="auto"/>
        </w:rPr>
      </w:pPr>
    </w:p>
    <w:p>
      <w:pPr>
        <w:ind w:left="-8" w:firstLine="464"/>
        <w:spacing w:after="0" w:line="268" w:lineRule="auto"/>
        <w:tabs>
          <w:tab w:leader="none" w:pos="5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In order to induce Administrative Agent, L/C Issuers and Lenders to enter into this Amendment, the Company represents and warrants to Administrative Agent, L/C Issuers and each Lender that:</w:t>
      </w:r>
    </w:p>
    <w:p>
      <w:pPr>
        <w:spacing w:after="0" w:line="51" w:lineRule="exact"/>
        <w:rPr>
          <w:sz w:val="20"/>
          <w:szCs w:val="20"/>
          <w:color w:val="auto"/>
        </w:rPr>
      </w:pPr>
    </w:p>
    <w:p>
      <w:pPr>
        <w:ind w:left="-8" w:right="120" w:firstLine="464"/>
        <w:spacing w:after="0" w:line="302" w:lineRule="auto"/>
        <w:tabs>
          <w:tab w:leader="none" w:pos="687" w:val="left"/>
        </w:tabs>
        <w:numPr>
          <w:ilvl w:val="1"/>
          <w:numId w:val="202"/>
        </w:numPr>
        <w:rPr>
          <w:rFonts w:ascii="Arial" w:cs="Arial" w:eastAsia="Arial" w:hAnsi="Arial"/>
          <w:sz w:val="15"/>
          <w:szCs w:val="15"/>
          <w:color w:val="auto"/>
        </w:rPr>
      </w:pPr>
      <w:r>
        <w:rPr>
          <w:rFonts w:ascii="Arial" w:cs="Arial" w:eastAsia="Arial" w:hAnsi="Arial"/>
          <w:sz w:val="15"/>
          <w:szCs w:val="15"/>
          <w:color w:val="auto"/>
        </w:rPr>
        <w:t xml:space="preserve">The representations and warranties of (i) the Company contained in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of the Credit Agreement and (ii) each Loan Party in any other Loan Document are true and correct in all material respects on and as of the date hereof, except to the extent that such representations and warranties specifically refer to an earlier date, in which case they shall be true and correct in all material respects as of such earlier date, and except that the representations and warranties contained in subsections (a) and (b) of </w:t>
      </w:r>
      <w:r>
        <w:rPr>
          <w:rFonts w:ascii="Arial" w:cs="Arial" w:eastAsia="Arial" w:hAnsi="Arial"/>
          <w:sz w:val="15"/>
          <w:szCs w:val="15"/>
          <w:u w:val="single" w:color="auto"/>
          <w:color w:val="auto"/>
        </w:rPr>
        <w:t>Section 5.05</w:t>
      </w:r>
      <w:r>
        <w:rPr>
          <w:rFonts w:ascii="Arial" w:cs="Arial" w:eastAsia="Arial" w:hAnsi="Arial"/>
          <w:sz w:val="15"/>
          <w:szCs w:val="15"/>
          <w:color w:val="auto"/>
        </w:rPr>
        <w:t xml:space="preserve"> of the Credit Agreement shall be deemed to refer to the most recent statements furnished pursuant to clauses</w:t>
      </w:r>
    </w:p>
    <w:p>
      <w:pPr>
        <w:spacing w:after="0" w:line="2" w:lineRule="exact"/>
        <w:rPr>
          <w:rFonts w:ascii="Arial" w:cs="Arial" w:eastAsia="Arial" w:hAnsi="Arial"/>
          <w:sz w:val="15"/>
          <w:szCs w:val="15"/>
          <w:color w:val="auto"/>
        </w:rPr>
      </w:pPr>
    </w:p>
    <w:p>
      <w:pPr>
        <w:ind w:left="232" w:hanging="232"/>
        <w:spacing w:after="0"/>
        <w:tabs>
          <w:tab w:leader="none" w:pos="23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and (b), respectively,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of the Credit Agreement.</w:t>
      </w:r>
    </w:p>
    <w:p>
      <w:pPr>
        <w:spacing w:after="0" w:line="15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80" w:right="239" w:bottom="1440" w:gutter="0" w:footer="0" w:header="0"/>
        </w:sectPr>
      </w:pPr>
    </w:p>
    <w:bookmarkStart w:id="220" w:name="page221"/>
    <w:bookmarkEnd w:id="22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No Default has occurred and is continuing.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V. — </w:t>
      </w:r>
      <w:r>
        <w:rPr>
          <w:rFonts w:ascii="Arial" w:cs="Arial" w:eastAsia="Arial" w:hAnsi="Arial"/>
          <w:sz w:val="18"/>
          <w:szCs w:val="18"/>
          <w:u w:val="single" w:color="auto"/>
          <w:color w:val="auto"/>
        </w:rPr>
        <w:t>Miscellaneous</w:t>
      </w:r>
    </w:p>
    <w:p>
      <w:pPr>
        <w:spacing w:after="0" w:line="171" w:lineRule="exact"/>
        <w:rPr>
          <w:sz w:val="20"/>
          <w:szCs w:val="20"/>
          <w:color w:val="auto"/>
        </w:rPr>
      </w:pPr>
    </w:p>
    <w:p>
      <w:pPr>
        <w:ind w:left="-20" w:right="140" w:firstLine="464"/>
        <w:spacing w:after="0" w:line="294" w:lineRule="auto"/>
        <w:tabs>
          <w:tab w:leader="none" w:pos="568"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Ratification of Agreements</w:t>
      </w:r>
      <w:r>
        <w:rPr>
          <w:rFonts w:ascii="Arial" w:cs="Arial" w:eastAsia="Arial" w:hAnsi="Arial"/>
          <w:sz w:val="16"/>
          <w:szCs w:val="16"/>
          <w:color w:val="auto"/>
        </w:rPr>
        <w:t>. The Original Agreement, as hereby amended, is hereby ratified and confirmed in all respects. The Loan Documents, as they may be amended or affected by this Amendment, are hereby ratified and confirmed in all respects by each Borrower. Any reference to the Original Agreement in any Loan Document shall be deemed to refer to the Credit Agreement. The execution, delivery and effectiveness of this Amendment shall not, except as expressly provided herein, operate as a waiver of any right, power or remedy of Administrative Agent, any L/C Issuer or any Lender under the Credit Agreement or any other Loan Document nor constitute a waiver of any provision of the Credit Agreement or any other Loan Document.</w:t>
      </w:r>
    </w:p>
    <w:p>
      <w:pPr>
        <w:spacing w:after="0" w:line="115" w:lineRule="exact"/>
        <w:rPr>
          <w:rFonts w:ascii="Arial" w:cs="Arial" w:eastAsia="Arial" w:hAnsi="Arial"/>
          <w:sz w:val="16"/>
          <w:szCs w:val="16"/>
          <w:color w:val="auto"/>
        </w:rPr>
      </w:pPr>
    </w:p>
    <w:p>
      <w:pPr>
        <w:ind w:left="580" w:hanging="136"/>
        <w:spacing w:after="0"/>
        <w:tabs>
          <w:tab w:leader="none" w:pos="58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Loan Documents</w:t>
      </w:r>
      <w:r>
        <w:rPr>
          <w:rFonts w:ascii="Arial" w:cs="Arial" w:eastAsia="Arial" w:hAnsi="Arial"/>
          <w:sz w:val="16"/>
          <w:szCs w:val="16"/>
          <w:color w:val="auto"/>
        </w:rPr>
        <w:t>. This Amendment is a Loan Document, and all provisions in the Credit Agreement pertaining to Loan Documents apply hereto.</w:t>
      </w:r>
    </w:p>
    <w:p>
      <w:pPr>
        <w:spacing w:after="0" w:line="188" w:lineRule="exact"/>
        <w:rPr>
          <w:rFonts w:ascii="Arial" w:cs="Arial" w:eastAsia="Arial" w:hAnsi="Arial"/>
          <w:sz w:val="16"/>
          <w:szCs w:val="16"/>
          <w:color w:val="auto"/>
        </w:rPr>
      </w:pPr>
    </w:p>
    <w:p>
      <w:pPr>
        <w:ind w:left="-20" w:firstLine="464"/>
        <w:spacing w:after="0" w:line="275" w:lineRule="auto"/>
        <w:tabs>
          <w:tab w:leader="none" w:pos="568"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5.3. GOVERNING LAW. THIS AMENDMENT SHALL BE GOVERNED BY, AND CONSTRUED IN ACCORDANCE WITH, THE LAWS OF THE STATE OF NEW YORK, WITHOUT REGARD TO PRINCIPLES OF CONFLICTS OF LAW</w:t>
      </w:r>
      <w:r>
        <w:rPr>
          <w:rFonts w:ascii="Arial" w:cs="Arial" w:eastAsia="Arial" w:hAnsi="Arial"/>
          <w:sz w:val="18"/>
          <w:szCs w:val="18"/>
          <w:b w:val="1"/>
          <w:bCs w:val="1"/>
          <w:color w:val="auto"/>
        </w:rPr>
        <w:t>.</w:t>
      </w:r>
    </w:p>
    <w:p>
      <w:pPr>
        <w:spacing w:after="0" w:line="125" w:lineRule="exact"/>
        <w:rPr>
          <w:rFonts w:ascii="Arial" w:cs="Arial" w:eastAsia="Arial" w:hAnsi="Arial"/>
          <w:sz w:val="18"/>
          <w:szCs w:val="18"/>
          <w:b w:val="1"/>
          <w:bCs w:val="1"/>
          <w:color w:val="auto"/>
        </w:rPr>
      </w:pPr>
    </w:p>
    <w:p>
      <w:pPr>
        <w:jc w:val="both"/>
        <w:ind w:left="-20" w:right="480" w:firstLine="464"/>
        <w:spacing w:after="0" w:line="306" w:lineRule="auto"/>
        <w:tabs>
          <w:tab w:leader="none" w:pos="568"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pacing w:after="0" w:line="106" w:lineRule="exact"/>
        <w:rPr>
          <w:rFonts w:ascii="Arial" w:cs="Arial" w:eastAsia="Arial" w:hAnsi="Arial"/>
          <w:sz w:val="16"/>
          <w:szCs w:val="16"/>
          <w:color w:val="auto"/>
        </w:rPr>
      </w:pPr>
    </w:p>
    <w:p>
      <w:pPr>
        <w:jc w:val="both"/>
        <w:ind w:left="-20" w:right="180" w:firstLine="464"/>
        <w:spacing w:after="0" w:line="259" w:lineRule="auto"/>
        <w:tabs>
          <w:tab w:leader="none" w:pos="56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80" w:right="25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Amendment is executed as of the date first above written.</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PLAINS ALL AMERICAN PIPELINE, L.P.</w:t>
      </w:r>
    </w:p>
    <w:p>
      <w:pPr>
        <w:spacing w:after="0" w:line="1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PAA GP LLC, its general partner</w:t>
      </w:r>
    </w:p>
    <w:p>
      <w:pPr>
        <w:spacing w:after="0" w:line="11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PLAINS AAP, L.P., its sole member</w:t>
      </w:r>
    </w:p>
    <w:p>
      <w:pPr>
        <w:spacing w:after="0" w:line="11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PLAINS ALL AMERICAN GP LLC,</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Charles Kingswell-Smith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10795</wp:posOffset>
            </wp:positionV>
            <wp:extent cx="271843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Charles Kingswell-Smith</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Vice President and Treasurer</w:t>
      </w:r>
    </w:p>
    <w:p>
      <w:pPr>
        <w:spacing w:after="0" w:line="19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PLAINS MIDSTREAM CANADA ULC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Charles Kingswell-Smith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10795</wp:posOffset>
            </wp:positionV>
            <wp:extent cx="271843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Charles Kingswell-Smith</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Vice President and Treasurer</w:t>
      </w:r>
    </w:p>
    <w:p>
      <w:pPr>
        <w:spacing w:after="0" w:line="19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BANK OF AMERICA, N.A.,</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as Administrative Agent</w:t>
      </w:r>
    </w:p>
    <w:p>
      <w:pPr>
        <w:spacing w:after="0" w:line="219"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Bridgett J. Manduk</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Bridgett J. Manduk</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Assistant Vice President</w:t>
            </w:r>
          </w:p>
        </w:tc>
      </w:tr>
    </w:tbl>
    <w:p>
      <w:pPr>
        <w:spacing w:after="0" w:line="19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BANK OF AMERICA, N.A.,</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as a Lender, L/C Issuer and Swing Line Lender</w:t>
      </w:r>
    </w:p>
    <w:p>
      <w:pPr>
        <w:spacing w:after="0" w:line="219"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Adam H. Fey</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Adam H. Fey</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Director</w:t>
            </w:r>
          </w:p>
        </w:tc>
      </w:tr>
    </w:tbl>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PAA First Amendment</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60"/>
          </w:cols>
          <w:pgMar w:left="700" w:top="280" w:right="239" w:bottom="1440" w:gutter="0" w:footer="0" w:header="0"/>
        </w:sectPr>
      </w:pPr>
    </w:p>
    <w:bookmarkStart w:id="222" w:name="page223"/>
    <w:bookmarkEnd w:id="222"/>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BANK, NATIONAL</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ASSOCIATION, </w:t>
      </w:r>
      <w:r>
        <w:rPr>
          <w:rFonts w:ascii="Arial" w:cs="Arial" w:eastAsia="Arial" w:hAnsi="Arial"/>
          <w:sz w:val="18"/>
          <w:szCs w:val="18"/>
          <w:color w:val="auto"/>
        </w:rPr>
        <w:t>as a Lender and L/C Issuer</w:t>
      </w:r>
    </w:p>
    <w:p>
      <w:pPr>
        <w:spacing w:after="0" w:line="232"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Mark Oberreuter</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Mark Oberreuter</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90"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DNB BANK ASA, GRAND CAYMAN</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BRANCH</w:t>
      </w:r>
      <w:r>
        <w:rPr>
          <w:rFonts w:ascii="Arial" w:cs="Arial" w:eastAsia="Arial" w:hAnsi="Arial"/>
          <w:sz w:val="18"/>
          <w:szCs w:val="18"/>
          <w:color w:val="auto"/>
        </w:rPr>
        <w:t>, as a Lender</w:t>
      </w:r>
    </w:p>
    <w:p>
      <w:pPr>
        <w:spacing w:after="0" w:line="232"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Henrik Asland</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Henrik Asland</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Senior Vice President</w:t>
            </w:r>
          </w:p>
        </w:tc>
      </w:tr>
      <w:tr>
        <w:trPr>
          <w:trHeight w:val="63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Pål Boger</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Pål Boger</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90"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JPMORGAN CHASE BANK</w:t>
      </w:r>
      <w:r>
        <w:rPr>
          <w:rFonts w:ascii="Arial" w:cs="Arial" w:eastAsia="Arial" w:hAnsi="Arial"/>
          <w:sz w:val="18"/>
          <w:szCs w:val="18"/>
          <w:color w:val="auto"/>
        </w:rPr>
        <w:t>,</w:t>
      </w:r>
      <w:r>
        <w:rPr>
          <w:rFonts w:ascii="Arial" w:cs="Arial" w:eastAsia="Arial" w:hAnsi="Arial"/>
          <w:sz w:val="18"/>
          <w:szCs w:val="18"/>
          <w:b w:val="1"/>
          <w:bCs w:val="1"/>
          <w:color w:val="auto"/>
        </w:rPr>
        <w:t xml:space="preserve"> N.A., </w:t>
      </w:r>
      <w:r>
        <w:rPr>
          <w:rFonts w:ascii="Arial" w:cs="Arial" w:eastAsia="Arial" w:hAnsi="Arial"/>
          <w:sz w:val="18"/>
          <w:szCs w:val="18"/>
          <w:color w:val="auto"/>
        </w:rPr>
        <w:t>as a Lender</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Kenneth J. Fatur</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Kenneth J. Fatur</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Managing Director</w:t>
            </w:r>
          </w:p>
        </w:tc>
      </w:tr>
    </w:tbl>
    <w:p>
      <w:pPr>
        <w:spacing w:after="0" w:line="190"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SUNTRUST BANK</w:t>
      </w:r>
      <w:r>
        <w:rPr>
          <w:rFonts w:ascii="Arial" w:cs="Arial" w:eastAsia="Arial" w:hAnsi="Arial"/>
          <w:sz w:val="18"/>
          <w:szCs w:val="18"/>
          <w:color w:val="auto"/>
        </w:rPr>
        <w:t>, as a Lender</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Andrew Johnson</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Andrew Johnson</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Director</w:t>
            </w:r>
          </w:p>
        </w:tc>
      </w:tr>
    </w:tbl>
    <w:p>
      <w:pPr>
        <w:spacing w:after="0" w:line="190"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SOCIETE GENERALE</w:t>
      </w:r>
      <w:r>
        <w:rPr>
          <w:rFonts w:ascii="Arial" w:cs="Arial" w:eastAsia="Arial" w:hAnsi="Arial"/>
          <w:sz w:val="18"/>
          <w:szCs w:val="18"/>
          <w:color w:val="auto"/>
        </w:rPr>
        <w:t>, as a Lender</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Chad Clark</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Chad Clark</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Managing Director</w:t>
            </w:r>
          </w:p>
        </w:tc>
      </w:tr>
    </w:tbl>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PAA First Amendment</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220"/>
          </w:cols>
          <w:pgMar w:left="1440" w:top="274" w:right="239" w:bottom="1440" w:gutter="0" w:footer="0" w:header="0"/>
        </w:sectPr>
      </w:pPr>
    </w:p>
    <w:bookmarkStart w:id="223" w:name="page224"/>
    <w:bookmarkEnd w:id="223"/>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BARCLAYS BANK PLC</w:t>
      </w:r>
      <w:r>
        <w:rPr>
          <w:rFonts w:ascii="Arial" w:cs="Arial" w:eastAsia="Arial" w:hAnsi="Arial"/>
          <w:sz w:val="18"/>
          <w:szCs w:val="18"/>
          <w:color w:val="auto"/>
        </w:rPr>
        <w:t>, as a Lender</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1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/s/ Michael J. Mozer</w:t>
            </w:r>
          </w:p>
        </w:tc>
        <w:tc>
          <w:tcPr>
            <w:tcW w:w="2360" w:type="dxa"/>
            <w:vAlign w:val="bottom"/>
            <w:tcBorders>
              <w:bottom w:val="single" w:sz="8" w:color="auto"/>
            </w:tcBorders>
          </w:tcPr>
          <w:p>
            <w:pPr>
              <w:spacing w:after="0"/>
              <w:rPr>
                <w:sz w:val="19"/>
                <w:szCs w:val="19"/>
                <w:color w:val="auto"/>
              </w:rPr>
            </w:pP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1660" w:type="dxa"/>
            <w:vAlign w:val="bottom"/>
          </w:tcPr>
          <w:p>
            <w:pPr>
              <w:ind w:left="40"/>
              <w:spacing w:after="0" w:line="203" w:lineRule="exact"/>
              <w:rPr>
                <w:sz w:val="20"/>
                <w:szCs w:val="20"/>
                <w:color w:val="auto"/>
              </w:rPr>
            </w:pPr>
            <w:r>
              <w:rPr>
                <w:rFonts w:ascii="Arial" w:cs="Arial" w:eastAsia="Arial" w:hAnsi="Arial"/>
                <w:sz w:val="18"/>
                <w:szCs w:val="18"/>
                <w:color w:val="auto"/>
              </w:rPr>
              <w:t>Michael J. Mozer</w:t>
            </w:r>
          </w:p>
        </w:tc>
        <w:tc>
          <w:tcPr>
            <w:tcW w:w="2360" w:type="dxa"/>
            <w:vAlign w:val="bottom"/>
          </w:tcPr>
          <w:p>
            <w:pPr>
              <w:spacing w:after="0"/>
              <w:rPr>
                <w:sz w:val="17"/>
                <w:szCs w:val="17"/>
                <w:color w:val="auto"/>
              </w:rPr>
            </w:pP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1660" w:type="dxa"/>
            <w:vAlign w:val="bottom"/>
          </w:tcPr>
          <w:p>
            <w:pPr>
              <w:ind w:left="40"/>
              <w:spacing w:after="0"/>
              <w:rPr>
                <w:sz w:val="20"/>
                <w:szCs w:val="20"/>
                <w:color w:val="auto"/>
              </w:rPr>
            </w:pPr>
            <w:r>
              <w:rPr>
                <w:rFonts w:ascii="Arial" w:cs="Arial" w:eastAsia="Arial" w:hAnsi="Arial"/>
                <w:sz w:val="18"/>
                <w:szCs w:val="18"/>
                <w:color w:val="auto"/>
              </w:rPr>
              <w:t>Vice President</w:t>
            </w:r>
          </w:p>
        </w:tc>
        <w:tc>
          <w:tcPr>
            <w:tcW w:w="2360" w:type="dxa"/>
            <w:vAlign w:val="bottom"/>
          </w:tcPr>
          <w:p>
            <w:pPr>
              <w:spacing w:after="0"/>
              <w:rPr>
                <w:sz w:val="19"/>
                <w:szCs w:val="19"/>
                <w:color w:val="auto"/>
              </w:rPr>
            </w:pPr>
          </w:p>
        </w:tc>
      </w:tr>
      <w:tr>
        <w:trPr>
          <w:trHeight w:val="419"/>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w w:val="91"/>
              </w:rPr>
              <w:t>CITIBANK, N.A</w:t>
            </w:r>
            <w:r>
              <w:rPr>
                <w:rFonts w:ascii="Arial" w:cs="Arial" w:eastAsia="Arial" w:hAnsi="Arial"/>
                <w:sz w:val="18"/>
                <w:szCs w:val="18"/>
                <w:color w:val="auto"/>
                <w:w w:val="91"/>
              </w:rPr>
              <w:t>., as a Lender</w:t>
            </w:r>
          </w:p>
        </w:tc>
        <w:tc>
          <w:tcPr>
            <w:tcW w:w="2360" w:type="dxa"/>
            <w:vAlign w:val="bottom"/>
          </w:tcPr>
          <w:p>
            <w:pPr>
              <w:spacing w:after="0"/>
              <w:rPr>
                <w:sz w:val="24"/>
                <w:szCs w:val="24"/>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1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F. Miller</w:t>
            </w:r>
          </w:p>
        </w:tc>
        <w:tc>
          <w:tcPr>
            <w:tcW w:w="2360" w:type="dxa"/>
            <w:vAlign w:val="bottom"/>
            <w:tcBorders>
              <w:bottom w:val="single" w:sz="8" w:color="auto"/>
            </w:tcBorders>
          </w:tcPr>
          <w:p>
            <w:pPr>
              <w:spacing w:after="0"/>
              <w:rPr>
                <w:sz w:val="24"/>
                <w:szCs w:val="24"/>
                <w:color w:val="auto"/>
              </w:rPr>
            </w:pP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1660" w:type="dxa"/>
            <w:vAlign w:val="bottom"/>
          </w:tcPr>
          <w:p>
            <w:pPr>
              <w:ind w:left="40"/>
              <w:spacing w:after="0" w:line="203" w:lineRule="exact"/>
              <w:rPr>
                <w:sz w:val="20"/>
                <w:szCs w:val="20"/>
                <w:color w:val="auto"/>
              </w:rPr>
            </w:pPr>
            <w:r>
              <w:rPr>
                <w:rFonts w:ascii="Arial" w:cs="Arial" w:eastAsia="Arial" w:hAnsi="Arial"/>
                <w:sz w:val="18"/>
                <w:szCs w:val="18"/>
                <w:color w:val="auto"/>
              </w:rPr>
              <w:t>John F. Miller</w:t>
            </w:r>
          </w:p>
        </w:tc>
        <w:tc>
          <w:tcPr>
            <w:tcW w:w="2360" w:type="dxa"/>
            <w:vAlign w:val="bottom"/>
          </w:tcPr>
          <w:p>
            <w:pPr>
              <w:spacing w:after="0"/>
              <w:rPr>
                <w:sz w:val="17"/>
                <w:szCs w:val="17"/>
                <w:color w:val="auto"/>
              </w:rPr>
            </w:pP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1660" w:type="dxa"/>
            <w:vAlign w:val="bottom"/>
          </w:tcPr>
          <w:p>
            <w:pPr>
              <w:ind w:left="40"/>
              <w:spacing w:after="0"/>
              <w:rPr>
                <w:sz w:val="20"/>
                <w:szCs w:val="20"/>
                <w:color w:val="auto"/>
              </w:rPr>
            </w:pPr>
            <w:r>
              <w:rPr>
                <w:rFonts w:ascii="Arial" w:cs="Arial" w:eastAsia="Arial" w:hAnsi="Arial"/>
                <w:sz w:val="18"/>
                <w:szCs w:val="18"/>
                <w:color w:val="auto"/>
              </w:rPr>
              <w:t>Attorney-in-Fact</w:t>
            </w:r>
          </w:p>
        </w:tc>
        <w:tc>
          <w:tcPr>
            <w:tcW w:w="2360" w:type="dxa"/>
            <w:vAlign w:val="bottom"/>
          </w:tcPr>
          <w:p>
            <w:pPr>
              <w:spacing w:after="0"/>
              <w:rPr>
                <w:sz w:val="19"/>
                <w:szCs w:val="19"/>
                <w:color w:val="auto"/>
              </w:rPr>
            </w:pPr>
          </w:p>
        </w:tc>
      </w:tr>
      <w:tr>
        <w:trPr>
          <w:trHeight w:val="412"/>
        </w:trPr>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MIZUHO CORPORATE BANK, LTD.</w:t>
            </w:r>
            <w:r>
              <w:rPr>
                <w:rFonts w:ascii="Arial" w:cs="Arial" w:eastAsia="Arial" w:hAnsi="Arial"/>
                <w:sz w:val="18"/>
                <w:szCs w:val="18"/>
                <w:color w:val="auto"/>
              </w:rPr>
              <w:t>,</w:t>
            </w:r>
          </w:p>
        </w:tc>
      </w:tr>
      <w:tr>
        <w:trPr>
          <w:trHeight w:val="222"/>
        </w:trPr>
        <w:tc>
          <w:tcPr>
            <w:tcW w:w="2200" w:type="dxa"/>
            <w:vAlign w:val="bottom"/>
            <w:gridSpan w:val="2"/>
          </w:tcPr>
          <w:p>
            <w:pPr>
              <w:spacing w:after="0"/>
              <w:rPr>
                <w:sz w:val="20"/>
                <w:szCs w:val="20"/>
                <w:color w:val="auto"/>
              </w:rPr>
            </w:pPr>
            <w:r>
              <w:rPr>
                <w:rFonts w:ascii="Arial" w:cs="Arial" w:eastAsia="Arial" w:hAnsi="Arial"/>
                <w:sz w:val="18"/>
                <w:szCs w:val="18"/>
                <w:color w:val="auto"/>
              </w:rPr>
              <w:t>as a Lender</w:t>
            </w:r>
          </w:p>
        </w:tc>
        <w:tc>
          <w:tcPr>
            <w:tcW w:w="2360" w:type="dxa"/>
            <w:vAlign w:val="bottom"/>
          </w:tcPr>
          <w:p>
            <w:pPr>
              <w:spacing w:after="0"/>
              <w:rPr>
                <w:sz w:val="19"/>
                <w:szCs w:val="19"/>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1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Leon Mo</w:t>
            </w:r>
          </w:p>
        </w:tc>
        <w:tc>
          <w:tcPr>
            <w:tcW w:w="2360" w:type="dxa"/>
            <w:vAlign w:val="bottom"/>
            <w:tcBorders>
              <w:bottom w:val="single" w:sz="8" w:color="auto"/>
            </w:tcBorders>
          </w:tcPr>
          <w:p>
            <w:pPr>
              <w:spacing w:after="0"/>
              <w:rPr>
                <w:sz w:val="24"/>
                <w:szCs w:val="24"/>
                <w:color w:val="auto"/>
              </w:rPr>
            </w:pP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1660" w:type="dxa"/>
            <w:vAlign w:val="bottom"/>
          </w:tcPr>
          <w:p>
            <w:pPr>
              <w:ind w:left="40"/>
              <w:spacing w:after="0" w:line="203" w:lineRule="exact"/>
              <w:rPr>
                <w:sz w:val="20"/>
                <w:szCs w:val="20"/>
                <w:color w:val="auto"/>
              </w:rPr>
            </w:pPr>
            <w:r>
              <w:rPr>
                <w:rFonts w:ascii="Arial" w:cs="Arial" w:eastAsia="Arial" w:hAnsi="Arial"/>
                <w:sz w:val="18"/>
                <w:szCs w:val="18"/>
                <w:color w:val="auto"/>
              </w:rPr>
              <w:t>Leon Mo</w:t>
            </w:r>
          </w:p>
        </w:tc>
        <w:tc>
          <w:tcPr>
            <w:tcW w:w="2360" w:type="dxa"/>
            <w:vAlign w:val="bottom"/>
          </w:tcPr>
          <w:p>
            <w:pPr>
              <w:spacing w:after="0"/>
              <w:rPr>
                <w:sz w:val="17"/>
                <w:szCs w:val="17"/>
                <w:color w:val="auto"/>
              </w:rPr>
            </w:pP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1660" w:type="dxa"/>
            <w:vAlign w:val="bottom"/>
          </w:tcPr>
          <w:p>
            <w:pPr>
              <w:ind w:left="40"/>
              <w:spacing w:after="0"/>
              <w:rPr>
                <w:sz w:val="20"/>
                <w:szCs w:val="20"/>
                <w:color w:val="auto"/>
              </w:rPr>
            </w:pPr>
            <w:r>
              <w:rPr>
                <w:rFonts w:ascii="Arial" w:cs="Arial" w:eastAsia="Arial" w:hAnsi="Arial"/>
                <w:sz w:val="18"/>
                <w:szCs w:val="18"/>
                <w:color w:val="auto"/>
                <w:w w:val="95"/>
              </w:rPr>
              <w:t>Authorized Signatory</w:t>
            </w:r>
          </w:p>
        </w:tc>
        <w:tc>
          <w:tcPr>
            <w:tcW w:w="2360" w:type="dxa"/>
            <w:vAlign w:val="bottom"/>
          </w:tcPr>
          <w:p>
            <w:pPr>
              <w:spacing w:after="0"/>
              <w:rPr>
                <w:sz w:val="19"/>
                <w:szCs w:val="19"/>
                <w:color w:val="auto"/>
              </w:rPr>
            </w:pPr>
          </w:p>
        </w:tc>
      </w:tr>
      <w:tr>
        <w:trPr>
          <w:trHeight w:val="419"/>
        </w:trPr>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UBS LOAN FINANCE LLC</w:t>
            </w:r>
            <w:r>
              <w:rPr>
                <w:rFonts w:ascii="Arial" w:cs="Arial" w:eastAsia="Arial" w:hAnsi="Arial"/>
                <w:sz w:val="18"/>
                <w:szCs w:val="18"/>
                <w:color w:val="auto"/>
              </w:rPr>
              <w:t>, as a Lender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1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Irja R. Otsa</w:t>
            </w:r>
          </w:p>
        </w:tc>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Mary E. Evans</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1660" w:type="dxa"/>
            <w:vAlign w:val="bottom"/>
          </w:tcPr>
          <w:p>
            <w:pPr>
              <w:ind w:left="40"/>
              <w:spacing w:after="0" w:line="203" w:lineRule="exact"/>
              <w:rPr>
                <w:sz w:val="20"/>
                <w:szCs w:val="20"/>
                <w:color w:val="auto"/>
              </w:rPr>
            </w:pPr>
            <w:r>
              <w:rPr>
                <w:rFonts w:ascii="Arial" w:cs="Arial" w:eastAsia="Arial" w:hAnsi="Arial"/>
                <w:sz w:val="18"/>
                <w:szCs w:val="18"/>
                <w:color w:val="auto"/>
              </w:rPr>
              <w:t>Irja R. Otsa</w:t>
            </w:r>
          </w:p>
        </w:tc>
        <w:tc>
          <w:tcPr>
            <w:tcW w:w="2360" w:type="dxa"/>
            <w:vAlign w:val="bottom"/>
          </w:tcPr>
          <w:p>
            <w:pPr>
              <w:ind w:left="80"/>
              <w:spacing w:after="0" w:line="203" w:lineRule="exact"/>
              <w:rPr>
                <w:sz w:val="20"/>
                <w:szCs w:val="20"/>
                <w:color w:val="auto"/>
              </w:rPr>
            </w:pPr>
            <w:r>
              <w:rPr>
                <w:rFonts w:ascii="Arial" w:cs="Arial" w:eastAsia="Arial" w:hAnsi="Arial"/>
                <w:sz w:val="18"/>
                <w:szCs w:val="18"/>
                <w:color w:val="auto"/>
              </w:rPr>
              <w:t>Mary E. Evans</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1660" w:type="dxa"/>
            <w:vAlign w:val="bottom"/>
          </w:tcPr>
          <w:p>
            <w:pPr>
              <w:ind w:left="40"/>
              <w:spacing w:after="0"/>
              <w:rPr>
                <w:sz w:val="20"/>
                <w:szCs w:val="20"/>
                <w:color w:val="auto"/>
              </w:rPr>
            </w:pPr>
            <w:r>
              <w:rPr>
                <w:rFonts w:ascii="Arial" w:cs="Arial" w:eastAsia="Arial" w:hAnsi="Arial"/>
                <w:sz w:val="18"/>
                <w:szCs w:val="18"/>
                <w:color w:val="auto"/>
              </w:rPr>
              <w:t>Assoc. Director</w:t>
            </w:r>
          </w:p>
        </w:tc>
        <w:tc>
          <w:tcPr>
            <w:tcW w:w="2360" w:type="dxa"/>
            <w:vAlign w:val="bottom"/>
          </w:tcPr>
          <w:p>
            <w:pPr>
              <w:spacing w:after="0"/>
              <w:rPr>
                <w:sz w:val="20"/>
                <w:szCs w:val="20"/>
                <w:color w:val="auto"/>
              </w:rPr>
            </w:pPr>
            <w:r>
              <w:rPr>
                <w:rFonts w:ascii="Arial" w:cs="Arial" w:eastAsia="Arial" w:hAnsi="Arial"/>
                <w:sz w:val="18"/>
                <w:szCs w:val="18"/>
                <w:color w:val="auto"/>
              </w:rPr>
              <w:t>Assoc. Director</w:t>
            </w:r>
          </w:p>
        </w:tc>
      </w:tr>
      <w:tr>
        <w:trPr>
          <w:trHeight w:val="419"/>
        </w:trPr>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THE BANK OF NOVA SCOTIA</w:t>
            </w:r>
            <w:r>
              <w:rPr>
                <w:rFonts w:ascii="Arial" w:cs="Arial" w:eastAsia="Arial" w:hAnsi="Arial"/>
                <w:sz w:val="18"/>
                <w:szCs w:val="18"/>
                <w:color w:val="auto"/>
              </w:rPr>
              <w:t>, as a Lender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1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Mark Sparrow</w:t>
            </w:r>
          </w:p>
        </w:tc>
        <w:tc>
          <w:tcPr>
            <w:tcW w:w="2360" w:type="dxa"/>
            <w:vAlign w:val="bottom"/>
            <w:tcBorders>
              <w:bottom w:val="single" w:sz="8" w:color="auto"/>
            </w:tcBorders>
          </w:tcPr>
          <w:p>
            <w:pPr>
              <w:spacing w:after="0"/>
              <w:rPr>
                <w:sz w:val="24"/>
                <w:szCs w:val="24"/>
                <w:color w:val="auto"/>
              </w:rPr>
            </w:pP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1660" w:type="dxa"/>
            <w:vAlign w:val="bottom"/>
          </w:tcPr>
          <w:p>
            <w:pPr>
              <w:ind w:left="40"/>
              <w:spacing w:after="0" w:line="203" w:lineRule="exact"/>
              <w:rPr>
                <w:sz w:val="20"/>
                <w:szCs w:val="20"/>
                <w:color w:val="auto"/>
              </w:rPr>
            </w:pPr>
            <w:r>
              <w:rPr>
                <w:rFonts w:ascii="Arial" w:cs="Arial" w:eastAsia="Arial" w:hAnsi="Arial"/>
                <w:sz w:val="18"/>
                <w:szCs w:val="18"/>
                <w:color w:val="auto"/>
              </w:rPr>
              <w:t>Mark Sparrow</w:t>
            </w:r>
          </w:p>
        </w:tc>
        <w:tc>
          <w:tcPr>
            <w:tcW w:w="2360" w:type="dxa"/>
            <w:vAlign w:val="bottom"/>
          </w:tcPr>
          <w:p>
            <w:pPr>
              <w:spacing w:after="0"/>
              <w:rPr>
                <w:sz w:val="17"/>
                <w:szCs w:val="17"/>
                <w:color w:val="auto"/>
              </w:rPr>
            </w:pP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1660" w:type="dxa"/>
            <w:vAlign w:val="bottom"/>
          </w:tcPr>
          <w:p>
            <w:pPr>
              <w:ind w:left="40"/>
              <w:spacing w:after="0"/>
              <w:rPr>
                <w:sz w:val="20"/>
                <w:szCs w:val="20"/>
                <w:color w:val="auto"/>
              </w:rPr>
            </w:pPr>
            <w:r>
              <w:rPr>
                <w:rFonts w:ascii="Arial" w:cs="Arial" w:eastAsia="Arial" w:hAnsi="Arial"/>
                <w:sz w:val="18"/>
                <w:szCs w:val="18"/>
                <w:color w:val="auto"/>
              </w:rPr>
              <w:t>Director</w:t>
            </w:r>
          </w:p>
        </w:tc>
        <w:tc>
          <w:tcPr>
            <w:tcW w:w="2360" w:type="dxa"/>
            <w:vAlign w:val="bottom"/>
          </w:tcPr>
          <w:p>
            <w:pPr>
              <w:spacing w:after="0"/>
              <w:rPr>
                <w:sz w:val="19"/>
                <w:szCs w:val="19"/>
                <w:color w:val="auto"/>
              </w:rPr>
            </w:pPr>
          </w:p>
        </w:tc>
      </w:tr>
      <w:tr>
        <w:trPr>
          <w:trHeight w:val="419"/>
        </w:trPr>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ROYAL BANK OF CANADA</w:t>
            </w:r>
            <w:r>
              <w:rPr>
                <w:rFonts w:ascii="Arial" w:cs="Arial" w:eastAsia="Arial" w:hAnsi="Arial"/>
                <w:sz w:val="18"/>
                <w:szCs w:val="18"/>
                <w:color w:val="auto"/>
              </w:rPr>
              <w:t>, as a Lender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1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Kristan Spivey</w:t>
            </w:r>
          </w:p>
        </w:tc>
        <w:tc>
          <w:tcPr>
            <w:tcW w:w="2360" w:type="dxa"/>
            <w:vAlign w:val="bottom"/>
            <w:tcBorders>
              <w:bottom w:val="single" w:sz="8" w:color="auto"/>
            </w:tcBorders>
          </w:tcPr>
          <w:p>
            <w:pPr>
              <w:spacing w:after="0"/>
              <w:rPr>
                <w:sz w:val="24"/>
                <w:szCs w:val="24"/>
                <w:color w:val="auto"/>
              </w:rPr>
            </w:pP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1660" w:type="dxa"/>
            <w:vAlign w:val="bottom"/>
          </w:tcPr>
          <w:p>
            <w:pPr>
              <w:ind w:left="40"/>
              <w:spacing w:after="0" w:line="203" w:lineRule="exact"/>
              <w:rPr>
                <w:sz w:val="20"/>
                <w:szCs w:val="20"/>
                <w:color w:val="auto"/>
              </w:rPr>
            </w:pPr>
            <w:r>
              <w:rPr>
                <w:rFonts w:ascii="Arial" w:cs="Arial" w:eastAsia="Arial" w:hAnsi="Arial"/>
                <w:sz w:val="18"/>
                <w:szCs w:val="18"/>
                <w:color w:val="auto"/>
              </w:rPr>
              <w:t>Kristan Spivey</w:t>
            </w:r>
          </w:p>
        </w:tc>
        <w:tc>
          <w:tcPr>
            <w:tcW w:w="2360" w:type="dxa"/>
            <w:vAlign w:val="bottom"/>
          </w:tcPr>
          <w:p>
            <w:pPr>
              <w:spacing w:after="0"/>
              <w:rPr>
                <w:sz w:val="17"/>
                <w:szCs w:val="17"/>
                <w:color w:val="auto"/>
              </w:rPr>
            </w:pP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1660" w:type="dxa"/>
            <w:vAlign w:val="bottom"/>
          </w:tcPr>
          <w:p>
            <w:pPr>
              <w:ind w:left="40"/>
              <w:spacing w:after="0"/>
              <w:rPr>
                <w:sz w:val="20"/>
                <w:szCs w:val="20"/>
                <w:color w:val="auto"/>
              </w:rPr>
            </w:pPr>
            <w:r>
              <w:rPr>
                <w:rFonts w:ascii="Arial" w:cs="Arial" w:eastAsia="Arial" w:hAnsi="Arial"/>
                <w:sz w:val="18"/>
                <w:szCs w:val="18"/>
                <w:color w:val="auto"/>
                <w:w w:val="95"/>
              </w:rPr>
              <w:t>Authorized Signatory</w:t>
            </w:r>
          </w:p>
        </w:tc>
        <w:tc>
          <w:tcPr>
            <w:tcW w:w="2360" w:type="dxa"/>
            <w:vAlign w:val="bottom"/>
          </w:tcPr>
          <w:p>
            <w:pPr>
              <w:spacing w:after="0"/>
              <w:rPr>
                <w:sz w:val="19"/>
                <w:szCs w:val="19"/>
                <w:color w:val="auto"/>
              </w:rPr>
            </w:pPr>
          </w:p>
        </w:tc>
      </w:tr>
    </w:tbl>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PAA First Amendment</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220"/>
          </w:cols>
          <w:pgMar w:left="1440" w:top="274" w:right="239" w:bottom="1440" w:gutter="0" w:footer="0" w:header="0"/>
        </w:sectPr>
      </w:pPr>
    </w:p>
    <w:bookmarkStart w:id="224" w:name="page225"/>
    <w:bookmarkEnd w:id="224"/>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BANK NATIONAL ASSOCIATION,</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Justin Alexander</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Justin Alexander</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Joseph Rauhala</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Joseph Rauhala</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Principal Officer</w:t>
            </w:r>
          </w:p>
        </w:tc>
      </w:tr>
    </w:tbl>
    <w:p>
      <w:pPr>
        <w:spacing w:after="0" w:line="20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THE BANK OF TOKYO-MITSUBISHI UFJ,</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LTD.</w:t>
      </w:r>
      <w:r>
        <w:rPr>
          <w:rFonts w:ascii="Arial" w:cs="Arial" w:eastAsia="Arial" w:hAnsi="Arial"/>
          <w:sz w:val="18"/>
          <w:szCs w:val="18"/>
          <w:color w:val="auto"/>
        </w:rPr>
        <w:t>, as a Lender</w:t>
      </w:r>
    </w:p>
    <w:p>
      <w:pPr>
        <w:spacing w:after="0" w:line="219"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Andrew Oram</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Andrew Oram</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Managing Director</w:t>
            </w:r>
          </w:p>
        </w:tc>
      </w:tr>
    </w:tbl>
    <w:p>
      <w:pPr>
        <w:spacing w:after="0" w:line="20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SUMITOMO MITSUI BANKING</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CORPORATION</w:t>
      </w:r>
      <w:r>
        <w:rPr>
          <w:rFonts w:ascii="Arial" w:cs="Arial" w:eastAsia="Arial" w:hAnsi="Arial"/>
          <w:sz w:val="18"/>
          <w:szCs w:val="18"/>
          <w:color w:val="auto"/>
        </w:rPr>
        <w:t>, as a Lender</w:t>
      </w:r>
    </w:p>
    <w:p>
      <w:pPr>
        <w:spacing w:after="0" w:line="219"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Shuji Yabe</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Shuji Yabe</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Managing Director</w:t>
            </w:r>
          </w:p>
        </w:tc>
      </w:tr>
    </w:tbl>
    <w:p>
      <w:pPr>
        <w:spacing w:after="0" w:line="20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ING CAPITAL LLC</w:t>
      </w:r>
      <w:r>
        <w:rPr>
          <w:rFonts w:ascii="Arial" w:cs="Arial" w:eastAsia="Arial" w:hAnsi="Arial"/>
          <w:sz w:val="18"/>
          <w:szCs w:val="18"/>
          <w:color w:val="auto"/>
        </w:rPr>
        <w:t>, as a Lender</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Cheryl Labelle</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Cheryl Labelle</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Managing Director</w:t>
            </w:r>
          </w:p>
        </w:tc>
      </w:tr>
    </w:tbl>
    <w:p>
      <w:pPr>
        <w:spacing w:after="0" w:line="20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PNC BANK NATIONAL ASSOCIATION,</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Berry</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John Berry</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PAA First Amendment</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220"/>
          </w:cols>
          <w:pgMar w:left="1440" w:top="274" w:right="239" w:bottom="1440" w:gutter="0" w:footer="0" w:header="0"/>
        </w:sectPr>
      </w:pPr>
    </w:p>
    <w:bookmarkStart w:id="225" w:name="page226"/>
    <w:bookmarkEnd w:id="225"/>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COMPASS BANK</w:t>
      </w:r>
      <w:r>
        <w:rPr>
          <w:rFonts w:ascii="Arial" w:cs="Arial" w:eastAsia="Arial" w:hAnsi="Arial"/>
          <w:sz w:val="18"/>
          <w:szCs w:val="18"/>
          <w:color w:val="auto"/>
        </w:rPr>
        <w:t>, as a Lender</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Dorothy Marchand</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Dorothy Marchand</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Senior Vice President</w:t>
            </w:r>
          </w:p>
        </w:tc>
      </w:tr>
    </w:tbl>
    <w:p>
      <w:pPr>
        <w:spacing w:after="0" w:line="20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FIFTH THIRD BANK</w:t>
      </w:r>
      <w:r>
        <w:rPr>
          <w:rFonts w:ascii="Arial" w:cs="Arial" w:eastAsia="Arial" w:hAnsi="Arial"/>
          <w:sz w:val="18"/>
          <w:szCs w:val="18"/>
          <w:color w:val="auto"/>
        </w:rPr>
        <w:t>, as a Lender</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Matthew Lewis</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Matthew Lewis</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20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REGIONS BANK</w:t>
      </w:r>
      <w:r>
        <w:rPr>
          <w:rFonts w:ascii="Arial" w:cs="Arial" w:eastAsia="Arial" w:hAnsi="Arial"/>
          <w:sz w:val="18"/>
          <w:szCs w:val="18"/>
          <w:color w:val="auto"/>
        </w:rPr>
        <w:t>, as a Lender</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David Valentine</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David Valentine</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20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BANK OF MONTREAL</w:t>
      </w:r>
      <w:r>
        <w:rPr>
          <w:rFonts w:ascii="Arial" w:cs="Arial" w:eastAsia="Arial" w:hAnsi="Arial"/>
          <w:sz w:val="18"/>
          <w:szCs w:val="18"/>
          <w:color w:val="auto"/>
        </w:rPr>
        <w:t>, as a Lender</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Gumaro Tijerina</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Gumaro Tijerina</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Director</w:t>
            </w:r>
          </w:p>
        </w:tc>
      </w:tr>
    </w:tbl>
    <w:p>
      <w:pPr>
        <w:spacing w:after="0" w:line="204"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AMEGY BANK NATIONAL ASSOCIATION</w:t>
      </w:r>
      <w:r>
        <w:rPr>
          <w:rFonts w:ascii="Arial" w:cs="Arial" w:eastAsia="Arial" w:hAnsi="Arial"/>
          <w:sz w:val="16"/>
          <w:szCs w:val="16"/>
          <w:color w:val="auto"/>
        </w:rPr>
        <w:t>, as a Lender</w:t>
      </w:r>
    </w:p>
    <w:p>
      <w:pPr>
        <w:spacing w:after="0" w:line="254"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H. Brock Hudson</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H. Brock Hudson</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Senior Vice President</w:t>
            </w:r>
          </w:p>
        </w:tc>
      </w:tr>
    </w:tbl>
    <w:p>
      <w:pPr>
        <w:spacing w:after="0" w:line="20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COMERICA BANK</w:t>
      </w:r>
      <w:r>
        <w:rPr>
          <w:rFonts w:ascii="Arial" w:cs="Arial" w:eastAsia="Arial" w:hAnsi="Arial"/>
          <w:sz w:val="18"/>
          <w:szCs w:val="18"/>
          <w:color w:val="auto"/>
        </w:rPr>
        <w:t>, as a Lender</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Justin Crawford</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Justin Crawford</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PAA First Amendment</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220"/>
          </w:cols>
          <w:pgMar w:left="1440" w:top="274" w:right="239" w:bottom="1440" w:gutter="0" w:footer="0" w:header="0"/>
        </w:sectPr>
      </w:pPr>
    </w:p>
    <w:bookmarkStart w:id="226" w:name="page227"/>
    <w:bookmarkEnd w:id="22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RAYMOND JAMES BANK, N.A., </w:t>
      </w:r>
      <w:r>
        <w:rPr>
          <w:rFonts w:ascii="Arial" w:cs="Arial" w:eastAsia="Arial" w:hAnsi="Arial"/>
          <w:sz w:val="18"/>
          <w:szCs w:val="18"/>
          <w:color w:val="auto"/>
        </w:rPr>
        <w:t>as a Lender</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Scott G. Axelrod</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Scott G. Axelrod</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PAA First Amendment</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220"/>
          </w:cols>
          <w:pgMar w:left="1440" w:top="274" w:right="2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143510</wp:posOffset>
            </wp:positionV>
            <wp:extent cx="1903730" cy="5918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903730" cy="59182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143510</wp:posOffset>
            </wp:positionV>
            <wp:extent cx="2006600" cy="55753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00660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and PAA Natural Gas Storage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Expand and Extend Credit Facilities</w:t>
      </w:r>
    </w:p>
    <w:p>
      <w:pPr>
        <w:spacing w:after="0" w:line="16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(Houston – July 2, 2012) Plains All American Pipeline, L.P. (NYSE: PAA) and PAA Natural Gas Storage (NYSE: PNG) today announced they have expanded the size, extended the tenor and made other amendments to certain of their credit facilities.</w:t>
      </w:r>
    </w:p>
    <w:p>
      <w:pPr>
        <w:spacing w:after="0" w:line="13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PAA expanded its Hedged Inventory Facility from $850 million to $1.4 billion and extended the term by one year. The facility now matures in August 2014. PNG expanded its Revolving Credit Facility from $250 million to $350 million. This facility matures in August 2016.</w:t>
      </w:r>
    </w:p>
    <w:p>
      <w:pPr>
        <w:spacing w:after="0" w:line="8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expansion of PAA’s Hedged Inventory Facility more than replaces the $500 million of three-year Sr. Notes maturing in September, 2012 that were utilized to supplement our hedged inventory facility. Furthermore, the increased size and amended terms of the facility support PAA’s expanded activities related to the recent acquisition of BP’s Canadian natural gas liquids business platform and will enhance PAA’s ability to use its storage and related assets to capitalize on volatile market conditions in the crude oil sector,” said Charles Kingswell-Smith, Vice President &amp; Treasurer of Plains All American Pipeline. “We appreciate the continued support of the financial institutions with which we have long-standing relationships and with these amendments we also welcome new institutions to our bank group.”</w:t>
      </w:r>
    </w:p>
    <w:p>
      <w:pPr>
        <w:spacing w:after="0" w:line="14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Plains All American Pipeline, L.P. is a publicly traded master limited partnership engaged in the transportation, storage, terminalling and marketing of crude oil and refined products, as well as in the processing, transportation, fractionation, storage and marketing of natural gas liquids. Through its general partner interest and majority equity ownership position in PAA Natural Gas Storage, L.P., PAA owns and operates natural gas storage facilities. PAA is headquartered in Houston, Texas.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PAA Natural Gas Storage, L.P. is a publicly traded master limited partnership engaged in the development, acquisition, operation and commercial management of natural gas storage facilities. The Partnership currently owns and operates three natural gas storage facilities located in Louisiana, Mississippi and Michigan. The Partnership’s general partner, as well as the majority of the Partnership’s limited partner interests, is owned by Plains All American Pipeline, L.P. PNG is headquartered in Houston, TX.</w:t>
      </w:r>
    </w:p>
    <w:p>
      <w:pPr>
        <w:sectPr>
          <w:pgSz w:w="11900" w:h="16838" w:orient="portrait"/>
          <w:cols w:equalWidth="0" w:num="1">
            <w:col w:w="11420"/>
          </w:cols>
          <w:pgMar w:left="240" w:top="125" w:right="239" w:bottom="1440" w:gutter="0" w:footer="0" w:header="0"/>
        </w:sectPr>
      </w:pPr>
    </w:p>
    <w:p>
      <w:pPr>
        <w:spacing w:after="0" w:line="184" w:lineRule="exact"/>
        <w:rPr>
          <w:sz w:val="20"/>
          <w:szCs w:val="20"/>
          <w:color w:val="auto"/>
        </w:rPr>
      </w:pPr>
    </w:p>
    <w:p>
      <w:pPr>
        <w:ind w:left="1160" w:right="1460" w:hanging="1160"/>
        <w:spacing w:after="0" w:line="306" w:lineRule="auto"/>
        <w:tabs>
          <w:tab w:leader="none" w:pos="1140" w:val="left"/>
        </w:tabs>
        <w:rPr>
          <w:sz w:val="20"/>
          <w:szCs w:val="20"/>
          <w:color w:val="auto"/>
        </w:rPr>
      </w:pPr>
      <w:r>
        <w:rPr>
          <w:rFonts w:ascii="Arial" w:cs="Arial" w:eastAsia="Arial" w:hAnsi="Arial"/>
          <w:sz w:val="18"/>
          <w:szCs w:val="18"/>
          <w:u w:val="single" w:color="auto"/>
          <w:color w:val="auto"/>
        </w:rPr>
        <w:t>Contacts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Roy I. Lamoreaux Director, Investor Relations 713/646-4222 – 800/564-3036</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Charles Kingswell-Smith</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&amp; Treasurer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713/993-5318 – 800/564-3036</w:t>
      </w:r>
    </w:p>
    <w:p>
      <w:pPr>
        <w:spacing w:after="0" w:line="213"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p>
    <w:sectPr>
      <w:pgSz w:w="11900" w:h="16838" w:orient="portrait"/>
      <w:cols w:equalWidth="0" w:num="2">
        <w:col w:w="4780" w:space="720"/>
        <w:col w:w="59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5C55B5"/>
    <w:multiLevelType w:val="hybridMultilevel"/>
    <w:lvl w:ilvl="0">
      <w:lvlJc w:val="left"/>
      <w:lvlText w:val="☐"/>
      <w:numFmt w:val="bullet"/>
      <w:start w:val="1"/>
    </w:lvl>
  </w:abstractNum>
  <w:abstractNum w:abstractNumId="1">
    <w:nsid w:val="3FA62ACA"/>
    <w:multiLevelType w:val="hybridMultilevel"/>
    <w:lvl w:ilvl="0">
      <w:lvlJc w:val="left"/>
      <w:lvlText w:val="§"/>
      <w:numFmt w:val="bullet"/>
      <w:start w:val="1"/>
    </w:lvl>
  </w:abstractNum>
  <w:abstractNum w:abstractNumId="2">
    <w:nsid w:val="14FCE74E"/>
    <w:multiLevelType w:val="hybridMultilevel"/>
    <w:lvl w:ilvl="0">
      <w:lvlJc w:val="left"/>
      <w:lvlText w:val="§"/>
      <w:numFmt w:val="bullet"/>
      <w:start w:val="1"/>
    </w:lvl>
  </w:abstractNum>
  <w:abstractNum w:abstractNumId="3">
    <w:nsid w:val="6A3DD3E8"/>
    <w:multiLevelType w:val="hybridMultilevel"/>
    <w:lvl w:ilvl="0">
      <w:lvlJc w:val="left"/>
      <w:lvlText w:val="§"/>
      <w:numFmt w:val="bullet"/>
      <w:start w:val="1"/>
    </w:lvl>
  </w:abstractNum>
  <w:abstractNum w:abstractNumId="4">
    <w:nsid w:val="71C91298"/>
    <w:multiLevelType w:val="hybridMultilevel"/>
    <w:lvl w:ilvl="0">
      <w:lvlJc w:val="left"/>
      <w:lvlText w:val="§"/>
      <w:numFmt w:val="bullet"/>
      <w:start w:val="1"/>
    </w:lvl>
  </w:abstractNum>
  <w:abstractNum w:abstractNumId="5">
    <w:nsid w:val="9DAF632"/>
    <w:multiLevelType w:val="hybridMultilevel"/>
    <w:lvl w:ilvl="0">
      <w:lvlJc w:val="left"/>
      <w:lvlText w:val="(%1)"/>
      <w:numFmt w:val="lowerLetter"/>
      <w:start w:val="1"/>
    </w:lvl>
    <w:lvl w:ilvl="1">
      <w:lvlJc w:val="left"/>
      <w:lvlText w:val="(%2)"/>
      <w:numFmt w:val="lowerRoman"/>
      <w:start w:val="1"/>
    </w:lvl>
  </w:abstractNum>
  <w:abstractNum w:abstractNumId="6">
    <w:nsid w:val="53299938"/>
    <w:multiLevelType w:val="hybridMultilevel"/>
    <w:lvl w:ilvl="0">
      <w:lvlJc w:val="left"/>
      <w:lvlText w:val="%1"/>
      <w:numFmt w:val="upperLetter"/>
      <w:start w:val="1"/>
    </w:lvl>
    <w:lvl w:ilvl="1">
      <w:lvlJc w:val="left"/>
      <w:lvlText w:val="(%2)"/>
      <w:numFmt w:val="lowerRoman"/>
      <w:start w:val="4"/>
    </w:lvl>
  </w:abstractNum>
  <w:abstractNum w:abstractNumId="7">
    <w:nsid w:val="1FBFE8E0"/>
    <w:multiLevelType w:val="hybridMultilevel"/>
    <w:lvl w:ilvl="0">
      <w:lvlJc w:val="left"/>
      <w:lvlText w:val="(%1)"/>
      <w:numFmt w:val="upperLetter"/>
      <w:start w:val="2"/>
    </w:lvl>
    <w:lvl w:ilvl="1">
      <w:lvlJc w:val="left"/>
      <w:lvlText w:val="(%2)"/>
      <w:numFmt w:val="lowerRoman"/>
      <w:start w:val="8"/>
    </w:lvl>
  </w:abstractNum>
  <w:abstractNum w:abstractNumId="8">
    <w:nsid w:val="5092CA79"/>
    <w:multiLevelType w:val="hybridMultilevel"/>
    <w:lvl w:ilvl="0">
      <w:lvlJc w:val="left"/>
      <w:lvlText w:val="(%1)"/>
      <w:numFmt w:val="lowerLetter"/>
      <w:start w:val="2"/>
    </w:lvl>
  </w:abstractNum>
  <w:abstractNum w:abstractNumId="9">
    <w:nsid w:val="1D545C4D"/>
    <w:multiLevelType w:val="hybridMultilevel"/>
    <w:lvl w:ilvl="0">
      <w:lvlJc w:val="left"/>
      <w:lvlText w:val="(%1)"/>
      <w:numFmt w:val="lowerLetter"/>
      <w:start w:val="3"/>
    </w:lvl>
  </w:abstractNum>
  <w:abstractNum w:abstractNumId="10">
    <w:nsid w:val="59ADEA3D"/>
    <w:multiLevelType w:val="hybridMultilevel"/>
    <w:lvl w:ilvl="0">
      <w:lvlJc w:val="left"/>
      <w:lvlText w:val="§"/>
      <w:numFmt w:val="bullet"/>
      <w:start w:val="1"/>
    </w:lvl>
  </w:abstractNum>
  <w:abstractNum w:abstractNumId="11">
    <w:nsid w:val="288F1A34"/>
    <w:multiLevelType w:val="hybridMultilevel"/>
    <w:lvl w:ilvl="0">
      <w:lvlJc w:val="left"/>
      <w:lvlText w:val="(%1)"/>
      <w:numFmt w:val="lowerLetter"/>
      <w:start w:val="1"/>
    </w:lvl>
  </w:abstractNum>
  <w:abstractNum w:abstractNumId="12">
    <w:nsid w:val="2A155DBC"/>
    <w:multiLevelType w:val="hybridMultilevel"/>
    <w:lvl w:ilvl="0">
      <w:lvlJc w:val="left"/>
      <w:lvlText w:val="§"/>
      <w:numFmt w:val="bullet"/>
      <w:start w:val="1"/>
    </w:lvl>
  </w:abstractNum>
  <w:abstractNum w:abstractNumId="13">
    <w:nsid w:val="1D9F6E5F"/>
    <w:multiLevelType w:val="hybridMultilevel"/>
    <w:lvl w:ilvl="0">
      <w:lvlJc w:val="left"/>
      <w:lvlText w:val="§"/>
      <w:numFmt w:val="bullet"/>
      <w:start w:val="1"/>
    </w:lvl>
  </w:abstractNum>
  <w:abstractNum w:abstractNumId="14">
    <w:nsid w:val="97E1B4E"/>
    <w:multiLevelType w:val="hybridMultilevel"/>
    <w:lvl w:ilvl="0">
      <w:lvlJc w:val="left"/>
      <w:lvlText w:val="A"/>
      <w:numFmt w:val="bullet"/>
      <w:start w:val="1"/>
    </w:lvl>
  </w:abstractNum>
  <w:abstractNum w:abstractNumId="15">
    <w:nsid w:val="51088277"/>
    <w:multiLevelType w:val="hybridMultilevel"/>
    <w:lvl w:ilvl="0">
      <w:lvlJc w:val="left"/>
      <w:lvlText w:val="(%1)"/>
      <w:numFmt w:val="lowerLetter"/>
      <w:start w:val="1"/>
    </w:lvl>
  </w:abstractNum>
  <w:abstractNum w:abstractNumId="16">
    <w:nsid w:val="1CA0C5FA"/>
    <w:multiLevelType w:val="hybridMultilevel"/>
    <w:lvl w:ilvl="0">
      <w:lvlJc w:val="left"/>
      <w:lvlText w:val="(%1)"/>
      <w:numFmt w:val="lowerRoman"/>
      <w:start w:val="1"/>
    </w:lvl>
  </w:abstractNum>
  <w:abstractNum w:abstractNumId="17">
    <w:nsid w:val="53584BCB"/>
    <w:multiLevelType w:val="hybridMultilevel"/>
    <w:lvl w:ilvl="0">
      <w:lvlJc w:val="left"/>
      <w:lvlText w:val="(%1)"/>
      <w:numFmt w:val="lowerLetter"/>
      <w:start w:val="2"/>
    </w:lvl>
  </w:abstractNum>
  <w:abstractNum w:abstractNumId="18">
    <w:nsid w:val="415E286C"/>
    <w:multiLevelType w:val="hybridMultilevel"/>
    <w:lvl w:ilvl="0">
      <w:lvlJc w:val="left"/>
      <w:lvlText w:val="(%1)"/>
      <w:numFmt w:val="lowerRoman"/>
      <w:start w:val="3"/>
    </w:lvl>
  </w:abstractNum>
  <w:abstractNum w:abstractNumId="19">
    <w:nsid w:val="7C58FD05"/>
    <w:multiLevelType w:val="hybridMultilevel"/>
    <w:lvl w:ilvl="0">
      <w:lvlJc w:val="left"/>
      <w:lvlText w:val="(%1)"/>
      <w:numFmt w:val="lowerLetter"/>
      <w:start w:val="1"/>
    </w:lvl>
  </w:abstractNum>
  <w:abstractNum w:abstractNumId="20">
    <w:nsid w:val="23D86AAC"/>
    <w:multiLevelType w:val="hybridMultilevel"/>
    <w:lvl w:ilvl="0">
      <w:lvlJc w:val="left"/>
      <w:lvlText w:val="(%1)"/>
      <w:numFmt w:val="lowerLetter"/>
      <w:start w:val="2"/>
    </w:lvl>
  </w:abstractNum>
  <w:abstractNum w:abstractNumId="21">
    <w:nsid w:val="45E6D486"/>
    <w:multiLevelType w:val="hybridMultilevel"/>
    <w:lvl w:ilvl="0">
      <w:lvlJc w:val="left"/>
      <w:lvlText w:val="(%1)"/>
      <w:numFmt w:val="lowerLetter"/>
      <w:start w:val="1"/>
    </w:lvl>
  </w:abstractNum>
  <w:abstractNum w:abstractNumId="22">
    <w:nsid w:val="5C10FE21"/>
    <w:multiLevelType w:val="hybridMultilevel"/>
    <w:lvl w:ilvl="0">
      <w:lvlJc w:val="left"/>
      <w:lvlText w:val="(%1)"/>
      <w:numFmt w:val="lowerLetter"/>
      <w:start w:val="5"/>
    </w:lvl>
  </w:abstractNum>
  <w:abstractNum w:abstractNumId="23">
    <w:nsid w:val="E7FFA2B"/>
    <w:multiLevelType w:val="hybridMultilevel"/>
    <w:lvl w:ilvl="0">
      <w:lvlJc w:val="left"/>
      <w:lvlText w:val="(%1)"/>
      <w:numFmt w:val="lowerRoman"/>
      <w:start w:val="1"/>
    </w:lvl>
  </w:abstractNum>
  <w:abstractNum w:abstractNumId="24">
    <w:nsid w:val="3C5991AA"/>
    <w:multiLevelType w:val="hybridMultilevel"/>
    <w:lvl w:ilvl="0">
      <w:lvlJc w:val="left"/>
      <w:lvlText w:val="(%1)"/>
      <w:numFmt w:val="lowerRoman"/>
      <w:start w:val="2"/>
    </w:lvl>
  </w:abstractNum>
  <w:abstractNum w:abstractNumId="25">
    <w:nsid w:val="4BD8591A"/>
    <w:multiLevelType w:val="hybridMultilevel"/>
    <w:lvl w:ilvl="0">
      <w:lvlJc w:val="left"/>
      <w:lvlText w:val="(%1)"/>
      <w:numFmt w:val="lowerRoman"/>
      <w:start w:val="1"/>
    </w:lvl>
  </w:abstractNum>
  <w:abstractNum w:abstractNumId="26">
    <w:nsid w:val="78DF6A55"/>
    <w:multiLevelType w:val="hybridMultilevel"/>
    <w:lvl w:ilvl="0">
      <w:lvlJc w:val="left"/>
      <w:lvlText w:val="(%1)"/>
      <w:numFmt w:val="lowerLetter"/>
      <w:start w:val="1"/>
    </w:lvl>
  </w:abstractNum>
  <w:abstractNum w:abstractNumId="27">
    <w:nsid w:val="39B7AAA2"/>
    <w:multiLevelType w:val="hybridMultilevel"/>
    <w:lvl w:ilvl="0">
      <w:lvlJc w:val="left"/>
      <w:lvlText w:val="(%1)"/>
      <w:numFmt w:val="lowerLetter"/>
      <w:start w:val="2"/>
    </w:lvl>
  </w:abstractNum>
  <w:abstractNum w:abstractNumId="28">
    <w:nsid w:val="2B0D8DBE"/>
    <w:multiLevelType w:val="hybridMultilevel"/>
    <w:lvl w:ilvl="0">
      <w:lvlJc w:val="left"/>
      <w:lvlText w:val="(%1)"/>
      <w:numFmt w:val="lowerLetter"/>
      <w:start w:val="1"/>
    </w:lvl>
  </w:abstractNum>
  <w:abstractNum w:abstractNumId="29">
    <w:nsid w:val="6C80EC70"/>
    <w:multiLevelType w:val="hybridMultilevel"/>
    <w:lvl w:ilvl="0">
      <w:lvlJc w:val="left"/>
      <w:lvlText w:val="(%1)"/>
      <w:numFmt w:val="lowerLetter"/>
      <w:start w:val="2"/>
    </w:lvl>
  </w:abstractNum>
  <w:abstractNum w:abstractNumId="30">
    <w:nsid w:val="379E21B5"/>
    <w:multiLevelType w:val="hybridMultilevel"/>
    <w:lvl w:ilvl="0">
      <w:lvlJc w:val="left"/>
      <w:lvlText w:val="(%1)"/>
      <w:numFmt w:val="lowerLetter"/>
      <w:start w:val="1"/>
    </w:lvl>
  </w:abstractNum>
  <w:abstractNum w:abstractNumId="31">
    <w:nsid w:val="69E373"/>
    <w:multiLevelType w:val="hybridMultilevel"/>
    <w:lvl w:ilvl="0">
      <w:lvlJc w:val="left"/>
      <w:lvlText w:val="(%1)"/>
      <w:numFmt w:val="lowerLetter"/>
      <w:start w:val="2"/>
    </w:lvl>
  </w:abstractNum>
  <w:abstractNum w:abstractNumId="32">
    <w:nsid w:val="2C27173B"/>
    <w:multiLevelType w:val="hybridMultilevel"/>
    <w:lvl w:ilvl="0">
      <w:lvlJc w:val="left"/>
      <w:lvlText w:val="(%1)"/>
      <w:numFmt w:val="lowerLetter"/>
      <w:start w:val="35"/>
    </w:lvl>
    <w:lvl w:ilvl="1">
      <w:lvlJc w:val="left"/>
      <w:lvlText w:val="(%2)"/>
      <w:numFmt w:val="lowerLetter"/>
      <w:start w:val="3"/>
    </w:lvl>
  </w:abstractNum>
  <w:abstractNum w:abstractNumId="33">
    <w:nsid w:val="4C9B0904"/>
    <w:multiLevelType w:val="hybridMultilevel"/>
    <w:lvl w:ilvl="0">
      <w:lvlJc w:val="left"/>
      <w:lvlText w:val="(%1)"/>
      <w:numFmt w:val="lowerLetter"/>
      <w:start w:val="1"/>
    </w:lvl>
    <w:lvl w:ilvl="1">
      <w:lvlJc w:val="left"/>
      <w:lvlText w:val="(%2)"/>
      <w:numFmt w:val="lowerLetter"/>
      <w:start w:val="9"/>
    </w:lvl>
  </w:abstractNum>
  <w:abstractNum w:abstractNumId="34">
    <w:nsid w:val="6AA7B75C"/>
    <w:multiLevelType w:val="hybridMultilevel"/>
    <w:lvl w:ilvl="0">
      <w:lvlJc w:val="left"/>
      <w:lvlText w:val="(%1)"/>
      <w:numFmt w:val="lowerRoman"/>
      <w:start w:val="2"/>
    </w:lvl>
    <w:lvl w:ilvl="1">
      <w:lvlJc w:val="left"/>
      <w:lvlText w:val="(%2)"/>
      <w:numFmt w:val="upperLetter"/>
      <w:start w:val="1"/>
    </w:lvl>
  </w:abstractNum>
  <w:abstractNum w:abstractNumId="35">
    <w:nsid w:val="1DF029D3"/>
    <w:multiLevelType w:val="hybridMultilevel"/>
    <w:lvl w:ilvl="0">
      <w:lvlJc w:val="left"/>
      <w:lvlText w:val="(%1)"/>
      <w:numFmt w:val="upperLetter"/>
      <w:start w:val="2"/>
    </w:lvl>
  </w:abstractNum>
  <w:abstractNum w:abstractNumId="36">
    <w:nsid w:val="5675FF36"/>
    <w:multiLevelType w:val="hybridMultilevel"/>
    <w:lvl w:ilvl="0">
      <w:lvlJc w:val="left"/>
      <w:lvlText w:val="%1"/>
      <w:numFmt w:val="lowerRoman"/>
      <w:start w:val="1"/>
    </w:lvl>
    <w:lvl w:ilvl="1">
      <w:lvlJc w:val="left"/>
      <w:lvlText w:val="(%2)"/>
      <w:numFmt w:val="upperLetter"/>
      <w:start w:val="4"/>
    </w:lvl>
  </w:abstractNum>
  <w:abstractNum w:abstractNumId="37">
    <w:nsid w:val="3DD15094"/>
    <w:multiLevelType w:val="hybridMultilevel"/>
    <w:lvl w:ilvl="0">
      <w:lvlJc w:val="left"/>
      <w:lvlText w:val="(%1)"/>
      <w:numFmt w:val="lowerRoman"/>
      <w:start w:val="4"/>
    </w:lvl>
    <w:lvl w:ilvl="1">
      <w:lvlJc w:val="left"/>
      <w:lvlText w:val="%2"/>
      <w:numFmt w:val="upperLetter"/>
      <w:start w:val="1"/>
    </w:lvl>
  </w:abstractNum>
  <w:abstractNum w:abstractNumId="38">
    <w:nsid w:val="3DB012B3"/>
    <w:multiLevelType w:val="hybridMultilevel"/>
    <w:lvl w:ilvl="0">
      <w:lvlJc w:val="left"/>
      <w:lvlText w:val="%1"/>
      <w:numFmt w:val="lowerLetter"/>
      <w:start w:val="1"/>
    </w:lvl>
    <w:lvl w:ilvl="1">
      <w:lvlJc w:val="left"/>
      <w:lvlText w:val="(%2)"/>
      <w:numFmt w:val="lowerRoman"/>
      <w:start w:val="6"/>
    </w:lvl>
  </w:abstractNum>
  <w:abstractNum w:abstractNumId="39">
    <w:nsid w:val="2708C9AF"/>
    <w:multiLevelType w:val="hybridMultilevel"/>
    <w:lvl w:ilvl="0">
      <w:lvlJc w:val="left"/>
      <w:lvlText w:val="(%1)"/>
      <w:numFmt w:val="lowerLetter"/>
      <w:start w:val="2"/>
    </w:lvl>
    <w:lvl w:ilvl="1">
      <w:lvlJc w:val="left"/>
      <w:lvlText w:val="(%2)"/>
      <w:numFmt w:val="lowerRoman"/>
      <w:start w:val="1"/>
    </w:lvl>
  </w:abstractNum>
  <w:abstractNum w:abstractNumId="40">
    <w:nsid w:val="5B25ACE2"/>
    <w:multiLevelType w:val="hybridMultilevel"/>
    <w:lvl w:ilvl="0">
      <w:lvlJc w:val="left"/>
      <w:lvlText w:val="%1"/>
      <w:numFmt w:val="lowerRoman"/>
      <w:start w:val="1"/>
    </w:lvl>
    <w:lvl w:ilvl="1">
      <w:lvlJc w:val="left"/>
      <w:lvlText w:val="(%2)"/>
      <w:numFmt w:val="lowerRoman"/>
      <w:start w:val="3"/>
    </w:lvl>
  </w:abstractNum>
  <w:abstractNum w:abstractNumId="41">
    <w:nsid w:val="175DFCF0"/>
    <w:multiLevelType w:val="hybridMultilevel"/>
    <w:lvl w:ilvl="0">
      <w:lvlJc w:val="left"/>
      <w:lvlText w:val="(%1)"/>
      <w:numFmt w:val="lowerRoman"/>
      <w:start w:val="3"/>
    </w:lvl>
    <w:lvl w:ilvl="1">
      <w:lvlJc w:val="left"/>
      <w:lvlText w:val="(%2)"/>
      <w:numFmt w:val="lowerRoman"/>
      <w:start w:val="4"/>
    </w:lvl>
  </w:abstractNum>
  <w:abstractNum w:abstractNumId="42">
    <w:nsid w:val="4F97E3E4"/>
    <w:multiLevelType w:val="hybridMultilevel"/>
    <w:lvl w:ilvl="0">
      <w:lvlJc w:val="left"/>
      <w:lvlText w:val="(%1)"/>
      <w:numFmt w:val="lowerLetter"/>
      <w:start w:val="3"/>
    </w:lvl>
    <w:lvl w:ilvl="1">
      <w:lvlJc w:val="left"/>
      <w:lvlText w:val="(%2)"/>
      <w:numFmt w:val="lowerRoman"/>
      <w:start w:val="1"/>
    </w:lvl>
  </w:abstractNum>
  <w:abstractNum w:abstractNumId="43">
    <w:nsid w:val="53B0A9E"/>
    <w:multiLevelType w:val="hybridMultilevel"/>
    <w:lvl w:ilvl="0">
      <w:lvlJc w:val="left"/>
      <w:lvlText w:val="(%1)"/>
      <w:numFmt w:val="lowerRoman"/>
      <w:start w:val="3"/>
    </w:lvl>
  </w:abstractNum>
  <w:abstractNum w:abstractNumId="44">
    <w:nsid w:val="34FD6B4F"/>
    <w:multiLevelType w:val="hybridMultilevel"/>
    <w:lvl w:ilvl="0">
      <w:lvlJc w:val="left"/>
      <w:lvlText w:val="%1"/>
      <w:numFmt w:val="lowerLetter"/>
      <w:start w:val="1"/>
    </w:lvl>
    <w:lvl w:ilvl="1">
      <w:lvlJc w:val="left"/>
      <w:lvlText w:val="(%2)"/>
      <w:numFmt w:val="lowerRoman"/>
      <w:start w:val="6"/>
    </w:lvl>
  </w:abstractNum>
  <w:abstractNum w:abstractNumId="45">
    <w:nsid w:val="5915FF32"/>
    <w:multiLevelType w:val="hybridMultilevel"/>
    <w:lvl w:ilvl="0">
      <w:lvlJc w:val="left"/>
      <w:lvlText w:val="(%1)"/>
      <w:numFmt w:val="lowerLetter"/>
      <w:start w:val="4"/>
    </w:lvl>
    <w:lvl w:ilvl="1">
      <w:lvlJc w:val="left"/>
      <w:lvlText w:val="(%2)"/>
      <w:numFmt w:val="lowerRoman"/>
      <w:start w:val="1"/>
    </w:lvl>
  </w:abstractNum>
  <w:abstractNum w:abstractNumId="46">
    <w:nsid w:val="56438D15"/>
    <w:multiLevelType w:val="hybridMultilevel"/>
    <w:lvl w:ilvl="0">
      <w:lvlJc w:val="left"/>
      <w:lvlText w:val="(%1)"/>
      <w:numFmt w:val="lowerRoman"/>
      <w:start w:val="2"/>
    </w:lvl>
  </w:abstractNum>
  <w:abstractNum w:abstractNumId="47">
    <w:nsid w:val="519E3149"/>
    <w:multiLevelType w:val="hybridMultilevel"/>
    <w:lvl w:ilvl="0">
      <w:lvlJc w:val="left"/>
      <w:lvlText w:val="(%1)"/>
      <w:numFmt w:val="lowerLetter"/>
      <w:start w:val="6"/>
    </w:lvl>
  </w:abstractNum>
  <w:abstractNum w:abstractNumId="48">
    <w:nsid w:val="2C6E4AFD"/>
    <w:multiLevelType w:val="hybridMultilevel"/>
    <w:lvl w:ilvl="0">
      <w:lvlJc w:val="left"/>
      <w:lvlText w:val="(%1)"/>
      <w:numFmt w:val="lowerLetter"/>
      <w:start w:val="35"/>
    </w:lvl>
    <w:lvl w:ilvl="1">
      <w:lvlJc w:val="left"/>
      <w:lvlText w:val="(%2)"/>
      <w:numFmt w:val="lowerLetter"/>
      <w:start w:val="7"/>
    </w:lvl>
  </w:abstractNum>
  <w:abstractNum w:abstractNumId="49">
    <w:nsid w:val="17A1B582"/>
    <w:multiLevelType w:val="hybridMultilevel"/>
    <w:lvl w:ilvl="0">
      <w:lvlJc w:val="left"/>
      <w:lvlText w:val="(%1)"/>
      <w:numFmt w:val="lowerLetter"/>
      <w:start w:val="9"/>
    </w:lvl>
  </w:abstractNum>
  <w:abstractNum w:abstractNumId="50">
    <w:nsid w:val="4DF72E4E"/>
    <w:multiLevelType w:val="hybridMultilevel"/>
    <w:lvl w:ilvl="0">
      <w:lvlJc w:val="left"/>
      <w:lvlText w:val="(%1)"/>
      <w:numFmt w:val="lowerLetter"/>
      <w:start w:val="1"/>
    </w:lvl>
  </w:abstractNum>
  <w:abstractNum w:abstractNumId="51">
    <w:nsid w:val="5046B5A9"/>
    <w:multiLevelType w:val="hybridMultilevel"/>
    <w:lvl w:ilvl="0">
      <w:lvlJc w:val="left"/>
      <w:lvlText w:val="%1"/>
      <w:numFmt w:val="lowerLetter"/>
      <w:start w:val="1"/>
    </w:lvl>
    <w:lvl w:ilvl="1">
      <w:lvlJc w:val="left"/>
      <w:lvlText w:val="(%2)"/>
      <w:numFmt w:val="lowerLetter"/>
      <w:start w:val="2"/>
    </w:lvl>
  </w:abstractNum>
  <w:abstractNum w:abstractNumId="52">
    <w:nsid w:val="5D888A08"/>
    <w:multiLevelType w:val="hybridMultilevel"/>
    <w:lvl w:ilvl="0">
      <w:lvlJc w:val="left"/>
      <w:lvlText w:val="(%1)"/>
      <w:numFmt w:val="lowerLetter"/>
      <w:start w:val="25"/>
    </w:lvl>
    <w:lvl w:ilvl="1">
      <w:lvlJc w:val="left"/>
      <w:lvlText w:val="%2"/>
      <w:numFmt w:val="lowerLetter"/>
      <w:start w:val="1"/>
    </w:lvl>
  </w:abstractNum>
  <w:abstractNum w:abstractNumId="53">
    <w:nsid w:val="2A082C70"/>
    <w:multiLevelType w:val="hybridMultilevel"/>
    <w:lvl w:ilvl="0">
      <w:lvlJc w:val="left"/>
      <w:lvlText w:val="(%1)"/>
      <w:numFmt w:val="lowerLetter"/>
      <w:start w:val="3"/>
    </w:lvl>
    <w:lvl w:ilvl="1">
      <w:lvlJc w:val="left"/>
      <w:lvlText w:val="(%2)"/>
      <w:numFmt w:val="lowerRoman"/>
      <w:start w:val="1"/>
    </w:lvl>
  </w:abstractNum>
  <w:abstractNum w:abstractNumId="54">
    <w:nsid w:val="5EC6AFD4"/>
    <w:multiLevelType w:val="hybridMultilevel"/>
    <w:lvl w:ilvl="0">
      <w:lvlJc w:val="left"/>
      <w:lvlText w:val="(%1)"/>
      <w:numFmt w:val="lowerRoman"/>
      <w:start w:val="3"/>
    </w:lvl>
  </w:abstractNum>
  <w:abstractNum w:abstractNumId="55">
    <w:nsid w:val="19E21BB2"/>
    <w:multiLevelType w:val="hybridMultilevel"/>
    <w:lvl w:ilvl="0">
      <w:lvlJc w:val="left"/>
      <w:lvlText w:val="(%1)"/>
      <w:numFmt w:val="lowerLetter"/>
      <w:start w:val="4"/>
    </w:lvl>
    <w:lvl w:ilvl="1">
      <w:lvlJc w:val="left"/>
      <w:lvlText w:val="(%2)"/>
      <w:numFmt w:val="lowerRoman"/>
      <w:start w:val="1"/>
    </w:lvl>
  </w:abstractNum>
  <w:abstractNum w:abstractNumId="56">
    <w:nsid w:val="75E0858A"/>
    <w:multiLevelType w:val="hybridMultilevel"/>
    <w:lvl w:ilvl="0">
      <w:lvlJc w:val="left"/>
      <w:lvlText w:val="(%1)"/>
      <w:numFmt w:val="lowerLetter"/>
      <w:start w:val="5"/>
    </w:lvl>
  </w:abstractNum>
  <w:abstractNum w:abstractNumId="57">
    <w:nsid w:val="57A61A29"/>
    <w:multiLevelType w:val="hybridMultilevel"/>
    <w:lvl w:ilvl="0">
      <w:lvlJc w:val="left"/>
      <w:lvlText w:val="%1"/>
      <w:numFmt w:val="upperLetter"/>
      <w:start w:val="1"/>
    </w:lvl>
    <w:lvl w:ilvl="1">
      <w:lvlJc w:val="left"/>
      <w:lvlText w:val="(%2)"/>
      <w:numFmt w:val="lowerLetter"/>
      <w:start w:val="1"/>
    </w:lvl>
  </w:abstractNum>
  <w:abstractNum w:abstractNumId="58">
    <w:nsid w:val="5399C654"/>
    <w:multiLevelType w:val="hybridMultilevel"/>
    <w:lvl w:ilvl="0">
      <w:lvlJc w:val="left"/>
      <w:lvlText w:val="(%1)"/>
      <w:numFmt w:val="upperLetter"/>
      <w:start w:val="1"/>
    </w:lvl>
    <w:lvl w:ilvl="1">
      <w:lvlJc w:val="left"/>
      <w:lvlText w:val="%2"/>
      <w:numFmt w:val="lowerLetter"/>
      <w:start w:val="1"/>
    </w:lvl>
  </w:abstractNum>
  <w:abstractNum w:abstractNumId="59">
    <w:nsid w:val="20EE1348"/>
    <w:multiLevelType w:val="hybridMultilevel"/>
    <w:lvl w:ilvl="0">
      <w:lvlJc w:val="left"/>
      <w:lvlText w:val="(%1)"/>
      <w:numFmt w:val="lowerLetter"/>
      <w:start w:val="2"/>
    </w:lvl>
  </w:abstractNum>
  <w:abstractNum w:abstractNumId="60">
    <w:nsid w:val="4427069A"/>
    <w:multiLevelType w:val="hybridMultilevel"/>
    <w:lvl w:ilvl="0">
      <w:lvlJc w:val="left"/>
      <w:lvlText w:val="(%1)"/>
      <w:numFmt w:val="lowerLetter"/>
      <w:start w:val="1"/>
    </w:lvl>
  </w:abstractNum>
  <w:abstractNum w:abstractNumId="61">
    <w:nsid w:val="B37E80A"/>
    <w:multiLevelType w:val="hybridMultilevel"/>
    <w:lvl w:ilvl="0">
      <w:lvlJc w:val="left"/>
      <w:lvlText w:val="(%1)"/>
      <w:numFmt w:val="lowerLetter"/>
      <w:start w:val="1"/>
    </w:lvl>
    <w:lvl w:ilvl="1">
      <w:lvlJc w:val="left"/>
      <w:lvlText w:val="(%2)"/>
      <w:numFmt w:val="lowerLetter"/>
      <w:start w:val="35"/>
    </w:lvl>
  </w:abstractNum>
  <w:abstractNum w:abstractNumId="62">
    <w:nsid w:val="2157F6BC"/>
    <w:multiLevelType w:val="hybridMultilevel"/>
    <w:lvl w:ilvl="0">
      <w:lvlJc w:val="left"/>
      <w:lvlText w:val="%1"/>
      <w:numFmt w:val="lowerLetter"/>
      <w:start w:val="1"/>
    </w:lvl>
    <w:lvl w:ilvl="1">
      <w:lvlJc w:val="left"/>
      <w:lvlText w:val="(%2)"/>
      <w:numFmt w:val="lowerRoman"/>
      <w:start w:val="3"/>
    </w:lvl>
  </w:abstractNum>
  <w:abstractNum w:abstractNumId="63">
    <w:nsid w:val="704E1DD5"/>
    <w:multiLevelType w:val="hybridMultilevel"/>
    <w:lvl w:ilvl="0">
      <w:lvlJc w:val="left"/>
      <w:lvlText w:val="(%1)"/>
      <w:numFmt w:val="lowerLetter"/>
      <w:start w:val="3"/>
    </w:lvl>
    <w:lvl w:ilvl="1">
      <w:lvlJc w:val="left"/>
      <w:lvlText w:val="%2"/>
      <w:numFmt w:val="lowerRoman"/>
      <w:start w:val="1"/>
    </w:lvl>
  </w:abstractNum>
  <w:abstractNum w:abstractNumId="64">
    <w:nsid w:val="57D2F10E"/>
    <w:multiLevelType w:val="hybridMultilevel"/>
    <w:lvl w:ilvl="0">
      <w:lvlJc w:val="left"/>
      <w:lvlText w:val="(%1)"/>
      <w:numFmt w:val="lowerLetter"/>
      <w:start w:val="1"/>
    </w:lvl>
  </w:abstractNum>
  <w:abstractNum w:abstractNumId="65">
    <w:nsid w:val="BFFAE18"/>
    <w:multiLevelType w:val="hybridMultilevel"/>
    <w:lvl w:ilvl="0">
      <w:lvlJc w:val="left"/>
      <w:lvlText w:val="(%1)"/>
      <w:numFmt w:val="lowerRoman"/>
      <w:start w:val="2"/>
    </w:lvl>
  </w:abstractNum>
  <w:abstractNum w:abstractNumId="66">
    <w:nsid w:val="E3E47A8"/>
    <w:multiLevelType w:val="hybridMultilevel"/>
    <w:lvl w:ilvl="0">
      <w:lvlJc w:val="left"/>
      <w:lvlText w:val="(%1)"/>
      <w:numFmt w:val="lowerLetter"/>
      <w:start w:val="1"/>
    </w:lvl>
  </w:abstractNum>
  <w:abstractNum w:abstractNumId="67">
    <w:nsid w:val="2E48F044"/>
    <w:multiLevelType w:val="hybridMultilevel"/>
    <w:lvl w:ilvl="0">
      <w:lvlJc w:val="left"/>
      <w:lvlText w:val="%1"/>
      <w:numFmt w:val="lowerLetter"/>
      <w:start w:val="1"/>
    </w:lvl>
    <w:lvl w:ilvl="1">
      <w:lvlJc w:val="left"/>
      <w:lvlText w:val="(%2)"/>
      <w:numFmt w:val="lowerLetter"/>
      <w:start w:val="1"/>
    </w:lvl>
  </w:abstractNum>
  <w:abstractNum w:abstractNumId="68">
    <w:nsid w:val="49D0FEAC"/>
    <w:multiLevelType w:val="hybridMultilevel"/>
    <w:lvl w:ilvl="0">
      <w:lvlJc w:val="left"/>
      <w:lvlText w:val="(%1)"/>
      <w:numFmt w:val="lowerLetter"/>
      <w:start w:val="9"/>
    </w:lvl>
    <w:lvl w:ilvl="1">
      <w:lvlJc w:val="left"/>
      <w:lvlText w:val="(%2)"/>
      <w:numFmt w:val="lowerLetter"/>
      <w:start w:val="2"/>
    </w:lvl>
  </w:abstractNum>
  <w:abstractNum w:abstractNumId="69">
    <w:nsid w:val="4BEE5A5B"/>
    <w:multiLevelType w:val="hybridMultilevel"/>
    <w:lvl w:ilvl="0">
      <w:lvlJc w:val="left"/>
      <w:lvlText w:val="(%1)"/>
      <w:numFmt w:val="lowerRoman"/>
      <w:start w:val="2"/>
    </w:lvl>
  </w:abstractNum>
  <w:abstractNum w:abstractNumId="70">
    <w:nsid w:val="5551B9F3"/>
    <w:multiLevelType w:val="hybridMultilevel"/>
    <w:lvl w:ilvl="0">
      <w:lvlJc w:val="left"/>
      <w:lvlText w:val="(%1)"/>
      <w:numFmt w:val="lowerLetter"/>
      <w:start w:val="3"/>
    </w:lvl>
  </w:abstractNum>
  <w:abstractNum w:abstractNumId="71">
    <w:nsid w:val="24F6AB8E"/>
    <w:multiLevelType w:val="hybridMultilevel"/>
    <w:lvl w:ilvl="0">
      <w:lvlJc w:val="left"/>
      <w:lvlText w:val="(%1)"/>
      <w:numFmt w:val="lowerLetter"/>
      <w:start w:val="5"/>
    </w:lvl>
  </w:abstractNum>
  <w:abstractNum w:abstractNumId="72">
    <w:nsid w:val="634C574C"/>
    <w:multiLevelType w:val="hybridMultilevel"/>
    <w:lvl w:ilvl="0">
      <w:lvlJc w:val="left"/>
      <w:lvlText w:val="(%1)"/>
      <w:numFmt w:val="lowerRoman"/>
      <w:start w:val="1"/>
    </w:lvl>
  </w:abstractNum>
  <w:abstractNum w:abstractNumId="73">
    <w:nsid w:val="24E99DD7"/>
    <w:multiLevelType w:val="hybridMultilevel"/>
    <w:lvl w:ilvl="0">
      <w:lvlJc w:val="left"/>
      <w:lvlText w:val="(%1)"/>
      <w:numFmt w:val="lowerLetter"/>
      <w:start w:val="1"/>
    </w:lvl>
  </w:abstractNum>
  <w:abstractNum w:abstractNumId="74">
    <w:nsid w:val="2A31B62D"/>
    <w:multiLevelType w:val="hybridMultilevel"/>
    <w:lvl w:ilvl="0">
      <w:lvlJc w:val="left"/>
      <w:lvlText w:val="(%1)"/>
      <w:numFmt w:val="lowerLetter"/>
      <w:start w:val="2"/>
    </w:lvl>
  </w:abstractNum>
  <w:abstractNum w:abstractNumId="75">
    <w:nsid w:val="1849C29B"/>
    <w:multiLevelType w:val="hybridMultilevel"/>
    <w:lvl w:ilvl="0">
      <w:lvlJc w:val="left"/>
      <w:lvlText w:val="(%1)"/>
      <w:numFmt w:val="lowerLetter"/>
      <w:start w:val="5"/>
    </w:lvl>
  </w:abstractNum>
  <w:abstractNum w:abstractNumId="76">
    <w:nsid w:val="7DFF9D09"/>
    <w:multiLevelType w:val="hybridMultilevel"/>
    <w:lvl w:ilvl="0">
      <w:lvlJc w:val="left"/>
      <w:lvlText w:val="%1"/>
      <w:numFmt w:val="lowerLetter"/>
      <w:start w:val="1"/>
    </w:lvl>
    <w:lvl w:ilvl="1">
      <w:lvlJc w:val="left"/>
      <w:lvlText w:val="(%2)"/>
      <w:numFmt w:val="lowerLetter"/>
      <w:start w:val="6"/>
    </w:lvl>
  </w:abstractNum>
  <w:abstractNum w:abstractNumId="77">
    <w:nsid w:val="754342"/>
    <w:multiLevelType w:val="hybridMultilevel"/>
    <w:lvl w:ilvl="0">
      <w:lvlJc w:val="left"/>
      <w:lvlText w:val="(%1)"/>
      <w:numFmt w:val="lowerLetter"/>
      <w:start w:val="2"/>
    </w:lvl>
    <w:lvl w:ilvl="1">
      <w:lvlJc w:val="left"/>
      <w:lvlText w:val="(%2)"/>
      <w:numFmt w:val="lowerLetter"/>
      <w:start w:val="7"/>
    </w:lvl>
  </w:abstractNum>
  <w:abstractNum w:abstractNumId="78">
    <w:nsid w:val="69E7F3E5"/>
    <w:multiLevelType w:val="hybridMultilevel"/>
    <w:lvl w:ilvl="0">
      <w:lvlJc w:val="left"/>
      <w:lvlText w:val="%1"/>
      <w:numFmt w:val="lowerLetter"/>
      <w:start w:val="1"/>
    </w:lvl>
    <w:lvl w:ilvl="1">
      <w:lvlJc w:val="left"/>
      <w:lvlText w:val="(%2)"/>
      <w:numFmt w:val="lowerLetter"/>
      <w:start w:val="1"/>
    </w:lvl>
  </w:abstractNum>
  <w:abstractNum w:abstractNumId="79">
    <w:nsid w:val="2A6DE806"/>
    <w:multiLevelType w:val="hybridMultilevel"/>
    <w:lvl w:ilvl="0">
      <w:lvlJc w:val="left"/>
      <w:lvlText w:val="(%1)"/>
      <w:numFmt w:val="lowerLetter"/>
      <w:start w:val="35"/>
    </w:lvl>
    <w:lvl w:ilvl="1">
      <w:lvlJc w:val="left"/>
      <w:lvlText w:val="%2"/>
      <w:numFmt w:val="lowerLetter"/>
      <w:start w:val="1"/>
    </w:lvl>
  </w:abstractNum>
  <w:abstractNum w:abstractNumId="80">
    <w:nsid w:val="1816F8C4"/>
    <w:multiLevelType w:val="hybridMultilevel"/>
    <w:lvl w:ilvl="0">
      <w:lvlJc w:val="left"/>
      <w:lvlText w:val="(%1)"/>
      <w:numFmt w:val="lowerLetter"/>
      <w:start w:val="2"/>
    </w:lvl>
  </w:abstractNum>
  <w:abstractNum w:abstractNumId="81">
    <w:nsid w:val="37DF2233"/>
    <w:multiLevelType w:val="hybridMultilevel"/>
    <w:lvl w:ilvl="0">
      <w:lvlJc w:val="left"/>
      <w:lvlText w:val="%1"/>
      <w:numFmt w:val="lowerRoman"/>
      <w:start w:val="1"/>
    </w:lvl>
    <w:lvl w:ilvl="1">
      <w:lvlJc w:val="left"/>
      <w:lvlText w:val="(%2)"/>
      <w:numFmt w:val="lowerLetter"/>
      <w:start w:val="1"/>
    </w:lvl>
  </w:abstractNum>
  <w:abstractNum w:abstractNumId="82">
    <w:nsid w:val="7AB49DAF"/>
    <w:multiLevelType w:val="hybridMultilevel"/>
    <w:lvl w:ilvl="0">
      <w:lvlJc w:val="left"/>
      <w:lvlText w:val="(%1)"/>
      <w:numFmt w:val="lowerRoman"/>
      <w:start w:val="4"/>
    </w:lvl>
    <w:lvl w:ilvl="1">
      <w:lvlJc w:val="left"/>
      <w:lvlText w:val="(%2)"/>
      <w:numFmt w:val="lowerLetter"/>
      <w:start w:val="2"/>
    </w:lvl>
  </w:abstractNum>
  <w:abstractNum w:abstractNumId="83">
    <w:nsid w:val="759F82CD"/>
    <w:multiLevelType w:val="hybridMultilevel"/>
    <w:lvl w:ilvl="0">
      <w:lvlJc w:val="left"/>
      <w:lvlText w:val="(%1)"/>
      <w:numFmt w:val="lowerLetter"/>
      <w:start w:val="4"/>
    </w:lvl>
  </w:abstractNum>
  <w:abstractNum w:abstractNumId="84">
    <w:nsid w:val="61E74EA3"/>
    <w:multiLevelType w:val="hybridMultilevel"/>
    <w:lvl w:ilvl="0">
      <w:lvlJc w:val="left"/>
      <w:lvlText w:val="(%1)"/>
      <w:numFmt w:val="lowerLetter"/>
      <w:start w:val="1"/>
    </w:lvl>
    <w:lvl w:ilvl="1">
      <w:lvlJc w:val="left"/>
      <w:lvlText w:val="(%2)"/>
      <w:numFmt w:val="lowerRoman"/>
      <w:start w:val="1"/>
    </w:lvl>
  </w:abstractNum>
  <w:abstractNum w:abstractNumId="85">
    <w:nsid w:val="597B4D84"/>
    <w:multiLevelType w:val="hybridMultilevel"/>
    <w:lvl w:ilvl="0">
      <w:lvlJc w:val="left"/>
      <w:lvlText w:val="(%1)"/>
      <w:numFmt w:val="lowerRoman"/>
      <w:start w:val="3"/>
    </w:lvl>
  </w:abstractNum>
  <w:abstractNum w:abstractNumId="86">
    <w:nsid w:val="F819E7F"/>
    <w:multiLevelType w:val="hybridMultilevel"/>
    <w:lvl w:ilvl="0">
      <w:lvlJc w:val="left"/>
      <w:lvlText w:val="(%1)"/>
      <w:numFmt w:val="lowerLetter"/>
      <w:start w:val="2"/>
    </w:lvl>
  </w:abstractNum>
  <w:abstractNum w:abstractNumId="87">
    <w:nsid w:val="57C7D42D"/>
    <w:multiLevelType w:val="hybridMultilevel"/>
    <w:lvl w:ilvl="0">
      <w:lvlJc w:val="left"/>
      <w:lvlText w:val="(%1)"/>
      <w:numFmt w:val="lowerLetter"/>
      <w:start w:val="1"/>
    </w:lvl>
  </w:abstractNum>
  <w:abstractNum w:abstractNumId="88">
    <w:nsid w:val="312167AD"/>
    <w:multiLevelType w:val="hybridMultilevel"/>
    <w:lvl w:ilvl="0">
      <w:lvlJc w:val="left"/>
      <w:lvlText w:val="%1"/>
      <w:numFmt w:val="lowerLetter"/>
      <w:start w:val="1"/>
    </w:lvl>
    <w:lvl w:ilvl="1">
      <w:lvlJc w:val="left"/>
      <w:lvlText w:val="(%2)"/>
      <w:numFmt w:val="lowerRoman"/>
      <w:start w:val="2"/>
    </w:lvl>
  </w:abstractNum>
  <w:abstractNum w:abstractNumId="89">
    <w:nsid w:val="631B64D4"/>
    <w:multiLevelType w:val="hybridMultilevel"/>
    <w:lvl w:ilvl="0">
      <w:lvlJc w:val="left"/>
      <w:lvlText w:val="(%1)"/>
      <w:numFmt w:val="lowerLetter"/>
      <w:start w:val="2"/>
    </w:lvl>
    <w:lvl w:ilvl="1">
      <w:lvlJc w:val="left"/>
      <w:lvlText w:val="%2"/>
      <w:numFmt w:val="lowerRoman"/>
      <w:start w:val="1"/>
    </w:lvl>
  </w:abstractNum>
  <w:abstractNum w:abstractNumId="90">
    <w:nsid w:val="78B5E776"/>
    <w:multiLevelType w:val="hybridMultilevel"/>
    <w:lvl w:ilvl="0">
      <w:lvlJc w:val="left"/>
      <w:lvlText w:val="%1"/>
      <w:numFmt w:val="lowerLetter"/>
      <w:start w:val="1"/>
    </w:lvl>
    <w:lvl w:ilvl="1">
      <w:lvlJc w:val="left"/>
      <w:lvlText w:val="(%2)"/>
      <w:numFmt w:val="lowerLetter"/>
      <w:start w:val="35"/>
    </w:lvl>
  </w:abstractNum>
  <w:abstractNum w:abstractNumId="91">
    <w:nsid w:val="75486E47"/>
    <w:multiLevelType w:val="hybridMultilevel"/>
    <w:lvl w:ilvl="0">
      <w:lvlJc w:val="left"/>
      <w:lvlText w:val="(%1)"/>
      <w:numFmt w:val="lowerLetter"/>
      <w:start w:val="4"/>
    </w:lvl>
    <w:lvl w:ilvl="1">
      <w:lvlJc w:val="left"/>
      <w:lvlText w:val="%2"/>
      <w:numFmt w:val="lowerLetter"/>
      <w:start w:val="1"/>
    </w:lvl>
  </w:abstractNum>
  <w:abstractNum w:abstractNumId="92">
    <w:nsid w:val="6E534CDE"/>
    <w:multiLevelType w:val="hybridMultilevel"/>
    <w:lvl w:ilvl="0">
      <w:lvlJc w:val="left"/>
      <w:lvlText w:val="(%1)"/>
      <w:numFmt w:val="decimal"/>
      <w:start w:val="3"/>
    </w:lvl>
    <w:lvl w:ilvl="1">
      <w:lvlJc w:val="left"/>
      <w:lvlText w:val="(%2)"/>
      <w:numFmt w:val="lowerRoman"/>
      <w:start w:val="2"/>
    </w:lvl>
    <w:lvl w:ilvl="2">
      <w:lvlJc w:val="left"/>
      <w:lvlText w:val="(%3)"/>
      <w:numFmt w:val="upperLetter"/>
      <w:start w:val="1"/>
    </w:lvl>
  </w:abstractNum>
  <w:abstractNum w:abstractNumId="93">
    <w:nsid w:val="1A0DDE32"/>
    <w:multiLevelType w:val="hybridMultilevel"/>
    <w:lvl w:ilvl="0">
      <w:lvlJc w:val="left"/>
      <w:lvlText w:val="(%1)"/>
      <w:numFmt w:val="upperLetter"/>
      <w:start w:val="9"/>
    </w:lvl>
  </w:abstractNum>
  <w:abstractNum w:abstractNumId="94">
    <w:nsid w:val="65968C1C"/>
    <w:multiLevelType w:val="hybridMultilevel"/>
    <w:lvl w:ilvl="0">
      <w:lvlJc w:val="left"/>
      <w:lvlText w:val="(%1)"/>
      <w:numFmt w:val="upperLetter"/>
      <w:start w:val="61"/>
    </w:lvl>
  </w:abstractNum>
  <w:abstractNum w:abstractNumId="95">
    <w:nsid w:val="46263DEC"/>
    <w:multiLevelType w:val="hybridMultilevel"/>
    <w:lvl w:ilvl="0">
      <w:lvlJc w:val="left"/>
      <w:lvlText w:val="(%1)"/>
      <w:numFmt w:val="lowerRoman"/>
      <w:start w:val="10"/>
    </w:lvl>
  </w:abstractNum>
  <w:abstractNum w:abstractNumId="96">
    <w:nsid w:val="260D8C4A"/>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upperLetter"/>
      <w:start w:val="22"/>
    </w:lvl>
  </w:abstractNum>
  <w:abstractNum w:abstractNumId="97">
    <w:nsid w:val="73D4D3C4"/>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lvl w:ilvl="3">
      <w:lvlJc w:val="left"/>
      <w:lvlText w:val="%4"/>
      <w:numFmt w:val="upperLetter"/>
      <w:start w:val="1"/>
    </w:lvl>
  </w:abstractNum>
  <w:abstractNum w:abstractNumId="98">
    <w:nsid w:val="746F2E30"/>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lvl w:ilvl="3">
      <w:lvlJc w:val="left"/>
      <w:lvlText w:val="%4"/>
      <w:numFmt w:val="upperLetter"/>
      <w:start w:val="1"/>
    </w:lvl>
  </w:abstractNum>
  <w:abstractNum w:abstractNumId="99">
    <w:nsid w:val="6FDE8AF6"/>
    <w:multiLevelType w:val="hybridMultilevel"/>
    <w:lvl w:ilvl="0">
      <w:lvlJc w:val="left"/>
      <w:lvlText w:val="(%1)"/>
      <w:numFmt w:val="lowerLetter"/>
      <w:start w:val="5"/>
    </w:lvl>
    <w:lvl w:ilvl="1">
      <w:lvlJc w:val="left"/>
      <w:lvlText w:val="%2"/>
      <w:numFmt w:val="lowerLetter"/>
      <w:start w:val="1"/>
    </w:lvl>
    <w:lvl w:ilvl="2">
      <w:lvlJc w:val="left"/>
      <w:lvlText w:val="%3"/>
      <w:numFmt w:val="upperLetter"/>
      <w:start w:val="1"/>
    </w:lvl>
    <w:lvl w:ilvl="3">
      <w:lvlJc w:val="left"/>
      <w:lvlText w:val="%4"/>
      <w:numFmt w:val="upperLetter"/>
      <w:start w:val="1"/>
    </w:lvl>
  </w:abstractNum>
  <w:abstractNum w:abstractNumId="100">
    <w:nsid w:val="3FC32E20"/>
    <w:multiLevelType w:val="hybridMultilevel"/>
    <w:lvl w:ilvl="0">
      <w:lvlJc w:val="left"/>
      <w:lvlText w:val="%1"/>
      <w:numFmt w:val="lowerLetter"/>
      <w:start w:val="1"/>
    </w:lvl>
    <w:lvl w:ilvl="1">
      <w:lvlJc w:val="left"/>
      <w:lvlText w:val="(%2)"/>
      <w:numFmt w:val="lowerRoman"/>
      <w:start w:val="4"/>
    </w:lvl>
  </w:abstractNum>
  <w:abstractNum w:abstractNumId="101">
    <w:nsid w:val="49C0E823"/>
    <w:multiLevelType w:val="hybridMultilevel"/>
    <w:lvl w:ilvl="0">
      <w:lvlJc w:val="left"/>
      <w:lvlText w:val="(%1)"/>
      <w:numFmt w:val="lowerLetter"/>
      <w:start w:val="6"/>
    </w:lvl>
    <w:lvl w:ilvl="1">
      <w:lvlJc w:val="left"/>
      <w:lvlText w:val="%2"/>
      <w:numFmt w:val="lowerRoman"/>
      <w:start w:val="1"/>
    </w:lvl>
  </w:abstractNum>
  <w:abstractNum w:abstractNumId="102">
    <w:nsid w:val="14D53685"/>
    <w:multiLevelType w:val="hybridMultilevel"/>
    <w:lvl w:ilvl="0">
      <w:lvlJc w:val="left"/>
      <w:lvlText w:val="(%1)"/>
      <w:numFmt w:val="lowerLetter"/>
      <w:start w:val="1"/>
    </w:lvl>
    <w:lvl w:ilvl="1">
      <w:lvlJc w:val="left"/>
      <w:lvlText w:val="(%2)"/>
      <w:numFmt w:val="lowerRoman"/>
      <w:start w:val="1"/>
    </w:lvl>
  </w:abstractNum>
  <w:abstractNum w:abstractNumId="103">
    <w:nsid w:val="230F856C"/>
    <w:multiLevelType w:val="hybridMultilevel"/>
    <w:lvl w:ilvl="0">
      <w:lvlJc w:val="left"/>
      <w:lvlText w:val="(%1)"/>
      <w:numFmt w:val="lowerLetter"/>
      <w:start w:val="2"/>
    </w:lvl>
  </w:abstractNum>
  <w:abstractNum w:abstractNumId="104">
    <w:nsid w:val="6EAA85FB"/>
    <w:multiLevelType w:val="hybridMultilevel"/>
    <w:lvl w:ilvl="0">
      <w:lvlJc w:val="left"/>
      <w:lvlText w:val="(%1)"/>
      <w:numFmt w:val="lowerLetter"/>
      <w:start w:val="3"/>
    </w:lvl>
  </w:abstractNum>
  <w:abstractNum w:abstractNumId="105">
    <w:nsid w:val="3F06ECB2"/>
    <w:multiLevelType w:val="hybridMultilevel"/>
    <w:lvl w:ilvl="0">
      <w:lvlJc w:val="left"/>
      <w:lvlText w:val="(%1)"/>
      <w:numFmt w:val="lowerLetter"/>
      <w:start w:val="1"/>
    </w:lvl>
  </w:abstractNum>
  <w:abstractNum w:abstractNumId="106">
    <w:nsid w:val="3B594807"/>
    <w:multiLevelType w:val="hybridMultilevel"/>
    <w:lvl w:ilvl="0">
      <w:lvlJc w:val="left"/>
      <w:lvlText w:val="(%1)"/>
      <w:numFmt w:val="lowerLetter"/>
      <w:start w:val="1"/>
    </w:lvl>
  </w:abstractNum>
  <w:abstractNum w:abstractNumId="107">
    <w:nsid w:val="6CAA2304"/>
    <w:multiLevelType w:val="hybridMultilevel"/>
    <w:lvl w:ilvl="0">
      <w:lvlJc w:val="left"/>
      <w:lvlText w:val="%1"/>
      <w:numFmt w:val="lowerRoman"/>
      <w:start w:val="1"/>
    </w:lvl>
    <w:lvl w:ilvl="1">
      <w:lvlJc w:val="left"/>
      <w:lvlText w:val="(%2)"/>
      <w:numFmt w:val="lowerLetter"/>
      <w:start w:val="2"/>
    </w:lvl>
  </w:abstractNum>
  <w:abstractNum w:abstractNumId="108">
    <w:nsid w:val="3F7C2FF4"/>
    <w:multiLevelType w:val="hybridMultilevel"/>
    <w:lvl w:ilvl="0">
      <w:lvlJc w:val="left"/>
      <w:lvlText w:val="(%1)"/>
      <w:numFmt w:val="lowerRoman"/>
      <w:start w:val="2"/>
    </w:lvl>
    <w:lvl w:ilvl="1">
      <w:lvlJc w:val="left"/>
      <w:lvlText w:val="%2"/>
      <w:numFmt w:val="lowerLetter"/>
      <w:start w:val="1"/>
    </w:lvl>
  </w:abstractNum>
  <w:abstractNum w:abstractNumId="109">
    <w:nsid w:val="25413BEC"/>
    <w:multiLevelType w:val="hybridMultilevel"/>
    <w:lvl w:ilvl="0">
      <w:lvlJc w:val="left"/>
      <w:lvlText w:val="(%1)"/>
      <w:numFmt w:val="lowerLetter"/>
      <w:start w:val="1"/>
    </w:lvl>
    <w:lvl w:ilvl="1">
      <w:lvlJc w:val="left"/>
      <w:lvlText w:val="(%2)"/>
      <w:numFmt w:val="lowerRoman"/>
      <w:start w:val="1"/>
    </w:lvl>
  </w:abstractNum>
  <w:abstractNum w:abstractNumId="110">
    <w:nsid w:val="17180B0B"/>
    <w:multiLevelType w:val="hybridMultilevel"/>
    <w:lvl w:ilvl="0">
      <w:lvlJc w:val="left"/>
      <w:lvlText w:val="%1"/>
      <w:numFmt w:val="lowerLetter"/>
      <w:start w:val="1"/>
    </w:lvl>
    <w:lvl w:ilvl="1">
      <w:lvlJc w:val="left"/>
      <w:lvlText w:val="(%2)"/>
      <w:numFmt w:val="lowerRoman"/>
      <w:start w:val="4"/>
    </w:lvl>
  </w:abstractNum>
  <w:abstractNum w:abstractNumId="111">
    <w:nsid w:val="579328B9"/>
    <w:multiLevelType w:val="hybridMultilevel"/>
    <w:lvl w:ilvl="0">
      <w:lvlJc w:val="left"/>
      <w:lvlText w:val="(%1)"/>
      <w:numFmt w:val="lowerLetter"/>
      <w:start w:val="2"/>
    </w:lvl>
    <w:lvl w:ilvl="1">
      <w:lvlJc w:val="left"/>
      <w:lvlText w:val="%2"/>
      <w:numFmt w:val="lowerRoman"/>
      <w:start w:val="1"/>
    </w:lvl>
  </w:abstractNum>
  <w:abstractNum w:abstractNumId="112">
    <w:nsid w:val="5D205E20"/>
    <w:multiLevelType w:val="hybridMultilevel"/>
    <w:lvl w:ilvl="0">
      <w:lvlJc w:val="left"/>
      <w:lvlText w:val="(%1)"/>
      <w:numFmt w:val="lowerLetter"/>
      <w:start w:val="4"/>
    </w:lvl>
  </w:abstractNum>
  <w:abstractNum w:abstractNumId="113">
    <w:nsid w:val="11CCA8BA"/>
    <w:multiLevelType w:val="hybridMultilevel"/>
    <w:lvl w:ilvl="0">
      <w:lvlJc w:val="left"/>
      <w:lvlText w:val="(%1)"/>
      <w:numFmt w:val="lowerLetter"/>
      <w:start w:val="1"/>
    </w:lvl>
  </w:abstractNum>
  <w:abstractNum w:abstractNumId="114">
    <w:nsid w:val="4D32AB86"/>
    <w:multiLevelType w:val="hybridMultilevel"/>
    <w:lvl w:ilvl="0">
      <w:lvlJc w:val="left"/>
      <w:lvlText w:val="(%1)"/>
      <w:numFmt w:val="lowerLetter"/>
      <w:start w:val="2"/>
    </w:lvl>
  </w:abstractNum>
  <w:abstractNum w:abstractNumId="115">
    <w:nsid w:val="3F07ACC3"/>
    <w:multiLevelType w:val="hybridMultilevel"/>
    <w:lvl w:ilvl="0">
      <w:lvlJc w:val="left"/>
      <w:lvlText w:val="(%1)"/>
      <w:numFmt w:val="lowerLetter"/>
      <w:start w:val="1"/>
    </w:lvl>
  </w:abstractNum>
  <w:abstractNum w:abstractNumId="116">
    <w:nsid w:val="6B47F63E"/>
    <w:multiLevelType w:val="hybridMultilevel"/>
    <w:lvl w:ilvl="0">
      <w:lvlJc w:val="left"/>
      <w:lvlText w:val="(%1)"/>
      <w:numFmt w:val="lowerLetter"/>
      <w:start w:val="1"/>
    </w:lvl>
  </w:abstractNum>
  <w:abstractNum w:abstractNumId="117">
    <w:nsid w:val="5CB44A05"/>
    <w:multiLevelType w:val="hybridMultilevel"/>
    <w:lvl w:ilvl="0">
      <w:lvlJc w:val="left"/>
      <w:lvlText w:val="(%1)"/>
      <w:numFmt w:val="lowerLetter"/>
      <w:start w:val="1"/>
    </w:lvl>
  </w:abstractNum>
  <w:abstractNum w:abstractNumId="118">
    <w:nsid w:val="16CF80F1"/>
    <w:multiLevelType w:val="hybridMultilevel"/>
    <w:lvl w:ilvl="0">
      <w:lvlJc w:val="left"/>
      <w:lvlText w:val="(%1)"/>
      <w:numFmt w:val="lowerLetter"/>
      <w:start w:val="1"/>
    </w:lvl>
  </w:abstractNum>
  <w:abstractNum w:abstractNumId="119">
    <w:nsid w:val="1C695DEC"/>
    <w:multiLevelType w:val="hybridMultilevel"/>
    <w:lvl w:ilvl="0">
      <w:lvlJc w:val="left"/>
      <w:lvlText w:val="(%1)"/>
      <w:numFmt w:val="lowerLetter"/>
      <w:start w:val="1"/>
    </w:lvl>
  </w:abstractNum>
  <w:abstractNum w:abstractNumId="120">
    <w:nsid w:val="3FCFAED9"/>
    <w:multiLevelType w:val="hybridMultilevel"/>
    <w:lvl w:ilvl="0">
      <w:lvlJc w:val="left"/>
      <w:lvlText w:val="(%1)"/>
      <w:numFmt w:val="lowerLetter"/>
      <w:start w:val="1"/>
    </w:lvl>
  </w:abstractNum>
  <w:abstractNum w:abstractNumId="121">
    <w:nsid w:val="F856867"/>
    <w:multiLevelType w:val="hybridMultilevel"/>
    <w:lvl w:ilvl="0">
      <w:lvlJc w:val="left"/>
      <w:lvlText w:val="(%1)"/>
      <w:numFmt w:val="lowerLetter"/>
      <w:start w:val="1"/>
    </w:lvl>
  </w:abstractNum>
  <w:abstractNum w:abstractNumId="122">
    <w:nsid w:val="11B1CC33"/>
    <w:multiLevelType w:val="hybridMultilevel"/>
    <w:lvl w:ilvl="0">
      <w:lvlJc w:val="left"/>
      <w:lvlText w:val="(%1)"/>
      <w:numFmt w:val="lowerLetter"/>
      <w:start w:val="3"/>
    </w:lvl>
  </w:abstractNum>
  <w:abstractNum w:abstractNumId="123">
    <w:nsid w:val="2E22FBB7"/>
    <w:multiLevelType w:val="hybridMultilevel"/>
    <w:lvl w:ilvl="0">
      <w:lvlJc w:val="left"/>
      <w:lvlText w:val="(%1)"/>
      <w:numFmt w:val="lowerLetter"/>
      <w:start w:val="1"/>
    </w:lvl>
  </w:abstractNum>
  <w:abstractNum w:abstractNumId="124">
    <w:nsid w:val="29934699"/>
    <w:multiLevelType w:val="hybridMultilevel"/>
    <w:lvl w:ilvl="0">
      <w:lvlJc w:val="left"/>
      <w:lvlText w:val="(%1)"/>
      <w:numFmt w:val="lowerRoman"/>
      <w:start w:val="1"/>
    </w:lvl>
  </w:abstractNum>
  <w:abstractNum w:abstractNumId="125">
    <w:nsid w:val="77485850"/>
    <w:multiLevelType w:val="hybridMultilevel"/>
    <w:lvl w:ilvl="0">
      <w:lvlJc w:val="left"/>
      <w:lvlText w:val="%1"/>
      <w:numFmt w:val="upperLetter"/>
      <w:start w:val="1"/>
    </w:lvl>
    <w:lvl w:ilvl="1">
      <w:lvlJc w:val="left"/>
      <w:lvlText w:val="(%2)"/>
      <w:numFmt w:val="lowerLetter"/>
      <w:start w:val="1"/>
    </w:lvl>
  </w:abstractNum>
  <w:abstractNum w:abstractNumId="126">
    <w:nsid w:val="744939A3"/>
    <w:multiLevelType w:val="hybridMultilevel"/>
    <w:lvl w:ilvl="0">
      <w:lvlJc w:val="left"/>
      <w:lvlText w:val="(%1)"/>
      <w:numFmt w:val="upperLetter"/>
      <w:start w:val="3"/>
    </w:lvl>
    <w:lvl w:ilvl="1">
      <w:lvlJc w:val="left"/>
      <w:lvlText w:val="(%2)"/>
      <w:numFmt w:val="lowerLetter"/>
      <w:start w:val="2"/>
    </w:lvl>
  </w:abstractNum>
  <w:abstractNum w:abstractNumId="127">
    <w:nsid w:val="4FA0D2E3"/>
    <w:multiLevelType w:val="hybridMultilevel"/>
    <w:lvl w:ilvl="0">
      <w:lvlJc w:val="left"/>
      <w:lvlText w:val="%1"/>
      <w:numFmt w:val="lowerLetter"/>
      <w:start w:val="1"/>
    </w:lvl>
    <w:lvl w:ilvl="1">
      <w:lvlJc w:val="left"/>
      <w:lvlText w:val="(%2)"/>
      <w:numFmt w:val="lowerLetter"/>
      <w:start w:val="6"/>
    </w:lvl>
  </w:abstractNum>
  <w:abstractNum w:abstractNumId="128">
    <w:nsid w:val="6B1D2C14"/>
    <w:multiLevelType w:val="hybridMultilevel"/>
    <w:lvl w:ilvl="0">
      <w:lvlJc w:val="left"/>
      <w:lvlText w:val="(%1)"/>
      <w:numFmt w:val="lowerLetter"/>
      <w:start w:val="9"/>
    </w:lvl>
    <w:lvl w:ilvl="1">
      <w:lvlJc w:val="left"/>
      <w:lvlText w:val="%2"/>
      <w:numFmt w:val="lowerLetter"/>
      <w:start w:val="1"/>
    </w:lvl>
  </w:abstractNum>
  <w:abstractNum w:abstractNumId="129">
    <w:nsid w:val="68B867D3"/>
    <w:multiLevelType w:val="hybridMultilevel"/>
    <w:lvl w:ilvl="0">
      <w:lvlJc w:val="left"/>
      <w:lvlText w:val="(%1)"/>
      <w:numFmt w:val="lowerLetter"/>
      <w:start w:val="9"/>
    </w:lvl>
  </w:abstractNum>
  <w:abstractNum w:abstractNumId="130">
    <w:nsid w:val="3F7F5DD9"/>
    <w:multiLevelType w:val="hybridMultilevel"/>
    <w:lvl w:ilvl="0">
      <w:lvlJc w:val="left"/>
      <w:lvlText w:val="(%1)"/>
      <w:numFmt w:val="lowerLetter"/>
      <w:start w:val="1"/>
    </w:lvl>
  </w:abstractNum>
  <w:abstractNum w:abstractNumId="131">
    <w:nsid w:val="2AE05A34"/>
    <w:multiLevelType w:val="hybridMultilevel"/>
    <w:lvl w:ilvl="0">
      <w:lvlJc w:val="left"/>
      <w:lvlText w:val="(%1)"/>
      <w:numFmt w:val="lowerLetter"/>
      <w:start w:val="2"/>
    </w:lvl>
  </w:abstractNum>
  <w:abstractNum w:abstractNumId="132">
    <w:nsid w:val="32794FF7"/>
    <w:multiLevelType w:val="hybridMultilevel"/>
    <w:lvl w:ilvl="0">
      <w:lvlJc w:val="left"/>
      <w:lvlText w:val="(%1)"/>
      <w:numFmt w:val="lowerLetter"/>
      <w:start w:val="1"/>
    </w:lvl>
  </w:abstractNum>
  <w:abstractNum w:abstractNumId="133">
    <w:nsid w:val="5454945E"/>
    <w:multiLevelType w:val="hybridMultilevel"/>
    <w:lvl w:ilvl="0">
      <w:lvlJc w:val="left"/>
      <w:lvlText w:val="(%1)"/>
      <w:numFmt w:val="lowerLetter"/>
      <w:start w:val="2"/>
    </w:lvl>
  </w:abstractNum>
  <w:abstractNum w:abstractNumId="134">
    <w:nsid w:val="4DEFDFA0"/>
    <w:multiLevelType w:val="hybridMultilevel"/>
    <w:lvl w:ilvl="0">
      <w:lvlJc w:val="left"/>
      <w:lvlText w:val="(%1)"/>
      <w:numFmt w:val="lowerLetter"/>
      <w:start w:val="2"/>
    </w:lvl>
  </w:abstractNum>
  <w:abstractNum w:abstractNumId="135">
    <w:nsid w:val="2123D5F2"/>
    <w:multiLevelType w:val="hybridMultilevel"/>
    <w:lvl w:ilvl="0">
      <w:lvlJc w:val="left"/>
      <w:lvlText w:val="(%1)"/>
      <w:numFmt w:val="lowerLetter"/>
      <w:start w:val="1"/>
    </w:lvl>
  </w:abstractNum>
  <w:abstractNum w:abstractNumId="136">
    <w:nsid w:val="135B8110"/>
    <w:multiLevelType w:val="hybridMultilevel"/>
    <w:lvl w:ilvl="0">
      <w:lvlJc w:val="left"/>
      <w:lvlText w:val="(%1)"/>
      <w:numFmt w:val="lowerLetter"/>
      <w:start w:val="2"/>
    </w:lvl>
  </w:abstractNum>
  <w:abstractNum w:abstractNumId="137">
    <w:nsid w:val="94927A8"/>
    <w:multiLevelType w:val="hybridMultilevel"/>
    <w:lvl w:ilvl="0">
      <w:lvlJc w:val="left"/>
      <w:lvlText w:val="(%1)"/>
      <w:numFmt w:val="lowerLetter"/>
      <w:start w:val="4"/>
    </w:lvl>
  </w:abstractNum>
  <w:abstractNum w:abstractNumId="138">
    <w:nsid w:val="DCDF8F6"/>
    <w:multiLevelType w:val="hybridMultilevel"/>
    <w:lvl w:ilvl="0">
      <w:lvlJc w:val="left"/>
      <w:lvlText w:val="(%1)"/>
      <w:numFmt w:val="lowerLetter"/>
      <w:start w:val="1"/>
    </w:lvl>
  </w:abstractNum>
  <w:abstractNum w:abstractNumId="139">
    <w:nsid w:val="52D7B105"/>
    <w:multiLevelType w:val="hybridMultilevel"/>
    <w:lvl w:ilvl="0">
      <w:lvlJc w:val="left"/>
      <w:lvlText w:val="(%1)"/>
      <w:numFmt w:val="lowerLetter"/>
      <w:start w:val="5"/>
    </w:lvl>
  </w:abstractNum>
  <w:abstractNum w:abstractNumId="140">
    <w:nsid w:val="2E8A6394"/>
    <w:multiLevelType w:val="hybridMultilevel"/>
    <w:lvl w:ilvl="0">
      <w:lvlJc w:val="left"/>
      <w:lvlText w:val="(%1)"/>
      <w:numFmt w:val="lowerLetter"/>
      <w:start w:val="1"/>
    </w:lvl>
    <w:lvl w:ilvl="1">
      <w:lvlJc w:val="left"/>
      <w:lvlText w:val="(%2)"/>
      <w:numFmt w:val="lowerRoman"/>
      <w:start w:val="1"/>
    </w:lvl>
  </w:abstractNum>
  <w:abstractNum w:abstractNumId="141">
    <w:nsid w:val="24E60401"/>
    <w:multiLevelType w:val="hybridMultilevel"/>
    <w:lvl w:ilvl="0">
      <w:lvlJc w:val="left"/>
      <w:lvlText w:val="(%1)"/>
      <w:numFmt w:val="lowerLetter"/>
      <w:start w:val="2"/>
    </w:lvl>
  </w:abstractNum>
  <w:abstractNum w:abstractNumId="142">
    <w:nsid w:val="2A6AD9BE"/>
    <w:multiLevelType w:val="hybridMultilevel"/>
    <w:lvl w:ilvl="0">
      <w:lvlJc w:val="left"/>
      <w:lvlText w:val="%1"/>
      <w:numFmt w:val="lowerLetter"/>
      <w:start w:val="1"/>
    </w:lvl>
    <w:lvl w:ilvl="1">
      <w:lvlJc w:val="left"/>
      <w:lvlText w:val="(%2)"/>
      <w:numFmt w:val="lowerLetter"/>
      <w:start w:val="3"/>
    </w:lvl>
  </w:abstractNum>
  <w:abstractNum w:abstractNumId="143">
    <w:nsid w:val="BAAC1B4"/>
    <w:multiLevelType w:val="hybridMultilevel"/>
    <w:lvl w:ilvl="0">
      <w:lvlJc w:val="left"/>
      <w:lvlText w:val="(%1)"/>
      <w:numFmt w:val="lowerLetter"/>
      <w:start w:val="9"/>
    </w:lvl>
    <w:lvl w:ilvl="1">
      <w:lvlJc w:val="left"/>
      <w:lvlText w:val="%2"/>
      <w:numFmt w:val="lowerLetter"/>
      <w:start w:val="1"/>
    </w:lvl>
  </w:abstractNum>
  <w:abstractNum w:abstractNumId="144">
    <w:nsid w:val="36B2ACBC"/>
    <w:multiLevelType w:val="hybridMultilevel"/>
    <w:lvl w:ilvl="0">
      <w:lvlJc w:val="left"/>
      <w:lvlText w:val="%1"/>
      <w:numFmt w:val="lowerRoman"/>
      <w:start w:val="1"/>
    </w:lvl>
    <w:lvl w:ilvl="1">
      <w:lvlJc w:val="left"/>
      <w:lvlText w:val="(%2)"/>
      <w:numFmt w:val="lowerLetter"/>
      <w:start w:val="5"/>
    </w:lvl>
  </w:abstractNum>
  <w:abstractNum w:abstractNumId="145">
    <w:nsid w:val="779D8544"/>
    <w:multiLevelType w:val="hybridMultilevel"/>
    <w:lvl w:ilvl="0">
      <w:lvlJc w:val="left"/>
      <w:lvlText w:val="(%1)"/>
      <w:numFmt w:val="lowerRoman"/>
      <w:start w:val="1"/>
    </w:lvl>
    <w:lvl w:ilvl="1">
      <w:lvlJc w:val="left"/>
      <w:lvlText w:val="%2"/>
      <w:numFmt w:val="lowerLetter"/>
      <w:start w:val="1"/>
    </w:lvl>
  </w:abstractNum>
  <w:abstractNum w:abstractNumId="146">
    <w:nsid w:val="4AB26E78"/>
    <w:multiLevelType w:val="hybridMultilevel"/>
    <w:lvl w:ilvl="0">
      <w:lvlJc w:val="left"/>
      <w:lvlText w:val="(%1)"/>
      <w:numFmt w:val="lowerLetter"/>
      <w:start w:val="1"/>
    </w:lvl>
  </w:abstractNum>
  <w:abstractNum w:abstractNumId="147">
    <w:nsid w:val="21FAA2FA"/>
    <w:multiLevelType w:val="hybridMultilevel"/>
    <w:lvl w:ilvl="0">
      <w:lvlJc w:val="left"/>
      <w:lvlText w:val="(%1)"/>
      <w:numFmt w:val="upperLetter"/>
      <w:start w:val="1"/>
    </w:lvl>
    <w:lvl w:ilvl="1">
      <w:lvlJc w:val="left"/>
      <w:lvlText w:val="%2"/>
      <w:numFmt w:val="lowerLetter"/>
      <w:start w:val="1"/>
    </w:lvl>
  </w:abstractNum>
  <w:abstractNum w:abstractNumId="148">
    <w:nsid w:val="5451CF49"/>
    <w:multiLevelType w:val="hybridMultilevel"/>
    <w:lvl w:ilvl="0">
      <w:lvlJc w:val="left"/>
      <w:lvlText w:val="(%1)"/>
      <w:numFmt w:val="upperLetter"/>
      <w:start w:val="1"/>
    </w:lvl>
    <w:lvl w:ilvl="1">
      <w:lvlJc w:val="left"/>
      <w:lvlText w:val="(%2)"/>
      <w:numFmt w:val="lowerLetter"/>
      <w:start w:val="4"/>
    </w:lvl>
  </w:abstractNum>
  <w:abstractNum w:abstractNumId="149">
    <w:nsid w:val="6181EF69"/>
    <w:multiLevelType w:val="hybridMultilevel"/>
    <w:lvl w:ilvl="0">
      <w:lvlJc w:val="left"/>
      <w:lvlText w:val="(%1)"/>
      <w:numFmt w:val="lowerLetter"/>
      <w:start w:val="6"/>
    </w:lvl>
  </w:abstractNum>
  <w:abstractNum w:abstractNumId="150">
    <w:nsid w:val="3E6400E6"/>
    <w:multiLevelType w:val="hybridMultilevel"/>
    <w:lvl w:ilvl="0">
      <w:lvlJc w:val="left"/>
      <w:lvlText w:val="%1"/>
      <w:numFmt w:val="lowerLetter"/>
      <w:start w:val="1"/>
    </w:lvl>
    <w:lvl w:ilvl="1">
      <w:lvlJc w:val="left"/>
      <w:lvlText w:val="(%2)"/>
      <w:numFmt w:val="lowerLetter"/>
      <w:start w:val="1"/>
    </w:lvl>
  </w:abstractNum>
  <w:abstractNum w:abstractNumId="151">
    <w:nsid w:val="14217E23"/>
    <w:multiLevelType w:val="hybridMultilevel"/>
    <w:lvl w:ilvl="0">
      <w:lvlJc w:val="left"/>
      <w:lvlText w:val="(%1)"/>
      <w:numFmt w:val="lowerLetter"/>
      <w:start w:val="2"/>
    </w:lvl>
    <w:lvl w:ilvl="1">
      <w:lvlJc w:val="left"/>
      <w:lvlText w:val="%2"/>
      <w:numFmt w:val="lowerLetter"/>
      <w:start w:val="1"/>
    </w:lvl>
  </w:abstractNum>
  <w:abstractNum w:abstractNumId="152">
    <w:nsid w:val="710757D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53">
    <w:nsid w:val="5015CD1A"/>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154">
    <w:nsid w:val="424479DA"/>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abstractNum>
  <w:abstractNum w:abstractNumId="155">
    <w:nsid w:val="1A9A9E69"/>
    <w:multiLevelType w:val="hybridMultilevel"/>
    <w:lvl w:ilvl="0">
      <w:lvlJc w:val="left"/>
      <w:lvlText w:val="(%1)"/>
      <w:numFmt w:val="upperLetter"/>
      <w:start w:val="2"/>
    </w:lvl>
    <w:lvl w:ilvl="1">
      <w:lvlJc w:val="left"/>
      <w:lvlText w:val="(%2)"/>
      <w:numFmt w:val="lowerRoman"/>
      <w:start w:val="6"/>
    </w:lvl>
    <w:lvl w:ilvl="2">
      <w:lvlJc w:val="left"/>
      <w:lvlText w:val="%3"/>
      <w:numFmt w:val="upperLetter"/>
      <w:start w:val="1"/>
    </w:lvl>
  </w:abstractNum>
  <w:abstractNum w:abstractNumId="156">
    <w:nsid w:val="475E256A"/>
    <w:multiLevelType w:val="hybridMultilevel"/>
    <w:lvl w:ilvl="0">
      <w:lvlJc w:val="left"/>
      <w:lvlText w:val="(%1)"/>
      <w:numFmt w:val="lowerLetter"/>
      <w:start w:val="3"/>
    </w:lvl>
  </w:abstractNum>
  <w:abstractNum w:abstractNumId="157">
    <w:nsid w:val="368DB37E"/>
    <w:multiLevelType w:val="hybridMultilevel"/>
    <w:lvl w:ilvl="0">
      <w:lvlJc w:val="left"/>
      <w:lvlText w:val="(%1)"/>
      <w:numFmt w:val="lowerLetter"/>
      <w:start w:val="4"/>
    </w:lvl>
  </w:abstractNum>
  <w:abstractNum w:abstractNumId="158">
    <w:nsid w:val="6A3B714C"/>
    <w:multiLevelType w:val="hybridMultilevel"/>
    <w:lvl w:ilvl="0">
      <w:lvlJc w:val="left"/>
      <w:lvlText w:val="(%1)"/>
      <w:numFmt w:val="lowerLetter"/>
      <w:start w:val="5"/>
    </w:lvl>
  </w:abstractNum>
  <w:abstractNum w:abstractNumId="159">
    <w:nsid w:val="327B517E"/>
    <w:multiLevelType w:val="hybridMultilevel"/>
    <w:lvl w:ilvl="0">
      <w:lvlJc w:val="left"/>
      <w:lvlText w:val="(%1)"/>
      <w:numFmt w:val="lowerLetter"/>
      <w:start w:val="1"/>
    </w:lvl>
  </w:abstractNum>
  <w:abstractNum w:abstractNumId="160">
    <w:nsid w:val="1F461B51"/>
    <w:multiLevelType w:val="hybridMultilevel"/>
    <w:lvl w:ilvl="0">
      <w:lvlJc w:val="left"/>
      <w:lvlText w:val="(%1)"/>
      <w:numFmt w:val="lowerLetter"/>
      <w:start w:val="2"/>
    </w:lvl>
  </w:abstractNum>
  <w:abstractNum w:abstractNumId="161">
    <w:nsid w:val="29BACF25"/>
    <w:multiLevelType w:val="hybridMultilevel"/>
    <w:lvl w:ilvl="0">
      <w:lvlJc w:val="left"/>
      <w:lvlText w:val="(%1)"/>
      <w:numFmt w:val="lowerLetter"/>
      <w:start w:val="1"/>
    </w:lvl>
  </w:abstractNum>
  <w:abstractNum w:abstractNumId="162">
    <w:nsid w:val="5D5BABB3"/>
    <w:multiLevelType w:val="hybridMultilevel"/>
    <w:lvl w:ilvl="0">
      <w:lvlJc w:val="left"/>
      <w:lvlText w:val="(%1)"/>
      <w:numFmt w:val="lowerLetter"/>
      <w:start w:val="3"/>
    </w:lvl>
  </w:abstractNum>
  <w:abstractNum w:abstractNumId="163">
    <w:nsid w:val="51BF6B48"/>
    <w:multiLevelType w:val="hybridMultilevel"/>
    <w:lvl w:ilvl="0">
      <w:lvlJc w:val="left"/>
      <w:lvlText w:val="%1."/>
      <w:numFmt w:val="decimal"/>
      <w:start w:val="1"/>
    </w:lvl>
  </w:abstractNum>
  <w:abstractNum w:abstractNumId="164">
    <w:nsid w:val="7E0F6384"/>
    <w:multiLevelType w:val="hybridMultilevel"/>
    <w:lvl w:ilvl="0">
      <w:lvlJc w:val="left"/>
      <w:lvlText w:val="(%1)"/>
      <w:numFmt w:val="lowerLetter"/>
      <w:start w:val="2"/>
    </w:lvl>
  </w:abstractNum>
  <w:abstractNum w:abstractNumId="165">
    <w:nsid w:val="2B4B8B53"/>
    <w:multiLevelType w:val="hybridMultilevel"/>
    <w:lvl w:ilvl="0">
      <w:lvlJc w:val="left"/>
      <w:lvlText w:val="%1."/>
      <w:numFmt w:val="decimal"/>
      <w:start w:val="2"/>
    </w:lvl>
  </w:abstractNum>
  <w:abstractNum w:abstractNumId="166">
    <w:nsid w:val="72E3413A"/>
    <w:multiLevelType w:val="hybridMultilevel"/>
    <w:lvl w:ilvl="0">
      <w:lvlJc w:val="left"/>
      <w:lvlText w:val="(%1)"/>
      <w:numFmt w:val="lowerLetter"/>
      <w:start w:val="2"/>
    </w:lvl>
  </w:abstractNum>
  <w:abstractNum w:abstractNumId="167">
    <w:nsid w:val="116AE494"/>
    <w:multiLevelType w:val="hybridMultilevel"/>
    <w:lvl w:ilvl="0">
      <w:lvlJc w:val="left"/>
      <w:lvlText w:val="%1."/>
      <w:numFmt w:val="decimal"/>
      <w:start w:val="3"/>
    </w:lvl>
  </w:abstractNum>
  <w:abstractNum w:abstractNumId="168">
    <w:nsid w:val="3494B2FB"/>
    <w:multiLevelType w:val="hybridMultilevel"/>
    <w:lvl w:ilvl="0">
      <w:lvlJc w:val="left"/>
      <w:lvlText w:val="%1."/>
      <w:numFmt w:val="decimal"/>
      <w:start w:val="4"/>
    </w:lvl>
  </w:abstractNum>
  <w:abstractNum w:abstractNumId="169">
    <w:nsid w:val="B13A31"/>
    <w:multiLevelType w:val="hybridMultilevel"/>
    <w:lvl w:ilvl="0">
      <w:lvlJc w:val="left"/>
      <w:lvlText w:val="(%1)"/>
      <w:numFmt w:val="lowerLetter"/>
      <w:start w:val="1"/>
    </w:lvl>
  </w:abstractNum>
  <w:abstractNum w:abstractNumId="170">
    <w:nsid w:val="64429599"/>
    <w:multiLevelType w:val="hybridMultilevel"/>
    <w:lvl w:ilvl="0">
      <w:lvlJc w:val="left"/>
      <w:lvlText w:val="(%1)"/>
      <w:numFmt w:val="lowerLetter"/>
      <w:start w:val="3"/>
    </w:lvl>
  </w:abstractNum>
  <w:abstractNum w:abstractNumId="171">
    <w:nsid w:val="631F1690"/>
    <w:multiLevelType w:val="hybridMultilevel"/>
    <w:lvl w:ilvl="0">
      <w:lvlJc w:val="left"/>
      <w:lvlText w:val="%1."/>
      <w:numFmt w:val="decimal"/>
      <w:start w:val="5"/>
    </w:lvl>
  </w:abstractNum>
  <w:abstractNum w:abstractNumId="172">
    <w:nsid w:val="25973E32"/>
    <w:multiLevelType w:val="hybridMultilevel"/>
    <w:lvl w:ilvl="0">
      <w:lvlJc w:val="left"/>
      <w:lvlText w:val="(%1)"/>
      <w:numFmt w:val="lowerLetter"/>
      <w:start w:val="2"/>
    </w:lvl>
  </w:abstractNum>
  <w:abstractNum w:abstractNumId="173">
    <w:nsid w:val="EAD6F57"/>
    <w:multiLevelType w:val="hybridMultilevel"/>
    <w:lvl w:ilvl="0">
      <w:lvlJc w:val="left"/>
      <w:lvlText w:val="(%1)"/>
      <w:numFmt w:val="lowerLetter"/>
      <w:start w:val="3"/>
    </w:lvl>
  </w:abstractNum>
  <w:abstractNum w:abstractNumId="174">
    <w:nsid w:val="6EC9D844"/>
    <w:multiLevelType w:val="hybridMultilevel"/>
    <w:lvl w:ilvl="0">
      <w:lvlJc w:val="left"/>
      <w:lvlText w:val="%1."/>
      <w:numFmt w:val="decimal"/>
      <w:start w:val="6"/>
    </w:lvl>
  </w:abstractNum>
  <w:abstractNum w:abstractNumId="175">
    <w:nsid w:val="5C49EAEE"/>
    <w:multiLevelType w:val="hybridMultilevel"/>
    <w:lvl w:ilvl="0">
      <w:lvlJc w:val="left"/>
      <w:lvlText w:val="%1."/>
      <w:numFmt w:val="decimal"/>
      <w:start w:val="9"/>
    </w:lvl>
    <w:lvl w:ilvl="1">
      <w:lvlJc w:val="left"/>
      <w:lvlText w:val="(%2)"/>
      <w:numFmt w:val="lowerRoman"/>
      <w:start w:val="1"/>
    </w:lvl>
  </w:abstractNum>
  <w:abstractNum w:abstractNumId="176">
    <w:nsid w:val="64AF49B"/>
    <w:multiLevelType w:val="hybridMultilevel"/>
    <w:lvl w:ilvl="0">
      <w:lvlJc w:val="left"/>
      <w:lvlText w:val="☐"/>
      <w:numFmt w:val="bullet"/>
      <w:start w:val="1"/>
    </w:lvl>
  </w:abstractNum>
  <w:abstractNum w:abstractNumId="177">
    <w:nsid w:val="397C46BC"/>
    <w:multiLevelType w:val="hybridMultilevel"/>
    <w:lvl w:ilvl="0">
      <w:lvlJc w:val="left"/>
      <w:lvlText w:val="1"/>
      <w:numFmt w:val="bullet"/>
      <w:start w:val="1"/>
    </w:lvl>
  </w:abstractNum>
  <w:abstractNum w:abstractNumId="178">
    <w:nsid w:val="7E448DE9"/>
    <w:multiLevelType w:val="hybridMultilevel"/>
    <w:lvl w:ilvl="0">
      <w:lvlJc w:val="left"/>
      <w:lvlText w:val="2"/>
      <w:numFmt w:val="bullet"/>
      <w:start w:val="1"/>
    </w:lvl>
  </w:abstractNum>
  <w:abstractNum w:abstractNumId="179">
    <w:nsid w:val="5A9CC3E5"/>
    <w:multiLevelType w:val="hybridMultilevel"/>
    <w:lvl w:ilvl="0">
      <w:lvlJc w:val="left"/>
      <w:lvlText w:val="3"/>
      <w:numFmt w:val="bullet"/>
      <w:start w:val="1"/>
    </w:lvl>
  </w:abstractNum>
  <w:abstractNum w:abstractNumId="180">
    <w:nsid w:val="1AFE3625"/>
    <w:multiLevelType w:val="hybridMultilevel"/>
    <w:lvl w:ilvl="0">
      <w:lvlJc w:val="left"/>
      <w:lvlText w:val="4"/>
      <w:numFmt w:val="bullet"/>
      <w:start w:val="1"/>
    </w:lvl>
  </w:abstractNum>
  <w:abstractNum w:abstractNumId="181">
    <w:nsid w:val="3CA88ECF"/>
    <w:multiLevelType w:val="hybridMultilevel"/>
    <w:lvl w:ilvl="0">
      <w:lvlJc w:val="left"/>
      <w:lvlText w:val="5"/>
      <w:numFmt w:val="bullet"/>
      <w:start w:val="1"/>
    </w:lvl>
  </w:abstractNum>
  <w:abstractNum w:abstractNumId="182">
    <w:nsid w:val="6EBE4208"/>
    <w:multiLevelType w:val="hybridMultilevel"/>
    <w:lvl w:ilvl="0">
      <w:lvlJc w:val="left"/>
      <w:lvlText w:val="%1."/>
      <w:numFmt w:val="decimal"/>
      <w:start w:val="1"/>
    </w:lvl>
  </w:abstractNum>
  <w:abstractNum w:abstractNumId="183">
    <w:nsid w:val="C058DF5"/>
    <w:multiLevelType w:val="hybridMultilevel"/>
    <w:lvl w:ilvl="0">
      <w:lvlJc w:val="left"/>
      <w:lvlText w:val="%1."/>
      <w:numFmt w:val="decimal"/>
      <w:start w:val="6"/>
    </w:lvl>
  </w:abstractNum>
  <w:abstractNum w:abstractNumId="184">
    <w:nsid w:val="CBE5BE9"/>
    <w:multiLevelType w:val="hybridMultilevel"/>
    <w:lvl w:ilvl="0">
      <w:lvlJc w:val="left"/>
      <w:lvlText w:val="6"/>
      <w:numFmt w:val="bullet"/>
      <w:start w:val="1"/>
    </w:lvl>
  </w:abstractNum>
  <w:abstractNum w:abstractNumId="185">
    <w:nsid w:val="3102BBE2"/>
    <w:multiLevelType w:val="hybridMultilevel"/>
    <w:lvl w:ilvl="0">
      <w:lvlJc w:val="left"/>
      <w:lvlText w:val="7"/>
      <w:numFmt w:val="bullet"/>
      <w:start w:val="1"/>
    </w:lvl>
  </w:abstractNum>
  <w:abstractNum w:abstractNumId="186">
    <w:nsid w:val="26A02C5E"/>
    <w:multiLevelType w:val="hybridMultilevel"/>
    <w:lvl w:ilvl="0">
      <w:lvlJc w:val="left"/>
      <w:lvlText w:val="8"/>
      <w:numFmt w:val="bullet"/>
      <w:start w:val="1"/>
    </w:lvl>
  </w:abstractNum>
  <w:abstractNum w:abstractNumId="187">
    <w:nsid w:val="541C8153"/>
    <w:multiLevelType w:val="hybridMultilevel"/>
    <w:lvl w:ilvl="0">
      <w:lvlJc w:val="left"/>
      <w:lvlText w:val="9"/>
      <w:numFmt w:val="bullet"/>
      <w:start w:val="1"/>
    </w:lvl>
  </w:abstractNum>
  <w:abstractNum w:abstractNumId="188">
    <w:nsid w:val="67906F60"/>
    <w:multiLevelType w:val="hybridMultilevel"/>
    <w:lvl w:ilvl="0">
      <w:lvlJc w:val="left"/>
      <w:lvlText w:val="%1"/>
      <w:numFmt w:val="decimal"/>
      <w:start w:val="10"/>
    </w:lvl>
  </w:abstractNum>
  <w:abstractNum w:abstractNumId="189">
    <w:nsid w:val="10DB9DAA"/>
    <w:multiLevelType w:val="hybridMultilevel"/>
    <w:lvl w:ilvl="0">
      <w:lvlJc w:val="left"/>
      <w:lvlText w:val="%1"/>
      <w:numFmt w:val="decimal"/>
      <w:start w:val="12"/>
    </w:lvl>
  </w:abstractNum>
  <w:abstractNum w:abstractNumId="190">
    <w:nsid w:val="697D2D2"/>
    <w:multiLevelType w:val="hybridMultilevel"/>
    <w:lvl w:ilvl="0">
      <w:lvlJc w:val="left"/>
      <w:lvlText w:val="%1."/>
      <w:numFmt w:val="decimal"/>
      <w:start w:val="1"/>
    </w:lvl>
  </w:abstractNum>
  <w:abstractNum w:abstractNumId="191">
    <w:nsid w:val="6D68AB2"/>
    <w:multiLevelType w:val="hybridMultilevel"/>
    <w:lvl w:ilvl="0">
      <w:lvlJc w:val="left"/>
      <w:lvlText w:val="(%1)"/>
      <w:numFmt w:val="lowerRoman"/>
      <w:start w:val="2"/>
    </w:lvl>
  </w:abstractNum>
  <w:abstractNum w:abstractNumId="192">
    <w:nsid w:val="3A966CD0"/>
    <w:multiLevelType w:val="hybridMultilevel"/>
    <w:lvl w:ilvl="0">
      <w:lvlJc w:val="left"/>
      <w:lvlText w:val="%1."/>
      <w:numFmt w:val="decimal"/>
      <w:start w:val="2"/>
    </w:lvl>
  </w:abstractNum>
  <w:abstractNum w:abstractNumId="193">
    <w:nsid w:val="63F37E85"/>
    <w:multiLevelType w:val="hybridMultilevel"/>
    <w:lvl w:ilvl="0">
      <w:lvlJc w:val="left"/>
      <w:lvlText w:val="§"/>
      <w:numFmt w:val="bullet"/>
      <w:start w:val="1"/>
    </w:lvl>
  </w:abstractNum>
  <w:abstractNum w:abstractNumId="194">
    <w:nsid w:val="5895F5FA"/>
    <w:multiLevelType w:val="hybridMultilevel"/>
    <w:lvl w:ilvl="0">
      <w:lvlJc w:val="left"/>
      <w:lvlText w:val="§"/>
      <w:numFmt w:val="bullet"/>
      <w:start w:val="1"/>
    </w:lvl>
  </w:abstractNum>
  <w:abstractNum w:abstractNumId="195">
    <w:nsid w:val="38A5D054"/>
    <w:multiLevelType w:val="hybridMultilevel"/>
    <w:lvl w:ilvl="0">
      <w:lvlJc w:val="left"/>
      <w:lvlText w:val="(%1)"/>
      <w:numFmt w:val="lowerLetter"/>
      <w:start w:val="1"/>
    </w:lvl>
  </w:abstractNum>
  <w:abstractNum w:abstractNumId="196">
    <w:nsid w:val="F3F09D8"/>
    <w:multiLevelType w:val="hybridMultilevel"/>
    <w:lvl w:ilvl="0">
      <w:lvlJc w:val="left"/>
      <w:lvlText w:val="(%1)"/>
      <w:numFmt w:val="lowerLetter"/>
      <w:start w:val="2"/>
    </w:lvl>
    <w:lvl w:ilvl="1">
      <w:lvlJc w:val="left"/>
      <w:lvlText w:val="(%2)"/>
      <w:numFmt w:val="lowerLetter"/>
      <w:start w:val="2"/>
    </w:lvl>
  </w:abstractNum>
  <w:abstractNum w:abstractNumId="197">
    <w:nsid w:val="4B793735"/>
    <w:multiLevelType w:val="hybridMultilevel"/>
    <w:lvl w:ilvl="0">
      <w:lvlJc w:val="left"/>
      <w:lvlText w:val="(%1)"/>
      <w:numFmt w:val="lowerLetter"/>
      <w:start w:val="6"/>
    </w:lvl>
  </w:abstractNum>
  <w:abstractNum w:abstractNumId="198">
    <w:nsid w:val="4A10B4E8"/>
    <w:multiLevelType w:val="hybridMultilevel"/>
    <w:lvl w:ilvl="0">
      <w:lvlJc w:val="left"/>
      <w:lvlText w:val="(%1)"/>
      <w:numFmt w:val="lowerRoman"/>
      <w:start w:val="9"/>
    </w:lvl>
    <w:lvl w:ilvl="1">
      <w:lvlJc w:val="left"/>
      <w:lvlText w:val="§"/>
      <w:numFmt w:val="bullet"/>
      <w:start w:val="1"/>
    </w:lvl>
  </w:abstractNum>
  <w:abstractNum w:abstractNumId="199">
    <w:nsid w:val="43D3BCD4"/>
    <w:multiLevelType w:val="hybridMultilevel"/>
    <w:lvl w:ilvl="0">
      <w:lvlJc w:val="left"/>
      <w:lvlText w:val="§"/>
      <w:numFmt w:val="bullet"/>
      <w:start w:val="1"/>
    </w:lvl>
    <w:lvl w:ilvl="1">
      <w:lvlJc w:val="left"/>
      <w:lvlText w:val="(%2)"/>
      <w:numFmt w:val="lowerRoman"/>
      <w:start w:val="1"/>
    </w:lvl>
  </w:abstractNum>
  <w:abstractNum w:abstractNumId="200">
    <w:nsid w:val="4C2A7166"/>
    <w:multiLevelType w:val="hybridMultilevel"/>
    <w:lvl w:ilvl="0">
      <w:lvlJc w:val="left"/>
      <w:lvlText w:val="§"/>
      <w:numFmt w:val="bullet"/>
      <w:start w:val="1"/>
    </w:lvl>
  </w:abstractNum>
  <w:abstractNum w:abstractNumId="201">
    <w:nsid w:val="2E534A82"/>
    <w:multiLevelType w:val="hybridMultilevel"/>
    <w:lvl w:ilvl="0">
      <w:lvlJc w:val="left"/>
      <w:lvlText w:val="%1"/>
      <w:numFmt w:val="lowerLetter"/>
      <w:start w:val="1"/>
    </w:lvl>
    <w:lvl w:ilvl="1">
      <w:lvlJc w:val="left"/>
      <w:lvlText w:val="(%2)"/>
      <w:numFmt w:val="lowerLetter"/>
      <w:start w:val="1"/>
    </w:lvl>
  </w:abstractNum>
  <w:abstractNum w:abstractNumId="202">
    <w:nsid w:val="26F2D364"/>
    <w:multiLevelType w:val="hybridMultilevel"/>
    <w:lvl w:ilvl="0">
      <w:lvlJc w:val="left"/>
      <w:lvlText w:val="(%1)"/>
      <w:numFmt w:val="lowerLetter"/>
      <w:start w:val="1"/>
    </w:lvl>
    <w:lvl w:ilvl="1">
      <w:lvlJc w:val="left"/>
      <w:lvlText w:val="%2"/>
      <w:numFmt w:val="lowerLetter"/>
      <w:start w:val="1"/>
    </w:lvl>
  </w:abstractNum>
  <w:abstractNum w:abstractNumId="203">
    <w:nsid w:val="71C1AF9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2020-01-30T21:26:54Z</dcterms:created>
  <dcterms:modified xsi:type="dcterms:W3CDTF">2020-01-30T21:26:54Z</dcterms:modified>
</cp:coreProperties>
</file>