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3"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Washington, D.C. 20549</w:t>
      </w:r>
    </w:p>
    <w:p>
      <w:pPr>
        <w:spacing w:after="0" w:line="182"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FORM 8-K</w:t>
      </w:r>
    </w:p>
    <w:p>
      <w:pPr>
        <w:spacing w:after="0" w:line="226"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CURRENT REPORT</w:t>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19"/>
          <w:szCs w:val="19"/>
          <w:b w:val="1"/>
          <w:bCs w:val="1"/>
          <w:color w:val="auto"/>
        </w:rPr>
        <w:t>Pursuant to Section 13 or 15(d) of The Securities Exchange Act of 1934</w:t>
      </w:r>
    </w:p>
    <w:p>
      <w:pPr>
        <w:spacing w:after="0" w:line="226"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 xml:space="preserve">Date of Report (Date of earliest event reported) — </w:t>
      </w:r>
      <w:r>
        <w:rPr>
          <w:rFonts w:ascii="Arial" w:cs="Arial" w:eastAsia="Arial" w:hAnsi="Arial"/>
          <w:sz w:val="18"/>
          <w:szCs w:val="18"/>
          <w:b w:val="1"/>
          <w:bCs w:val="1"/>
          <w:color w:val="auto"/>
        </w:rPr>
        <w:t>August 6, 2014</w:t>
      </w:r>
    </w:p>
    <w:p>
      <w:pPr>
        <w:spacing w:after="0" w:line="202"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Plains All American Pipeline, L.P.</w:t>
      </w:r>
    </w:p>
    <w:p>
      <w:pPr>
        <w:spacing w:after="0" w:line="40"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380"/>
          </w:cols>
          <w:pgMar w:left="240" w:top="544" w:right="279" w:bottom="0" w:gutter="0" w:footer="0" w:header="0"/>
        </w:sectPr>
      </w:pPr>
    </w:p>
    <w:p>
      <w:pPr>
        <w:spacing w:after="0" w:line="205" w:lineRule="exact"/>
        <w:rPr>
          <w:sz w:val="24"/>
          <w:szCs w:val="24"/>
          <w:color w:val="auto"/>
        </w:rPr>
      </w:pPr>
    </w:p>
    <w:p>
      <w:pPr>
        <w:jc w:val="center"/>
        <w:ind w:right="34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jc w:val="center"/>
        <w:ind w:right="340"/>
        <w:spacing w:after="0"/>
        <w:rPr>
          <w:sz w:val="20"/>
          <w:szCs w:val="20"/>
          <w:color w:val="auto"/>
        </w:rPr>
      </w:pPr>
      <w:r>
        <w:rPr>
          <w:rFonts w:ascii="Arial" w:cs="Arial" w:eastAsia="Arial" w:hAnsi="Arial"/>
          <w:sz w:val="16"/>
          <w:szCs w:val="16"/>
          <w:color w:val="auto"/>
        </w:rPr>
        <w:t>(State or other jurisdiction of</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920"/>
        <w:spacing w:after="0"/>
        <w:rPr>
          <w:sz w:val="20"/>
          <w:szCs w:val="20"/>
          <w:color w:val="auto"/>
        </w:rPr>
      </w:pPr>
      <w:r>
        <w:rPr>
          <w:rFonts w:ascii="Arial" w:cs="Arial" w:eastAsia="Arial" w:hAnsi="Arial"/>
          <w:sz w:val="18"/>
          <w:szCs w:val="18"/>
          <w:b w:val="1"/>
          <w:bCs w:val="1"/>
          <w:color w:val="auto"/>
        </w:rPr>
        <w:t>1-14569</w:t>
      </w:r>
    </w:p>
    <w:p>
      <w:pPr>
        <w:spacing w:after="0" w:line="27" w:lineRule="exact"/>
        <w:rPr>
          <w:sz w:val="24"/>
          <w:szCs w:val="24"/>
          <w:color w:val="auto"/>
        </w:rPr>
      </w:pPr>
    </w:p>
    <w:p>
      <w:pPr>
        <w:jc w:val="center"/>
        <w:ind w:right="920"/>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540"/>
        <w:spacing w:after="0"/>
        <w:rPr>
          <w:sz w:val="20"/>
          <w:szCs w:val="20"/>
          <w:color w:val="auto"/>
        </w:rPr>
      </w:pPr>
      <w:r>
        <w:rPr>
          <w:rFonts w:ascii="Arial" w:cs="Arial" w:eastAsia="Arial" w:hAnsi="Arial"/>
          <w:sz w:val="18"/>
          <w:szCs w:val="18"/>
          <w:b w:val="1"/>
          <w:bCs w:val="1"/>
          <w:color w:val="auto"/>
        </w:rPr>
        <w:t>76-0582150</w:t>
      </w:r>
    </w:p>
    <w:p>
      <w:pPr>
        <w:spacing w:after="0" w:line="27" w:lineRule="exact"/>
        <w:rPr>
          <w:sz w:val="24"/>
          <w:szCs w:val="24"/>
          <w:color w:val="auto"/>
        </w:rPr>
      </w:pPr>
    </w:p>
    <w:p>
      <w:pPr>
        <w:jc w:val="center"/>
        <w:ind w:right="540"/>
        <w:spacing w:after="0"/>
        <w:rPr>
          <w:sz w:val="20"/>
          <w:szCs w:val="20"/>
          <w:color w:val="auto"/>
        </w:rPr>
      </w:pPr>
      <w:r>
        <w:rPr>
          <w:rFonts w:ascii="Arial" w:cs="Arial" w:eastAsia="Arial" w:hAnsi="Arial"/>
          <w:sz w:val="17"/>
          <w:szCs w:val="17"/>
          <w:color w:val="auto"/>
        </w:rPr>
        <w:t>(IRS Employer Identification No.)</w:t>
      </w:r>
    </w:p>
    <w:p>
      <w:pPr>
        <w:spacing w:after="0" w:line="21" w:lineRule="exact"/>
        <w:rPr>
          <w:sz w:val="24"/>
          <w:szCs w:val="24"/>
          <w:color w:val="auto"/>
        </w:rPr>
      </w:pPr>
    </w:p>
    <w:p>
      <w:pPr>
        <w:sectPr>
          <w:pgSz w:w="11900" w:h="16838" w:orient="portrait"/>
          <w:cols w:equalWidth="0" w:num="3">
            <w:col w:w="4020" w:space="720"/>
            <w:col w:w="2900" w:space="720"/>
            <w:col w:w="3020"/>
          </w:cols>
          <w:pgMar w:left="240" w:top="544" w:right="279" w:bottom="0" w:gutter="0" w:footer="0" w:header="0"/>
          <w:type w:val="continuous"/>
        </w:sectPr>
      </w:pPr>
    </w:p>
    <w:p>
      <w:pPr>
        <w:ind w:left="1320"/>
        <w:spacing w:after="0"/>
        <w:rPr>
          <w:sz w:val="20"/>
          <w:szCs w:val="20"/>
          <w:color w:val="auto"/>
        </w:rPr>
      </w:pPr>
      <w:r>
        <w:rPr>
          <w:rFonts w:ascii="Arial" w:cs="Arial" w:eastAsia="Arial" w:hAnsi="Arial"/>
          <w:sz w:val="18"/>
          <w:szCs w:val="18"/>
          <w:color w:val="auto"/>
        </w:rPr>
        <w:t>incorporation)</w:t>
      </w:r>
    </w:p>
    <w:p>
      <w:pPr>
        <w:spacing w:after="0" w:line="207" w:lineRule="exact"/>
        <w:rPr>
          <w:sz w:val="24"/>
          <w:szCs w:val="24"/>
          <w:color w:val="auto"/>
        </w:rPr>
      </w:pPr>
    </w:p>
    <w:p>
      <w:pPr>
        <w:ind w:left="3800"/>
        <w:spacing w:after="0"/>
        <w:rPr>
          <w:sz w:val="20"/>
          <w:szCs w:val="20"/>
          <w:color w:val="auto"/>
        </w:rPr>
      </w:pPr>
      <w:r>
        <w:rPr>
          <w:rFonts w:ascii="Arial" w:cs="Arial" w:eastAsia="Arial" w:hAnsi="Arial"/>
          <w:sz w:val="18"/>
          <w:szCs w:val="18"/>
          <w:b w:val="1"/>
          <w:bCs w:val="1"/>
          <w:color w:val="auto"/>
        </w:rPr>
        <w:t>333 Clay Street, Suite 1600, Houston, Texas 77002</w:t>
      </w:r>
    </w:p>
    <w:p>
      <w:pPr>
        <w:spacing w:after="0" w:line="27" w:lineRule="exact"/>
        <w:rPr>
          <w:sz w:val="24"/>
          <w:szCs w:val="24"/>
          <w:color w:val="auto"/>
        </w:rPr>
      </w:pPr>
    </w:p>
    <w:p>
      <w:pPr>
        <w:ind w:left="3860"/>
        <w:spacing w:after="0"/>
        <w:rPr>
          <w:sz w:val="20"/>
          <w:szCs w:val="20"/>
          <w:color w:val="auto"/>
        </w:rPr>
      </w:pPr>
      <w:r>
        <w:rPr>
          <w:rFonts w:ascii="Arial" w:cs="Arial" w:eastAsia="Arial" w:hAnsi="Arial"/>
          <w:sz w:val="18"/>
          <w:szCs w:val="18"/>
          <w:color w:val="auto"/>
        </w:rPr>
        <w:t>(Address of principal executive offices) (Zip Code)</w:t>
      </w:r>
    </w:p>
    <w:p>
      <w:pPr>
        <w:spacing w:after="0" w:line="207" w:lineRule="exact"/>
        <w:rPr>
          <w:sz w:val="24"/>
          <w:szCs w:val="24"/>
          <w:color w:val="auto"/>
        </w:rPr>
      </w:pPr>
    </w:p>
    <w:p>
      <w:pPr>
        <w:jc w:val="center"/>
        <w:ind w:right="-59"/>
        <w:spacing w:after="0"/>
        <w:rPr>
          <w:sz w:val="20"/>
          <w:szCs w:val="20"/>
          <w:color w:val="auto"/>
        </w:rPr>
      </w:pPr>
      <w:r>
        <w:rPr>
          <w:rFonts w:ascii="Arial" w:cs="Arial" w:eastAsia="Arial" w:hAnsi="Arial"/>
          <w:sz w:val="16"/>
          <w:szCs w:val="16"/>
          <w:color w:val="auto"/>
        </w:rPr>
        <w:t xml:space="preserve">Registrant’s telephone number, including area code: </w:t>
      </w:r>
      <w:r>
        <w:rPr>
          <w:rFonts w:ascii="Arial" w:cs="Arial" w:eastAsia="Arial" w:hAnsi="Arial"/>
          <w:sz w:val="16"/>
          <w:szCs w:val="16"/>
          <w:b w:val="1"/>
          <w:bCs w:val="1"/>
          <w:color w:val="auto"/>
        </w:rPr>
        <w:t>713-646-4100</w:t>
      </w:r>
    </w:p>
    <w:p>
      <w:pPr>
        <w:sectPr>
          <w:pgSz w:w="11900" w:h="16838" w:orient="portrait"/>
          <w:cols w:equalWidth="0" w:num="1">
            <w:col w:w="11380"/>
          </w:cols>
          <w:pgMar w:left="240" w:top="544" w:right="279" w:bottom="0" w:gutter="0" w:footer="0" w:header="0"/>
          <w:type w:val="continuous"/>
        </w:sectPr>
      </w:pPr>
    </w:p>
    <w:p>
      <w:pPr>
        <w:spacing w:after="0" w:line="200" w:lineRule="exact"/>
        <w:rPr>
          <w:sz w:val="24"/>
          <w:szCs w:val="24"/>
          <w:color w:val="auto"/>
        </w:rPr>
      </w:pPr>
    </w:p>
    <w:p>
      <w:pPr>
        <w:spacing w:after="0" w:line="268"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25" w:lineRule="exact"/>
        <w:rPr>
          <w:sz w:val="24"/>
          <w:szCs w:val="24"/>
          <w:color w:val="auto"/>
        </w:rPr>
      </w:pPr>
    </w:p>
    <w:p>
      <w:pPr>
        <w:ind w:right="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260" w:hanging="252"/>
        <w:spacing w:after="0"/>
        <w:tabs>
          <w:tab w:leader="none" w:pos="260"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Arial" w:cs="Arial" w:eastAsia="Arial" w:hAnsi="Arial"/>
          <w:sz w:val="18"/>
          <w:szCs w:val="18"/>
          <w:color w:val="auto"/>
        </w:rPr>
      </w:pPr>
    </w:p>
    <w:p>
      <w:pPr>
        <w:ind w:left="260" w:hanging="252"/>
        <w:spacing w:after="0"/>
        <w:tabs>
          <w:tab w:leader="none" w:pos="26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Arial" w:cs="Arial" w:eastAsia="Arial" w:hAnsi="Arial"/>
          <w:sz w:val="18"/>
          <w:szCs w:val="18"/>
          <w:color w:val="auto"/>
        </w:rPr>
      </w:pPr>
    </w:p>
    <w:p>
      <w:pPr>
        <w:ind w:left="260" w:hanging="252"/>
        <w:spacing w:after="0"/>
        <w:tabs>
          <w:tab w:leader="none" w:pos="26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Arial" w:cs="Arial" w:eastAsia="Arial" w:hAnsi="Arial"/>
          <w:sz w:val="18"/>
          <w:szCs w:val="18"/>
          <w:color w:val="auto"/>
        </w:rPr>
      </w:pPr>
    </w:p>
    <w:p>
      <w:pPr>
        <w:ind w:left="260" w:hanging="252"/>
        <w:spacing w:after="0"/>
        <w:tabs>
          <w:tab w:leader="none" w:pos="26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194945</wp:posOffset>
            </wp:positionV>
            <wp:extent cx="72466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433070</wp:posOffset>
            </wp:positionV>
            <wp:extent cx="7267575" cy="29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55" w:lineRule="exact"/>
        <w:rPr>
          <w:sz w:val="24"/>
          <w:szCs w:val="24"/>
          <w:color w:val="auto"/>
        </w:rPr>
      </w:pPr>
    </w:p>
    <w:p>
      <w:pPr>
        <w:spacing w:after="0"/>
        <w:tabs>
          <w:tab w:leader="none" w:pos="130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29" w:lineRule="exact"/>
        <w:rPr>
          <w:sz w:val="24"/>
          <w:szCs w:val="24"/>
          <w:color w:val="auto"/>
        </w:rPr>
      </w:pPr>
    </w:p>
    <w:p>
      <w:pPr>
        <w:ind w:left="660"/>
        <w:spacing w:after="0"/>
        <w:tabs>
          <w:tab w:leader="none" w:pos="1020" w:val="left"/>
        </w:tabs>
        <w:rPr>
          <w:sz w:val="20"/>
          <w:szCs w:val="20"/>
          <w:color w:val="auto"/>
        </w:rPr>
      </w:pPr>
      <w:r>
        <w:rPr>
          <w:rFonts w:ascii="Arial" w:cs="Arial" w:eastAsia="Arial" w:hAnsi="Arial"/>
          <w:sz w:val="18"/>
          <w:szCs w:val="18"/>
          <w:color w:val="auto"/>
        </w:rPr>
        <w:t>(d)</w:t>
      </w:r>
      <w:r>
        <w:rPr>
          <w:sz w:val="20"/>
          <w:szCs w:val="20"/>
          <w:color w:val="auto"/>
        </w:rPr>
        <w:tab/>
      </w:r>
      <w:r>
        <w:rPr>
          <w:rFonts w:ascii="Arial" w:cs="Arial" w:eastAsia="Arial" w:hAnsi="Arial"/>
          <w:sz w:val="16"/>
          <w:szCs w:val="16"/>
          <w:color w:val="auto"/>
        </w:rPr>
        <w:t>Exhibit 99.1 — Press Release dated August 6, 2014</w:t>
      </w:r>
    </w:p>
    <w:p>
      <w:pPr>
        <w:spacing w:after="0" w:line="221"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Item 2.02 and Item 7.01. Results of Operations and Financial Condition; Regulation FD Disclosure</w:t>
      </w:r>
    </w:p>
    <w:p>
      <w:pPr>
        <w:spacing w:after="0" w:line="229" w:lineRule="exact"/>
        <w:rPr>
          <w:sz w:val="24"/>
          <w:szCs w:val="24"/>
          <w:color w:val="auto"/>
        </w:rPr>
      </w:pPr>
    </w:p>
    <w:p>
      <w:pPr>
        <w:ind w:firstLine="648"/>
        <w:spacing w:after="0" w:line="255" w:lineRule="auto"/>
        <w:rPr>
          <w:sz w:val="20"/>
          <w:szCs w:val="20"/>
          <w:color w:val="auto"/>
        </w:rPr>
      </w:pPr>
      <w:r>
        <w:rPr>
          <w:rFonts w:ascii="Arial" w:cs="Arial" w:eastAsia="Arial" w:hAnsi="Arial"/>
          <w:sz w:val="18"/>
          <w:szCs w:val="18"/>
          <w:color w:val="auto"/>
        </w:rPr>
        <w:t>Plains All American Pipeline, L.P. (the “Partnership”) today issued a press release reporting its second-quarter 2014 results. We are furnishing the press release, attached as Exhibit 99.1, pursuant to Item 2.02 and Item 7.01 of Form 8-K. Pursuant to Item 7.01, we are also providing detailed guidance for financial performance for the third and fourth quarters and full year 2014. In accordance with General Instruction B.2. of Form 8-K, the information presented herein under Item 2.02 and Item 7.01 shall not be deemed “filed” for purposes of Section 18 of the Securities Exchange Act of 1934, as amended (the “Exchange Act”), nor shall it be deemed incorporated by reference in any filing under the Exchange Act or Securities Act of 1933, as amended, except as expressly set forth by specific reference in such a filing.</w:t>
      </w:r>
    </w:p>
    <w:p>
      <w:pPr>
        <w:spacing w:after="0" w:line="189"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Disclosure of Third and Fourth Quarter 2014 Guidance; Update of Full Year 2014 Guidance</w:t>
      </w:r>
    </w:p>
    <w:p>
      <w:pPr>
        <w:spacing w:after="0" w:line="229" w:lineRule="exact"/>
        <w:rPr>
          <w:sz w:val="24"/>
          <w:szCs w:val="24"/>
          <w:color w:val="auto"/>
        </w:rPr>
      </w:pPr>
    </w:p>
    <w:p>
      <w:pPr>
        <w:ind w:right="40" w:firstLine="648"/>
        <w:spacing w:after="0" w:line="270" w:lineRule="auto"/>
        <w:rPr>
          <w:sz w:val="20"/>
          <w:szCs w:val="20"/>
          <w:color w:val="auto"/>
        </w:rPr>
      </w:pPr>
      <w:r>
        <w:rPr>
          <w:rFonts w:ascii="Arial" w:cs="Arial" w:eastAsia="Arial" w:hAnsi="Arial"/>
          <w:sz w:val="17"/>
          <w:szCs w:val="17"/>
          <w:color w:val="auto"/>
        </w:rPr>
        <w:t>We based our guidance for the three-month period ending September 30, 2014 and three-month and twelve-month periods ending December 31, 2014 on assumptions and estimates that we believe are reasonable, given our assessment of historical trends (modified for changes in market conditions), business cycles and other reasonably available information. Projections covering multi-quarter periods contemplate inter-period changes in future performance resulting from new expansion projects, seasonal operational changes (such as NGL sales) and acquisition synergies. Our assumptions and future performance, however, are both subject to a wide range of business risks and uncertainties, so we can provide no assurance that actual performance will fall within the guidance ranges. Please refer to information under the caption “Forward-Looking Statements and Associated Risks” below. These risks and uncertainties, as well as other unforeseeable risks and uncertainties, could cause our actual results to differ materially from those in the following table. The operating and financial guidance provided below is given as of the date hereof, based on information known to us as of August 5, 2014. We undertake no obligation to publicly update or revise any forward-looking statements.</w:t>
      </w:r>
    </w:p>
    <w:p>
      <w:pPr>
        <w:spacing w:after="0" w:line="182" w:lineRule="exact"/>
        <w:rPr>
          <w:sz w:val="24"/>
          <w:szCs w:val="24"/>
          <w:color w:val="auto"/>
        </w:rPr>
      </w:pPr>
    </w:p>
    <w:p>
      <w:pPr>
        <w:ind w:right="20" w:firstLine="648"/>
        <w:spacing w:after="0" w:line="302" w:lineRule="auto"/>
        <w:rPr>
          <w:sz w:val="20"/>
          <w:szCs w:val="20"/>
          <w:color w:val="auto"/>
        </w:rPr>
      </w:pPr>
      <w:r>
        <w:rPr>
          <w:rFonts w:ascii="Arial" w:cs="Arial" w:eastAsia="Arial" w:hAnsi="Arial"/>
          <w:sz w:val="16"/>
          <w:szCs w:val="16"/>
          <w:color w:val="auto"/>
        </w:rPr>
        <w:t>To supplement our financial information presented in accordance with GAAP, management uses additional measures known as “non-GAAP financial measures” in its evaluation of past performance and prospects for the future. Management believes that the presentation of such additional financial measures provides useful information to investors regarding our financial condition and results of operations because these measures, when used in conjunction with related GAAP financial measures, (i) provide additional information about our core operations and ability to generate and distribute cash</w:t>
      </w:r>
    </w:p>
    <w:p>
      <w:pPr>
        <w:sectPr>
          <w:pgSz w:w="11900" w:h="16838" w:orient="portrait"/>
          <w:cols w:equalWidth="0" w:num="1">
            <w:col w:w="11380"/>
          </w:cols>
          <w:pgMar w:left="240" w:top="544" w:right="279" w:bottom="0" w:gutter="0" w:footer="0" w:header="0"/>
          <w:type w:val="continuous"/>
        </w:sectPr>
      </w:pPr>
    </w:p>
    <w:bookmarkStart w:id="1" w:name="page2"/>
    <w:bookmarkEnd w:id="1"/>
    <w:p>
      <w:pPr>
        <w:spacing w:after="0" w:line="50"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 xml:space="preserve">flow, (ii) provide investors with the financial analytical framework upon which management bases financial, operational, compensation and planning decisions and (iii) present measurements that investors, rating agencies and debt holders have indicated are useful in assessing us and our results of operations. EBIT and EBITDA (each as defined below in Note 1 to the “Operating and Financial Guidance” table) are non-GAAP financial measures. Net income represents one of the two most directly comparable GAAP measures to EBIT and EBITDA. In Note 9 below, we reconcile net income to EBIT and EBITDA for the 2014 guidance periods presented. Cash flows from operating activities is the other most comparable GAAP measure. We do not, however, reconcile cash flows from operating activities to EBIT and EBITDA, because such reconciliations are impractical for forecasted periods. We encourage you to visit our website at </w:t>
      </w:r>
      <w:r>
        <w:rPr>
          <w:rFonts w:ascii="Arial" w:cs="Arial" w:eastAsia="Arial" w:hAnsi="Arial"/>
          <w:sz w:val="16"/>
          <w:szCs w:val="16"/>
          <w:i w:val="1"/>
          <w:iCs w:val="1"/>
          <w:color w:val="auto"/>
        </w:rPr>
        <w:t>www.plainsallamerican.com</w:t>
      </w:r>
      <w:r>
        <w:rPr>
          <w:rFonts w:ascii="Arial" w:cs="Arial" w:eastAsia="Arial" w:hAnsi="Arial"/>
          <w:sz w:val="16"/>
          <w:szCs w:val="16"/>
          <w:color w:val="auto"/>
        </w:rPr>
        <w:t xml:space="preserve"> (in particular the section under Investor Relations entitled “Guidance and Non-GAAP Reconciliations”), which presents a historical reconciliation of EBIT and EBITDA as well as certain other commonly used non-GAAP financial measures. These measures may exclude, for example, (i) charges for obligations that are expected to be settled with the issuance of equity instruments, (ii) the mark-to-market of derivative instruments that are related to underlying activities in another period (or the reversal of such adjustments from a prior period), (iii) items that are not indicative of our core operating results and business outlook and/or (iv) other items that we believe should be excluded in understanding our core operating performance. We have defined all such items as “Selected Items Impacting Comparability.” Due to the nature of the selected items, certain selected items impacting comparability may impact certain non-GAAP financial measures but not impact other non-GAAP financial measures.</w:t>
      </w:r>
    </w:p>
    <w:p>
      <w:pPr>
        <w:spacing w:after="0" w:line="17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4420"/>
        <w:spacing w:after="0"/>
        <w:rPr>
          <w:sz w:val="20"/>
          <w:szCs w:val="20"/>
          <w:color w:val="auto"/>
        </w:rPr>
      </w:pPr>
      <w:r>
        <w:rPr>
          <w:rFonts w:ascii="Arial" w:cs="Arial" w:eastAsia="Arial" w:hAnsi="Arial"/>
          <w:sz w:val="18"/>
          <w:szCs w:val="18"/>
          <w:b w:val="1"/>
          <w:bCs w:val="1"/>
          <w:color w:val="auto"/>
        </w:rPr>
        <w:t>Plains All American Pipeline, L.P.</w:t>
      </w:r>
    </w:p>
    <w:p>
      <w:pPr>
        <w:spacing w:after="0" w:line="27" w:lineRule="exact"/>
        <w:rPr>
          <w:sz w:val="20"/>
          <w:szCs w:val="20"/>
          <w:color w:val="auto"/>
        </w:rPr>
      </w:pPr>
    </w:p>
    <w:p>
      <w:pPr>
        <w:ind w:left="4380"/>
        <w:spacing w:after="0"/>
        <w:rPr>
          <w:sz w:val="20"/>
          <w:szCs w:val="20"/>
          <w:color w:val="auto"/>
        </w:rPr>
      </w:pPr>
      <w:r>
        <w:rPr>
          <w:rFonts w:ascii="Arial" w:cs="Arial" w:eastAsia="Arial" w:hAnsi="Arial"/>
          <w:sz w:val="18"/>
          <w:szCs w:val="18"/>
          <w:b w:val="1"/>
          <w:bCs w:val="1"/>
          <w:color w:val="auto"/>
        </w:rPr>
        <w:t>Operating and Financial Guidance</w:t>
      </w:r>
    </w:p>
    <w:p>
      <w:pPr>
        <w:spacing w:after="0" w:line="9" w:lineRule="exact"/>
        <w:rPr>
          <w:sz w:val="20"/>
          <w:szCs w:val="20"/>
          <w:color w:val="auto"/>
        </w:rPr>
      </w:pPr>
    </w:p>
    <w:p>
      <w:pPr>
        <w:ind w:left="4440"/>
        <w:spacing w:after="0"/>
        <w:rPr>
          <w:sz w:val="20"/>
          <w:szCs w:val="20"/>
          <w:color w:val="auto"/>
        </w:rPr>
      </w:pPr>
      <w:r>
        <w:rPr>
          <w:rFonts w:ascii="Arial" w:cs="Arial" w:eastAsia="Arial" w:hAnsi="Arial"/>
          <w:sz w:val="18"/>
          <w:szCs w:val="18"/>
          <w:b w:val="1"/>
          <w:bCs w:val="1"/>
          <w:color w:val="auto"/>
        </w:rPr>
        <w:t>(in millions, except per unit data)</w:t>
      </w:r>
    </w:p>
    <w:p>
      <w:pPr>
        <w:spacing w:after="0" w:line="176" w:lineRule="exact"/>
        <w:rPr>
          <w:sz w:val="20"/>
          <w:szCs w:val="20"/>
          <w:color w:val="auto"/>
        </w:rPr>
      </w:pPr>
    </w:p>
    <w:tbl>
      <w:tblPr>
        <w:tblLayout w:type="fixed"/>
        <w:tblInd w:w="10" w:type="dxa"/>
        <w:tblCellMar>
          <w:top w:w="0" w:type="dxa"/>
          <w:left w:w="0" w:type="dxa"/>
          <w:bottom w:w="0" w:type="dxa"/>
          <w:right w:w="0" w:type="dxa"/>
        </w:tblCellMar>
      </w:tblPr>
      <w:tr>
        <w:trPr>
          <w:trHeight w:val="184"/>
        </w:trPr>
        <w:tc>
          <w:tcPr>
            <w:tcW w:w="4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8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90"/>
              </w:rPr>
              <w:t>Actual</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00" w:type="dxa"/>
            <w:vAlign w:val="bottom"/>
            <w:gridSpan w:val="3"/>
          </w:tcPr>
          <w:p>
            <w:pPr>
              <w:jc w:val="right"/>
              <w:ind w:right="33"/>
              <w:spacing w:after="0"/>
              <w:rPr>
                <w:sz w:val="20"/>
                <w:szCs w:val="20"/>
                <w:color w:val="auto"/>
              </w:rPr>
            </w:pPr>
            <w:r>
              <w:rPr>
                <w:rFonts w:ascii="Arial" w:cs="Arial" w:eastAsia="Arial" w:hAnsi="Arial"/>
                <w:sz w:val="13"/>
                <w:szCs w:val="13"/>
                <w:b w:val="1"/>
                <w:bCs w:val="1"/>
                <w:color w:val="auto"/>
              </w:rPr>
              <w:t xml:space="preserve">Guidance </w:t>
            </w:r>
            <w:r>
              <w:rPr>
                <w:rFonts w:ascii="Arial" w:cs="Arial" w:eastAsia="Arial" w:hAnsi="Arial"/>
                <w:sz w:val="16"/>
                <w:szCs w:val="16"/>
                <w:b w:val="1"/>
                <w:bCs w:val="1"/>
                <w:color w:val="auto"/>
                <w:vertAlign w:val="superscript"/>
              </w:rPr>
              <w:t>(a)</w:t>
            </w: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10"/>
        </w:trPr>
        <w:tc>
          <w:tcPr>
            <w:tcW w:w="4120" w:type="dxa"/>
            <w:vAlign w:val="bottom"/>
          </w:tcPr>
          <w:p>
            <w:pPr>
              <w:spacing w:after="0"/>
              <w:rPr>
                <w:sz w:val="9"/>
                <w:szCs w:val="9"/>
                <w:color w:val="auto"/>
              </w:rPr>
            </w:pPr>
          </w:p>
        </w:tc>
        <w:tc>
          <w:tcPr>
            <w:tcW w:w="240" w:type="dxa"/>
            <w:vAlign w:val="bottom"/>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740" w:type="dxa"/>
            <w:vAlign w:val="bottom"/>
            <w:tcBorders>
              <w:top w:val="single" w:sz="8" w:color="auto"/>
            </w:tcBorders>
          </w:tcPr>
          <w:p>
            <w:pPr>
              <w:jc w:val="center"/>
              <w:spacing w:after="0" w:line="110" w:lineRule="exact"/>
              <w:rPr>
                <w:sz w:val="20"/>
                <w:szCs w:val="20"/>
                <w:color w:val="auto"/>
              </w:rPr>
            </w:pPr>
            <w:r>
              <w:rPr>
                <w:rFonts w:ascii="Arial" w:cs="Arial" w:eastAsia="Arial" w:hAnsi="Arial"/>
                <w:sz w:val="12"/>
                <w:szCs w:val="12"/>
                <w:b w:val="1"/>
                <w:bCs w:val="1"/>
                <w:color w:val="auto"/>
                <w:w w:val="98"/>
              </w:rPr>
              <w:t>6 Months</w:t>
            </w: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Borders>
              <w:top w:val="single" w:sz="8" w:color="auto"/>
            </w:tcBorders>
          </w:tcPr>
          <w:p>
            <w:pPr>
              <w:spacing w:after="0"/>
              <w:rPr>
                <w:sz w:val="9"/>
                <w:szCs w:val="9"/>
                <w:color w:val="auto"/>
              </w:rPr>
            </w:pPr>
          </w:p>
        </w:tc>
        <w:tc>
          <w:tcPr>
            <w:tcW w:w="1800" w:type="dxa"/>
            <w:vAlign w:val="bottom"/>
            <w:tcBorders>
              <w:top w:val="single" w:sz="8" w:color="auto"/>
            </w:tcBorders>
            <w:gridSpan w:val="5"/>
          </w:tcPr>
          <w:p>
            <w:pPr>
              <w:jc w:val="right"/>
              <w:ind w:right="600"/>
              <w:spacing w:after="0" w:line="110" w:lineRule="exact"/>
              <w:rPr>
                <w:sz w:val="20"/>
                <w:szCs w:val="20"/>
                <w:color w:val="auto"/>
              </w:rPr>
            </w:pPr>
            <w:r>
              <w:rPr>
                <w:rFonts w:ascii="Arial" w:cs="Arial" w:eastAsia="Arial" w:hAnsi="Arial"/>
                <w:sz w:val="12"/>
                <w:szCs w:val="12"/>
                <w:b w:val="1"/>
                <w:bCs w:val="1"/>
                <w:color w:val="auto"/>
              </w:rPr>
              <w:t>3 Months Ending</w:t>
            </w:r>
          </w:p>
        </w:tc>
        <w:tc>
          <w:tcPr>
            <w:tcW w:w="100" w:type="dxa"/>
            <w:vAlign w:val="bottom"/>
            <w:tcBorders>
              <w:top w:val="single" w:sz="8" w:color="auto"/>
            </w:tcBorders>
          </w:tcPr>
          <w:p>
            <w:pPr>
              <w:spacing w:after="0"/>
              <w:rPr>
                <w:sz w:val="9"/>
                <w:szCs w:val="9"/>
                <w:color w:val="auto"/>
              </w:rPr>
            </w:pPr>
          </w:p>
        </w:tc>
        <w:tc>
          <w:tcPr>
            <w:tcW w:w="180" w:type="dxa"/>
            <w:vAlign w:val="bottom"/>
            <w:tcBorders>
              <w:top w:val="single" w:sz="8" w:color="auto"/>
            </w:tcBorders>
          </w:tcPr>
          <w:p>
            <w:pPr>
              <w:spacing w:after="0"/>
              <w:rPr>
                <w:sz w:val="9"/>
                <w:szCs w:val="9"/>
                <w:color w:val="auto"/>
              </w:rPr>
            </w:pPr>
          </w:p>
        </w:tc>
        <w:tc>
          <w:tcPr>
            <w:tcW w:w="1780" w:type="dxa"/>
            <w:vAlign w:val="bottom"/>
            <w:tcBorders>
              <w:top w:val="single" w:sz="8" w:color="auto"/>
            </w:tcBorders>
            <w:gridSpan w:val="5"/>
          </w:tcPr>
          <w:p>
            <w:pPr>
              <w:jc w:val="right"/>
              <w:ind w:right="580"/>
              <w:spacing w:after="0" w:line="110" w:lineRule="exact"/>
              <w:rPr>
                <w:sz w:val="20"/>
                <w:szCs w:val="20"/>
                <w:color w:val="auto"/>
              </w:rPr>
            </w:pPr>
            <w:r>
              <w:rPr>
                <w:rFonts w:ascii="Arial" w:cs="Arial" w:eastAsia="Arial" w:hAnsi="Arial"/>
                <w:sz w:val="12"/>
                <w:szCs w:val="12"/>
                <w:b w:val="1"/>
                <w:bCs w:val="1"/>
                <w:color w:val="auto"/>
              </w:rPr>
              <w:t>3 Months Ending</w:t>
            </w:r>
          </w:p>
        </w:tc>
        <w:tc>
          <w:tcPr>
            <w:tcW w:w="80" w:type="dxa"/>
            <w:vAlign w:val="bottom"/>
            <w:tcBorders>
              <w:top w:val="single" w:sz="8" w:color="auto"/>
            </w:tcBorders>
          </w:tcPr>
          <w:p>
            <w:pPr>
              <w:spacing w:after="0"/>
              <w:rPr>
                <w:sz w:val="9"/>
                <w:szCs w:val="9"/>
                <w:color w:val="auto"/>
              </w:rPr>
            </w:pPr>
          </w:p>
        </w:tc>
        <w:tc>
          <w:tcPr>
            <w:tcW w:w="180" w:type="dxa"/>
            <w:vAlign w:val="bottom"/>
            <w:tcBorders>
              <w:top w:val="single" w:sz="8" w:color="auto"/>
            </w:tcBorders>
          </w:tcPr>
          <w:p>
            <w:pPr>
              <w:spacing w:after="0"/>
              <w:rPr>
                <w:sz w:val="9"/>
                <w:szCs w:val="9"/>
                <w:color w:val="auto"/>
              </w:rPr>
            </w:pPr>
          </w:p>
        </w:tc>
        <w:tc>
          <w:tcPr>
            <w:tcW w:w="1620" w:type="dxa"/>
            <w:vAlign w:val="bottom"/>
            <w:tcBorders>
              <w:top w:val="single" w:sz="8" w:color="auto"/>
            </w:tcBorders>
            <w:gridSpan w:val="5"/>
          </w:tcPr>
          <w:p>
            <w:pPr>
              <w:jc w:val="right"/>
              <w:ind w:right="337"/>
              <w:spacing w:after="0" w:line="110" w:lineRule="exact"/>
              <w:rPr>
                <w:sz w:val="20"/>
                <w:szCs w:val="20"/>
                <w:color w:val="auto"/>
              </w:rPr>
            </w:pPr>
            <w:r>
              <w:rPr>
                <w:rFonts w:ascii="Arial" w:cs="Arial" w:eastAsia="Arial" w:hAnsi="Arial"/>
                <w:sz w:val="12"/>
                <w:szCs w:val="12"/>
                <w:b w:val="1"/>
                <w:bCs w:val="1"/>
                <w:color w:val="auto"/>
              </w:rPr>
              <w:t>12 Months Ending</w:t>
            </w: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3"/>
        </w:trPr>
        <w:tc>
          <w:tcPr>
            <w:tcW w:w="4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8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90"/>
              </w:rPr>
              <w:t>Ended</w:t>
            </w:r>
          </w:p>
        </w:tc>
        <w:tc>
          <w:tcPr>
            <w:tcW w:w="10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gridSpan w:val="3"/>
          </w:tcPr>
          <w:p>
            <w:pPr>
              <w:jc w:val="right"/>
              <w:spacing w:after="0"/>
              <w:rPr>
                <w:sz w:val="20"/>
                <w:szCs w:val="20"/>
                <w:color w:val="auto"/>
              </w:rPr>
            </w:pPr>
            <w:r>
              <w:rPr>
                <w:rFonts w:ascii="Arial" w:cs="Arial" w:eastAsia="Arial" w:hAnsi="Arial"/>
                <w:sz w:val="13"/>
                <w:szCs w:val="13"/>
                <w:b w:val="1"/>
                <w:bCs w:val="1"/>
                <w:color w:val="auto"/>
              </w:rPr>
              <w:t>Sep 30, 2014</w:t>
            </w:r>
          </w:p>
        </w:tc>
        <w:tc>
          <w:tcPr>
            <w:tcW w:w="560" w:type="dxa"/>
            <w:vAlign w:val="bottom"/>
            <w:tcBorders>
              <w:bottom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gridSpan w:val="3"/>
          </w:tcPr>
          <w:p>
            <w:pPr>
              <w:jc w:val="right"/>
              <w:spacing w:after="0"/>
              <w:rPr>
                <w:sz w:val="20"/>
                <w:szCs w:val="20"/>
                <w:color w:val="auto"/>
              </w:rPr>
            </w:pPr>
            <w:r>
              <w:rPr>
                <w:rFonts w:ascii="Arial" w:cs="Arial" w:eastAsia="Arial" w:hAnsi="Arial"/>
                <w:sz w:val="13"/>
                <w:szCs w:val="13"/>
                <w:b w:val="1"/>
                <w:bCs w:val="1"/>
                <w:color w:val="auto"/>
              </w:rPr>
              <w:t>Dec 31, 2014</w:t>
            </w:r>
          </w:p>
        </w:tc>
        <w:tc>
          <w:tcPr>
            <w:tcW w:w="56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gridSpan w:val="4"/>
          </w:tcPr>
          <w:p>
            <w:pPr>
              <w:jc w:val="right"/>
              <w:spacing w:after="0"/>
              <w:rPr>
                <w:sz w:val="20"/>
                <w:szCs w:val="20"/>
                <w:color w:val="auto"/>
              </w:rPr>
            </w:pPr>
            <w:r>
              <w:rPr>
                <w:rFonts w:ascii="Arial" w:cs="Arial" w:eastAsia="Arial" w:hAnsi="Arial"/>
                <w:sz w:val="13"/>
                <w:szCs w:val="13"/>
                <w:b w:val="1"/>
                <w:bCs w:val="1"/>
                <w:color w:val="auto"/>
              </w:rPr>
              <w:t>Dec 31, 2014</w:t>
            </w:r>
          </w:p>
        </w:tc>
        <w:tc>
          <w:tcPr>
            <w:tcW w:w="54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9"/>
        </w:trPr>
        <w:tc>
          <w:tcPr>
            <w:tcW w:w="4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80" w:type="dxa"/>
            <w:vAlign w:val="bottom"/>
            <w:gridSpan w:val="2"/>
          </w:tcPr>
          <w:p>
            <w:pPr>
              <w:jc w:val="center"/>
              <w:ind w:right="200"/>
              <w:spacing w:after="0" w:line="129" w:lineRule="exact"/>
              <w:rPr>
                <w:sz w:val="20"/>
                <w:szCs w:val="20"/>
                <w:color w:val="auto"/>
              </w:rPr>
            </w:pPr>
            <w:r>
              <w:rPr>
                <w:rFonts w:ascii="Arial" w:cs="Arial" w:eastAsia="Arial" w:hAnsi="Arial"/>
                <w:sz w:val="13"/>
                <w:szCs w:val="13"/>
                <w:b w:val="1"/>
                <w:bCs w:val="1"/>
                <w:color w:val="auto"/>
                <w:w w:val="87"/>
              </w:rPr>
              <w:t>Jun 30, 2014</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60" w:type="dxa"/>
            <w:vAlign w:val="bottom"/>
            <w:gridSpan w:val="2"/>
          </w:tcPr>
          <w:p>
            <w:pPr>
              <w:jc w:val="right"/>
              <w:ind w:right="520"/>
              <w:spacing w:after="0" w:line="129" w:lineRule="exact"/>
              <w:rPr>
                <w:sz w:val="20"/>
                <w:szCs w:val="20"/>
                <w:color w:val="auto"/>
              </w:rPr>
            </w:pPr>
            <w:r>
              <w:rPr>
                <w:rFonts w:ascii="Arial" w:cs="Arial" w:eastAsia="Arial" w:hAnsi="Arial"/>
                <w:sz w:val="13"/>
                <w:szCs w:val="13"/>
                <w:b w:val="1"/>
                <w:bCs w:val="1"/>
                <w:color w:val="auto"/>
              </w:rPr>
              <w:t>Low</w:t>
            </w:r>
          </w:p>
        </w:tc>
        <w:tc>
          <w:tcPr>
            <w:tcW w:w="240" w:type="dxa"/>
            <w:vAlign w:val="bottom"/>
          </w:tcPr>
          <w:p>
            <w:pPr>
              <w:spacing w:after="0"/>
              <w:rPr>
                <w:sz w:val="11"/>
                <w:szCs w:val="11"/>
                <w:color w:val="auto"/>
              </w:rPr>
            </w:pPr>
          </w:p>
        </w:tc>
        <w:tc>
          <w:tcPr>
            <w:tcW w:w="560" w:type="dxa"/>
            <w:vAlign w:val="bottom"/>
          </w:tcPr>
          <w:p>
            <w:pPr>
              <w:jc w:val="right"/>
              <w:ind w:right="197"/>
              <w:spacing w:after="0" w:line="129" w:lineRule="exact"/>
              <w:rPr>
                <w:sz w:val="20"/>
                <w:szCs w:val="20"/>
                <w:color w:val="auto"/>
              </w:rPr>
            </w:pPr>
            <w:r>
              <w:rPr>
                <w:rFonts w:ascii="Arial" w:cs="Arial" w:eastAsia="Arial" w:hAnsi="Arial"/>
                <w:sz w:val="13"/>
                <w:szCs w:val="13"/>
                <w:b w:val="1"/>
                <w:bCs w:val="1"/>
                <w:color w:val="auto"/>
                <w:w w:val="96"/>
              </w:rPr>
              <w:t>High</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60" w:type="dxa"/>
            <w:vAlign w:val="bottom"/>
            <w:gridSpan w:val="2"/>
          </w:tcPr>
          <w:p>
            <w:pPr>
              <w:jc w:val="right"/>
              <w:ind w:right="520"/>
              <w:spacing w:after="0" w:line="129" w:lineRule="exact"/>
              <w:rPr>
                <w:sz w:val="20"/>
                <w:szCs w:val="20"/>
                <w:color w:val="auto"/>
              </w:rPr>
            </w:pPr>
            <w:r>
              <w:rPr>
                <w:rFonts w:ascii="Arial" w:cs="Arial" w:eastAsia="Arial" w:hAnsi="Arial"/>
                <w:sz w:val="13"/>
                <w:szCs w:val="13"/>
                <w:b w:val="1"/>
                <w:bCs w:val="1"/>
                <w:color w:val="auto"/>
              </w:rPr>
              <w:t>Low</w:t>
            </w:r>
          </w:p>
        </w:tc>
        <w:tc>
          <w:tcPr>
            <w:tcW w:w="240" w:type="dxa"/>
            <w:vAlign w:val="bottom"/>
          </w:tcPr>
          <w:p>
            <w:pPr>
              <w:spacing w:after="0"/>
              <w:rPr>
                <w:sz w:val="11"/>
                <w:szCs w:val="11"/>
                <w:color w:val="auto"/>
              </w:rPr>
            </w:pPr>
          </w:p>
        </w:tc>
        <w:tc>
          <w:tcPr>
            <w:tcW w:w="560" w:type="dxa"/>
            <w:vAlign w:val="bottom"/>
          </w:tcPr>
          <w:p>
            <w:pPr>
              <w:jc w:val="right"/>
              <w:ind w:right="217"/>
              <w:spacing w:after="0" w:line="129" w:lineRule="exact"/>
              <w:rPr>
                <w:sz w:val="20"/>
                <w:szCs w:val="20"/>
                <w:color w:val="auto"/>
              </w:rPr>
            </w:pPr>
            <w:r>
              <w:rPr>
                <w:rFonts w:ascii="Arial" w:cs="Arial" w:eastAsia="Arial" w:hAnsi="Arial"/>
                <w:sz w:val="13"/>
                <w:szCs w:val="13"/>
                <w:b w:val="1"/>
                <w:bCs w:val="1"/>
                <w:color w:val="auto"/>
                <w:w w:val="89"/>
              </w:rPr>
              <w:t>High</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gridSpan w:val="2"/>
          </w:tcPr>
          <w:p>
            <w:pPr>
              <w:jc w:val="right"/>
              <w:ind w:right="400"/>
              <w:spacing w:after="0" w:line="129" w:lineRule="exact"/>
              <w:rPr>
                <w:sz w:val="20"/>
                <w:szCs w:val="20"/>
                <w:color w:val="auto"/>
              </w:rPr>
            </w:pPr>
            <w:r>
              <w:rPr>
                <w:rFonts w:ascii="Arial" w:cs="Arial" w:eastAsia="Arial" w:hAnsi="Arial"/>
                <w:sz w:val="13"/>
                <w:szCs w:val="13"/>
                <w:b w:val="1"/>
                <w:bCs w:val="1"/>
                <w:color w:val="auto"/>
              </w:rPr>
              <w:t>Low</w:t>
            </w: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40" w:type="dxa"/>
            <w:vAlign w:val="bottom"/>
          </w:tcPr>
          <w:p>
            <w:pPr>
              <w:jc w:val="right"/>
              <w:ind w:right="197"/>
              <w:spacing w:after="0" w:line="129" w:lineRule="exact"/>
              <w:rPr>
                <w:sz w:val="20"/>
                <w:szCs w:val="20"/>
                <w:color w:val="auto"/>
              </w:rPr>
            </w:pPr>
            <w:r>
              <w:rPr>
                <w:rFonts w:ascii="Arial" w:cs="Arial" w:eastAsia="Arial" w:hAnsi="Arial"/>
                <w:sz w:val="13"/>
                <w:szCs w:val="13"/>
                <w:b w:val="1"/>
                <w:bCs w:val="1"/>
                <w:color w:val="auto"/>
                <w:w w:val="89"/>
              </w:rPr>
              <w:t>High</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5"/>
        </w:trPr>
        <w:tc>
          <w:tcPr>
            <w:tcW w:w="4120" w:type="dxa"/>
            <w:vAlign w:val="bottom"/>
            <w:tcBorders>
              <w:top w:val="single" w:sz="8" w:color="CCEEFF"/>
              <w:left w:val="single" w:sz="8" w:color="CCEEFF"/>
            </w:tcBorders>
            <w:shd w:val="clear" w:color="auto" w:fill="CCEEFF"/>
          </w:tcPr>
          <w:p>
            <w:pPr>
              <w:ind w:left="60"/>
              <w:spacing w:after="0" w:line="115" w:lineRule="exact"/>
              <w:rPr>
                <w:sz w:val="20"/>
                <w:szCs w:val="20"/>
                <w:color w:val="auto"/>
              </w:rPr>
            </w:pPr>
            <w:r>
              <w:rPr>
                <w:rFonts w:ascii="Arial" w:cs="Arial" w:eastAsia="Arial" w:hAnsi="Arial"/>
                <w:sz w:val="13"/>
                <w:szCs w:val="13"/>
                <w:b w:val="1"/>
                <w:bCs w:val="1"/>
                <w:color w:val="auto"/>
              </w:rPr>
              <w:t>Segment Profit</w:t>
            </w:r>
          </w:p>
        </w:tc>
        <w:tc>
          <w:tcPr>
            <w:tcW w:w="24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spacing w:after="0"/>
              <w:rPr>
                <w:sz w:val="10"/>
                <w:szCs w:val="10"/>
                <w:color w:val="auto"/>
              </w:rPr>
            </w:pPr>
          </w:p>
        </w:tc>
        <w:tc>
          <w:tcPr>
            <w:tcW w:w="740" w:type="dxa"/>
            <w:vAlign w:val="bottom"/>
            <w:tcBorders>
              <w:top w:val="single" w:sz="8" w:color="auto"/>
            </w:tcBorders>
            <w:shd w:val="clear" w:color="auto" w:fill="CCEEFF"/>
          </w:tcPr>
          <w:p>
            <w:pPr>
              <w:spacing w:after="0"/>
              <w:rPr>
                <w:sz w:val="10"/>
                <w:szCs w:val="10"/>
                <w:color w:val="auto"/>
              </w:rPr>
            </w:pPr>
          </w:p>
        </w:tc>
        <w:tc>
          <w:tcPr>
            <w:tcW w:w="14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180" w:type="dxa"/>
            <w:vAlign w:val="bottom"/>
            <w:tcBorders>
              <w:top w:val="single" w:sz="8" w:color="auto"/>
            </w:tcBorders>
            <w:shd w:val="clear" w:color="auto" w:fill="CCEEFF"/>
          </w:tcPr>
          <w:p>
            <w:pPr>
              <w:spacing w:after="0"/>
              <w:rPr>
                <w:sz w:val="10"/>
                <w:szCs w:val="10"/>
                <w:color w:val="auto"/>
              </w:rPr>
            </w:pPr>
          </w:p>
        </w:tc>
        <w:tc>
          <w:tcPr>
            <w:tcW w:w="620" w:type="dxa"/>
            <w:vAlign w:val="bottom"/>
            <w:tcBorders>
              <w:top w:val="single" w:sz="8" w:color="auto"/>
            </w:tcBorders>
            <w:shd w:val="clear" w:color="auto" w:fill="CCEEFF"/>
          </w:tcPr>
          <w:p>
            <w:pPr>
              <w:spacing w:after="0"/>
              <w:rPr>
                <w:sz w:val="10"/>
                <w:szCs w:val="10"/>
                <w:color w:val="auto"/>
              </w:rPr>
            </w:pPr>
          </w:p>
        </w:tc>
        <w:tc>
          <w:tcPr>
            <w:tcW w:w="240" w:type="dxa"/>
            <w:vAlign w:val="bottom"/>
            <w:tcBorders>
              <w:top w:val="single" w:sz="8" w:color="CCEEFF"/>
            </w:tcBorders>
            <w:shd w:val="clear" w:color="auto" w:fill="CCEEFF"/>
          </w:tcPr>
          <w:p>
            <w:pPr>
              <w:spacing w:after="0"/>
              <w:rPr>
                <w:sz w:val="10"/>
                <w:szCs w:val="10"/>
                <w:color w:val="auto"/>
              </w:rPr>
            </w:pPr>
          </w:p>
        </w:tc>
        <w:tc>
          <w:tcPr>
            <w:tcW w:w="240" w:type="dxa"/>
            <w:vAlign w:val="bottom"/>
            <w:tcBorders>
              <w:top w:val="single" w:sz="8" w:color="auto"/>
            </w:tcBorders>
            <w:shd w:val="clear" w:color="auto" w:fill="CCEEFF"/>
          </w:tcPr>
          <w:p>
            <w:pPr>
              <w:spacing w:after="0"/>
              <w:rPr>
                <w:sz w:val="10"/>
                <w:szCs w:val="10"/>
                <w:color w:val="auto"/>
              </w:rPr>
            </w:pPr>
          </w:p>
        </w:tc>
        <w:tc>
          <w:tcPr>
            <w:tcW w:w="560" w:type="dxa"/>
            <w:vAlign w:val="bottom"/>
            <w:tcBorders>
              <w:top w:val="single" w:sz="8" w:color="auto"/>
            </w:tcBorders>
            <w:shd w:val="clear" w:color="auto" w:fill="CCEEFF"/>
          </w:tcPr>
          <w:p>
            <w:pPr>
              <w:spacing w:after="0"/>
              <w:rPr>
                <w:sz w:val="10"/>
                <w:szCs w:val="10"/>
                <w:color w:val="auto"/>
              </w:rPr>
            </w:pPr>
          </w:p>
        </w:tc>
        <w:tc>
          <w:tcPr>
            <w:tcW w:w="14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180" w:type="dxa"/>
            <w:vAlign w:val="bottom"/>
            <w:tcBorders>
              <w:top w:val="single" w:sz="8" w:color="auto"/>
            </w:tcBorders>
            <w:shd w:val="clear" w:color="auto" w:fill="CCEEFF"/>
          </w:tcPr>
          <w:p>
            <w:pPr>
              <w:spacing w:after="0"/>
              <w:rPr>
                <w:sz w:val="10"/>
                <w:szCs w:val="10"/>
                <w:color w:val="auto"/>
              </w:rPr>
            </w:pPr>
          </w:p>
        </w:tc>
        <w:tc>
          <w:tcPr>
            <w:tcW w:w="620" w:type="dxa"/>
            <w:vAlign w:val="bottom"/>
            <w:tcBorders>
              <w:top w:val="single" w:sz="8" w:color="auto"/>
            </w:tcBorders>
            <w:shd w:val="clear" w:color="auto" w:fill="CCEEFF"/>
          </w:tcPr>
          <w:p>
            <w:pPr>
              <w:spacing w:after="0"/>
              <w:rPr>
                <w:sz w:val="10"/>
                <w:szCs w:val="10"/>
                <w:color w:val="auto"/>
              </w:rPr>
            </w:pPr>
          </w:p>
        </w:tc>
        <w:tc>
          <w:tcPr>
            <w:tcW w:w="240" w:type="dxa"/>
            <w:vAlign w:val="bottom"/>
            <w:tcBorders>
              <w:top w:val="single" w:sz="8" w:color="CCEEFF"/>
            </w:tcBorders>
            <w:shd w:val="clear" w:color="auto" w:fill="CCEEFF"/>
          </w:tcPr>
          <w:p>
            <w:pPr>
              <w:spacing w:after="0"/>
              <w:rPr>
                <w:sz w:val="10"/>
                <w:szCs w:val="10"/>
                <w:color w:val="auto"/>
              </w:rPr>
            </w:pPr>
          </w:p>
        </w:tc>
        <w:tc>
          <w:tcPr>
            <w:tcW w:w="240" w:type="dxa"/>
            <w:vAlign w:val="bottom"/>
            <w:tcBorders>
              <w:top w:val="single" w:sz="8" w:color="auto"/>
            </w:tcBorders>
            <w:shd w:val="clear" w:color="auto" w:fill="CCEEFF"/>
          </w:tcPr>
          <w:p>
            <w:pPr>
              <w:spacing w:after="0"/>
              <w:rPr>
                <w:sz w:val="10"/>
                <w:szCs w:val="10"/>
                <w:color w:val="auto"/>
              </w:rPr>
            </w:pPr>
          </w:p>
        </w:tc>
        <w:tc>
          <w:tcPr>
            <w:tcW w:w="560" w:type="dxa"/>
            <w:vAlign w:val="bottom"/>
            <w:tcBorders>
              <w:top w:val="single" w:sz="8" w:color="auto"/>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180" w:type="dxa"/>
            <w:vAlign w:val="bottom"/>
            <w:tcBorders>
              <w:top w:val="single" w:sz="8" w:color="auto"/>
            </w:tcBorders>
            <w:shd w:val="clear" w:color="auto" w:fill="CCEEFF"/>
          </w:tcPr>
          <w:p>
            <w:pPr>
              <w:spacing w:after="0"/>
              <w:rPr>
                <w:sz w:val="10"/>
                <w:szCs w:val="10"/>
                <w:color w:val="auto"/>
              </w:rPr>
            </w:pPr>
          </w:p>
        </w:tc>
        <w:tc>
          <w:tcPr>
            <w:tcW w:w="620" w:type="dxa"/>
            <w:vAlign w:val="bottom"/>
            <w:tcBorders>
              <w:top w:val="single" w:sz="8" w:color="auto"/>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260" w:type="dxa"/>
            <w:vAlign w:val="bottom"/>
            <w:tcBorders>
              <w:top w:val="single" w:sz="8" w:color="auto"/>
            </w:tcBorders>
            <w:shd w:val="clear" w:color="auto" w:fill="CCEEFF"/>
          </w:tcPr>
          <w:p>
            <w:pPr>
              <w:spacing w:after="0"/>
              <w:rPr>
                <w:sz w:val="10"/>
                <w:szCs w:val="10"/>
                <w:color w:val="auto"/>
              </w:rPr>
            </w:pPr>
          </w:p>
        </w:tc>
        <w:tc>
          <w:tcPr>
            <w:tcW w:w="540" w:type="dxa"/>
            <w:vAlign w:val="bottom"/>
            <w:tcBorders>
              <w:top w:val="single" w:sz="8" w:color="auto"/>
            </w:tcBorders>
            <w:shd w:val="clear" w:color="auto" w:fill="CCEEFF"/>
          </w:tcPr>
          <w:p>
            <w:pPr>
              <w:spacing w:after="0"/>
              <w:rPr>
                <w:sz w:val="10"/>
                <w:szCs w:val="10"/>
                <w:color w:val="auto"/>
              </w:rPr>
            </w:pPr>
          </w:p>
        </w:tc>
        <w:tc>
          <w:tcPr>
            <w:tcW w:w="120" w:type="dxa"/>
            <w:vAlign w:val="bottom"/>
            <w:tcBorders>
              <w:top w:val="single" w:sz="8" w:color="CCEEFF"/>
              <w:right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4120" w:type="dxa"/>
            <w:vAlign w:val="bottom"/>
          </w:tcPr>
          <w:p>
            <w:pPr>
              <w:ind w:left="240"/>
              <w:spacing w:after="0" w:line="135" w:lineRule="exact"/>
              <w:rPr>
                <w:sz w:val="20"/>
                <w:szCs w:val="20"/>
                <w:color w:val="auto"/>
              </w:rPr>
            </w:pPr>
            <w:r>
              <w:rPr>
                <w:rFonts w:ascii="Arial" w:cs="Arial" w:eastAsia="Arial" w:hAnsi="Arial"/>
                <w:sz w:val="13"/>
                <w:szCs w:val="13"/>
                <w:color w:val="auto"/>
                <w:w w:val="96"/>
              </w:rPr>
              <w:t>Net revenues (including equity earnings from unconsolidated entities)</w:t>
            </w:r>
          </w:p>
        </w:tc>
        <w:tc>
          <w:tcPr>
            <w:tcW w:w="30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w:t>
            </w:r>
          </w:p>
        </w:tc>
        <w:tc>
          <w:tcPr>
            <w:tcW w:w="88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1,972</w:t>
            </w:r>
          </w:p>
        </w:tc>
        <w:tc>
          <w:tcPr>
            <w:tcW w:w="280" w:type="dxa"/>
            <w:vAlign w:val="bottom"/>
            <w:gridSpan w:val="2"/>
          </w:tcPr>
          <w:p>
            <w:pPr>
              <w:jc w:val="right"/>
              <w:ind w:right="73"/>
              <w:spacing w:after="0" w:line="135" w:lineRule="exact"/>
              <w:rPr>
                <w:sz w:val="20"/>
                <w:szCs w:val="20"/>
                <w:color w:val="auto"/>
              </w:rPr>
            </w:pPr>
            <w:r>
              <w:rPr>
                <w:rFonts w:ascii="Arial" w:cs="Arial" w:eastAsia="Arial" w:hAnsi="Arial"/>
                <w:sz w:val="13"/>
                <w:szCs w:val="13"/>
                <w:color w:val="auto"/>
              </w:rPr>
              <w:t>$</w:t>
            </w:r>
          </w:p>
        </w:tc>
        <w:tc>
          <w:tcPr>
            <w:tcW w:w="86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903</w:t>
            </w:r>
          </w:p>
        </w:tc>
        <w:tc>
          <w:tcPr>
            <w:tcW w:w="240" w:type="dxa"/>
            <w:vAlign w:val="bottom"/>
          </w:tcPr>
          <w:p>
            <w:pPr>
              <w:jc w:val="right"/>
              <w:ind w:right="133"/>
              <w:spacing w:after="0"/>
              <w:rPr>
                <w:sz w:val="20"/>
                <w:szCs w:val="20"/>
                <w:color w:val="auto"/>
              </w:rPr>
            </w:pPr>
            <w:r>
              <w:rPr>
                <w:rFonts w:ascii="Arial" w:cs="Arial" w:eastAsia="Arial" w:hAnsi="Arial"/>
                <w:sz w:val="9"/>
                <w:szCs w:val="9"/>
                <w:color w:val="auto"/>
                <w:w w:val="78"/>
              </w:rPr>
              <w:t>$</w:t>
            </w:r>
          </w:p>
        </w:tc>
        <w:tc>
          <w:tcPr>
            <w:tcW w:w="70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938</w:t>
            </w:r>
          </w:p>
        </w:tc>
        <w:tc>
          <w:tcPr>
            <w:tcW w:w="280" w:type="dxa"/>
            <w:vAlign w:val="bottom"/>
            <w:gridSpan w:val="2"/>
          </w:tcPr>
          <w:p>
            <w:pPr>
              <w:jc w:val="right"/>
              <w:ind w:right="73"/>
              <w:spacing w:after="0" w:line="135" w:lineRule="exact"/>
              <w:rPr>
                <w:sz w:val="20"/>
                <w:szCs w:val="20"/>
                <w:color w:val="auto"/>
              </w:rPr>
            </w:pPr>
            <w:r>
              <w:rPr>
                <w:rFonts w:ascii="Arial" w:cs="Arial" w:eastAsia="Arial" w:hAnsi="Arial"/>
                <w:sz w:val="13"/>
                <w:szCs w:val="13"/>
                <w:color w:val="auto"/>
              </w:rPr>
              <w:t>$</w:t>
            </w:r>
          </w:p>
        </w:tc>
        <w:tc>
          <w:tcPr>
            <w:tcW w:w="86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1,013</w:t>
            </w:r>
          </w:p>
        </w:tc>
        <w:tc>
          <w:tcPr>
            <w:tcW w:w="240" w:type="dxa"/>
            <w:vAlign w:val="bottom"/>
          </w:tcPr>
          <w:p>
            <w:pPr>
              <w:jc w:val="right"/>
              <w:ind w:right="133"/>
              <w:spacing w:after="0"/>
              <w:rPr>
                <w:sz w:val="20"/>
                <w:szCs w:val="20"/>
                <w:color w:val="auto"/>
              </w:rPr>
            </w:pPr>
            <w:r>
              <w:rPr>
                <w:rFonts w:ascii="Arial" w:cs="Arial" w:eastAsia="Arial" w:hAnsi="Arial"/>
                <w:sz w:val="9"/>
                <w:szCs w:val="9"/>
                <w:color w:val="auto"/>
                <w:w w:val="78"/>
              </w:rPr>
              <w:t>$</w:t>
            </w:r>
          </w:p>
        </w:tc>
        <w:tc>
          <w:tcPr>
            <w:tcW w:w="68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1,048</w:t>
            </w:r>
          </w:p>
        </w:tc>
        <w:tc>
          <w:tcPr>
            <w:tcW w:w="260" w:type="dxa"/>
            <w:vAlign w:val="bottom"/>
            <w:gridSpan w:val="2"/>
          </w:tcPr>
          <w:p>
            <w:pPr>
              <w:jc w:val="right"/>
              <w:ind w:right="37"/>
              <w:spacing w:after="0" w:line="135" w:lineRule="exact"/>
              <w:rPr>
                <w:sz w:val="20"/>
                <w:szCs w:val="20"/>
                <w:color w:val="auto"/>
              </w:rPr>
            </w:pPr>
            <w:r>
              <w:rPr>
                <w:rFonts w:ascii="Arial" w:cs="Arial" w:eastAsia="Arial" w:hAnsi="Arial"/>
                <w:sz w:val="13"/>
                <w:szCs w:val="13"/>
                <w:color w:val="auto"/>
              </w:rPr>
              <w:t>$</w:t>
            </w:r>
          </w:p>
        </w:tc>
        <w:tc>
          <w:tcPr>
            <w:tcW w:w="74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3,888</w:t>
            </w:r>
          </w:p>
        </w:tc>
        <w:tc>
          <w:tcPr>
            <w:tcW w:w="340" w:type="dxa"/>
            <w:vAlign w:val="bottom"/>
            <w:gridSpan w:val="2"/>
          </w:tcPr>
          <w:p>
            <w:pPr>
              <w:jc w:val="right"/>
              <w:ind w:right="117"/>
              <w:spacing w:after="0" w:line="135" w:lineRule="exact"/>
              <w:rPr>
                <w:sz w:val="20"/>
                <w:szCs w:val="20"/>
                <w:color w:val="auto"/>
              </w:rPr>
            </w:pPr>
            <w:r>
              <w:rPr>
                <w:rFonts w:ascii="Arial" w:cs="Arial" w:eastAsia="Arial" w:hAnsi="Arial"/>
                <w:sz w:val="13"/>
                <w:szCs w:val="13"/>
                <w:color w:val="auto"/>
              </w:rPr>
              <w:t>$</w:t>
            </w:r>
          </w:p>
        </w:tc>
        <w:tc>
          <w:tcPr>
            <w:tcW w:w="66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3,958</w:t>
            </w:r>
          </w:p>
        </w:tc>
        <w:tc>
          <w:tcPr>
            <w:tcW w:w="0" w:type="dxa"/>
            <w:vAlign w:val="bottom"/>
          </w:tcPr>
          <w:p>
            <w:pPr>
              <w:spacing w:after="0"/>
              <w:rPr>
                <w:sz w:val="1"/>
                <w:szCs w:val="1"/>
                <w:color w:val="auto"/>
              </w:rPr>
            </w:pPr>
          </w:p>
        </w:tc>
      </w:tr>
      <w:tr>
        <w:trPr>
          <w:trHeight w:val="135"/>
        </w:trPr>
        <w:tc>
          <w:tcPr>
            <w:tcW w:w="4120" w:type="dxa"/>
            <w:vAlign w:val="bottom"/>
            <w:tcBorders>
              <w:left w:val="single" w:sz="8" w:color="CCEEFF"/>
            </w:tcBorders>
            <w:shd w:val="clear" w:color="auto" w:fill="CCEEFF"/>
          </w:tcPr>
          <w:p>
            <w:pPr>
              <w:ind w:left="240"/>
              <w:spacing w:after="0" w:line="135" w:lineRule="exact"/>
              <w:rPr>
                <w:sz w:val="20"/>
                <w:szCs w:val="20"/>
                <w:color w:val="auto"/>
              </w:rPr>
            </w:pPr>
            <w:r>
              <w:rPr>
                <w:rFonts w:ascii="Arial" w:cs="Arial" w:eastAsia="Arial" w:hAnsi="Arial"/>
                <w:sz w:val="13"/>
                <w:szCs w:val="13"/>
                <w:color w:val="auto"/>
              </w:rPr>
              <w:t>Field operating costs</w:t>
            </w:r>
          </w:p>
        </w:tc>
        <w:tc>
          <w:tcPr>
            <w:tcW w:w="2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8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(696)</w:t>
            </w: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6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rPr>
              <w:t>(377)</w:t>
            </w:r>
          </w:p>
        </w:tc>
        <w:tc>
          <w:tcPr>
            <w:tcW w:w="24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(367)</w:t>
            </w: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6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rPr>
              <w:t>(352)</w:t>
            </w:r>
          </w:p>
        </w:tc>
        <w:tc>
          <w:tcPr>
            <w:tcW w:w="24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(342)</w:t>
            </w: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(1,425)</w:t>
            </w:r>
          </w:p>
        </w:tc>
        <w:tc>
          <w:tcPr>
            <w:tcW w:w="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60" w:type="dxa"/>
            <w:vAlign w:val="bottom"/>
            <w:tcBorders>
              <w:right w:val="single" w:sz="8" w:color="CCEEFF"/>
            </w:tcBorders>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(1,405)</w:t>
            </w:r>
          </w:p>
        </w:tc>
        <w:tc>
          <w:tcPr>
            <w:tcW w:w="0" w:type="dxa"/>
            <w:vAlign w:val="bottom"/>
          </w:tcPr>
          <w:p>
            <w:pPr>
              <w:spacing w:after="0"/>
              <w:rPr>
                <w:sz w:val="1"/>
                <w:szCs w:val="1"/>
                <w:color w:val="auto"/>
              </w:rPr>
            </w:pPr>
          </w:p>
        </w:tc>
      </w:tr>
      <w:tr>
        <w:trPr>
          <w:trHeight w:val="135"/>
        </w:trPr>
        <w:tc>
          <w:tcPr>
            <w:tcW w:w="4120" w:type="dxa"/>
            <w:vAlign w:val="bottom"/>
          </w:tcPr>
          <w:p>
            <w:pPr>
              <w:ind w:left="240"/>
              <w:spacing w:after="0" w:line="135" w:lineRule="exact"/>
              <w:rPr>
                <w:sz w:val="20"/>
                <w:szCs w:val="20"/>
                <w:color w:val="auto"/>
              </w:rPr>
            </w:pPr>
            <w:r>
              <w:rPr>
                <w:rFonts w:ascii="Arial" w:cs="Arial" w:eastAsia="Arial" w:hAnsi="Arial"/>
                <w:sz w:val="13"/>
                <w:szCs w:val="13"/>
                <w:color w:val="auto"/>
              </w:rPr>
              <w:t>General and administrative expenses</w:t>
            </w: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8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(179)</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6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(85)</w:t>
            </w:r>
          </w:p>
        </w:tc>
        <w:tc>
          <w:tcPr>
            <w:tcW w:w="240" w:type="dxa"/>
            <w:vAlign w:val="bottom"/>
          </w:tcPr>
          <w:p>
            <w:pPr>
              <w:spacing w:after="0"/>
              <w:rPr>
                <w:sz w:val="11"/>
                <w:szCs w:val="11"/>
                <w:color w:val="auto"/>
              </w:rPr>
            </w:pPr>
          </w:p>
        </w:tc>
        <w:tc>
          <w:tcPr>
            <w:tcW w:w="70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(80)</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6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(83)</w:t>
            </w:r>
          </w:p>
        </w:tc>
        <w:tc>
          <w:tcPr>
            <w:tcW w:w="240" w:type="dxa"/>
            <w:vAlign w:val="bottom"/>
          </w:tcPr>
          <w:p>
            <w:pPr>
              <w:spacing w:after="0"/>
              <w:rPr>
                <w:sz w:val="11"/>
                <w:szCs w:val="11"/>
                <w:color w:val="auto"/>
              </w:rPr>
            </w:pPr>
          </w:p>
        </w:tc>
        <w:tc>
          <w:tcPr>
            <w:tcW w:w="68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(78)</w:t>
            </w: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(347)</w:t>
            </w: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(337)</w:t>
            </w:r>
          </w:p>
        </w:tc>
        <w:tc>
          <w:tcPr>
            <w:tcW w:w="0" w:type="dxa"/>
            <w:vAlign w:val="bottom"/>
          </w:tcPr>
          <w:p>
            <w:pPr>
              <w:spacing w:after="0"/>
              <w:rPr>
                <w:sz w:val="1"/>
                <w:szCs w:val="1"/>
                <w:color w:val="auto"/>
              </w:rPr>
            </w:pPr>
          </w:p>
        </w:tc>
      </w:tr>
      <w:tr>
        <w:trPr>
          <w:trHeight w:val="129"/>
        </w:trPr>
        <w:tc>
          <w:tcPr>
            <w:tcW w:w="4120" w:type="dxa"/>
            <w:vAlign w:val="bottom"/>
            <w:tcBorders>
              <w:top w:val="single" w:sz="8" w:color="CCEEFF"/>
              <w:left w:val="single" w:sz="8" w:color="CCEEFF"/>
            </w:tcBorders>
            <w:shd w:val="clear" w:color="auto" w:fill="CCEEFF"/>
          </w:tcPr>
          <w:p>
            <w:pPr>
              <w:spacing w:after="0"/>
              <w:rPr>
                <w:sz w:val="11"/>
                <w:szCs w:val="11"/>
                <w:color w:val="auto"/>
              </w:rPr>
            </w:pPr>
          </w:p>
        </w:tc>
        <w:tc>
          <w:tcPr>
            <w:tcW w:w="24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74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1,097</w:t>
            </w:r>
          </w:p>
        </w:tc>
        <w:tc>
          <w:tcPr>
            <w:tcW w:w="14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spacing w:after="0"/>
              <w:rPr>
                <w:sz w:val="11"/>
                <w:szCs w:val="11"/>
                <w:color w:val="auto"/>
              </w:rPr>
            </w:pPr>
          </w:p>
        </w:tc>
        <w:tc>
          <w:tcPr>
            <w:tcW w:w="62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441</w:t>
            </w:r>
          </w:p>
        </w:tc>
        <w:tc>
          <w:tcPr>
            <w:tcW w:w="240" w:type="dxa"/>
            <w:vAlign w:val="bottom"/>
            <w:tcBorders>
              <w:top w:val="single" w:sz="8" w:color="CCEEFF"/>
            </w:tcBorders>
            <w:shd w:val="clear" w:color="auto" w:fill="CCEEFF"/>
          </w:tcPr>
          <w:p>
            <w:pPr>
              <w:spacing w:after="0"/>
              <w:rPr>
                <w:sz w:val="11"/>
                <w:szCs w:val="11"/>
                <w:color w:val="auto"/>
              </w:rPr>
            </w:pPr>
          </w:p>
        </w:tc>
        <w:tc>
          <w:tcPr>
            <w:tcW w:w="240" w:type="dxa"/>
            <w:vAlign w:val="bottom"/>
            <w:tcBorders>
              <w:top w:val="single" w:sz="8" w:color="auto"/>
            </w:tcBorders>
            <w:shd w:val="clear" w:color="auto" w:fill="CCEEFF"/>
          </w:tcPr>
          <w:p>
            <w:pPr>
              <w:spacing w:after="0"/>
              <w:rPr>
                <w:sz w:val="11"/>
                <w:szCs w:val="11"/>
                <w:color w:val="auto"/>
              </w:rPr>
            </w:pPr>
          </w:p>
        </w:tc>
        <w:tc>
          <w:tcPr>
            <w:tcW w:w="56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491</w:t>
            </w:r>
          </w:p>
        </w:tc>
        <w:tc>
          <w:tcPr>
            <w:tcW w:w="14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spacing w:after="0"/>
              <w:rPr>
                <w:sz w:val="11"/>
                <w:szCs w:val="11"/>
                <w:color w:val="auto"/>
              </w:rPr>
            </w:pPr>
          </w:p>
        </w:tc>
        <w:tc>
          <w:tcPr>
            <w:tcW w:w="62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578</w:t>
            </w:r>
          </w:p>
        </w:tc>
        <w:tc>
          <w:tcPr>
            <w:tcW w:w="240" w:type="dxa"/>
            <w:vAlign w:val="bottom"/>
            <w:tcBorders>
              <w:top w:val="single" w:sz="8" w:color="CCEEFF"/>
            </w:tcBorders>
            <w:shd w:val="clear" w:color="auto" w:fill="CCEEFF"/>
          </w:tcPr>
          <w:p>
            <w:pPr>
              <w:spacing w:after="0"/>
              <w:rPr>
                <w:sz w:val="11"/>
                <w:szCs w:val="11"/>
                <w:color w:val="auto"/>
              </w:rPr>
            </w:pPr>
          </w:p>
        </w:tc>
        <w:tc>
          <w:tcPr>
            <w:tcW w:w="240" w:type="dxa"/>
            <w:vAlign w:val="bottom"/>
            <w:tcBorders>
              <w:top w:val="single" w:sz="8" w:color="auto"/>
            </w:tcBorders>
            <w:shd w:val="clear" w:color="auto" w:fill="CCEEFF"/>
          </w:tcPr>
          <w:p>
            <w:pPr>
              <w:spacing w:after="0"/>
              <w:rPr>
                <w:sz w:val="11"/>
                <w:szCs w:val="11"/>
                <w:color w:val="auto"/>
              </w:rPr>
            </w:pPr>
          </w:p>
        </w:tc>
        <w:tc>
          <w:tcPr>
            <w:tcW w:w="56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628</w:t>
            </w:r>
          </w:p>
        </w:tc>
        <w:tc>
          <w:tcPr>
            <w:tcW w:w="12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spacing w:after="0"/>
              <w:rPr>
                <w:sz w:val="11"/>
                <w:szCs w:val="11"/>
                <w:color w:val="auto"/>
              </w:rPr>
            </w:pPr>
          </w:p>
        </w:tc>
        <w:tc>
          <w:tcPr>
            <w:tcW w:w="62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2,116</w:t>
            </w:r>
          </w:p>
        </w:tc>
        <w:tc>
          <w:tcPr>
            <w:tcW w:w="12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260" w:type="dxa"/>
            <w:vAlign w:val="bottom"/>
            <w:tcBorders>
              <w:top w:val="single" w:sz="8" w:color="auto"/>
            </w:tcBorders>
            <w:shd w:val="clear" w:color="auto" w:fill="CCEEFF"/>
          </w:tcPr>
          <w:p>
            <w:pPr>
              <w:spacing w:after="0"/>
              <w:rPr>
                <w:sz w:val="11"/>
                <w:szCs w:val="11"/>
                <w:color w:val="auto"/>
              </w:rPr>
            </w:pPr>
          </w:p>
        </w:tc>
        <w:tc>
          <w:tcPr>
            <w:tcW w:w="54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2,216</w:t>
            </w:r>
          </w:p>
        </w:tc>
        <w:tc>
          <w:tcPr>
            <w:tcW w:w="120" w:type="dxa"/>
            <w:vAlign w:val="bottom"/>
            <w:tcBorders>
              <w:top w:val="single" w:sz="8" w:color="CCEEFF"/>
              <w:right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120" w:type="dxa"/>
            <w:vAlign w:val="bottom"/>
          </w:tcPr>
          <w:p>
            <w:pPr>
              <w:ind w:left="60"/>
              <w:spacing w:after="0" w:line="135" w:lineRule="exact"/>
              <w:rPr>
                <w:sz w:val="20"/>
                <w:szCs w:val="20"/>
                <w:color w:val="auto"/>
              </w:rPr>
            </w:pPr>
            <w:r>
              <w:rPr>
                <w:rFonts w:ascii="Arial" w:cs="Arial" w:eastAsia="Arial" w:hAnsi="Arial"/>
                <w:sz w:val="13"/>
                <w:szCs w:val="13"/>
                <w:color w:val="auto"/>
              </w:rPr>
              <w:t>Depreciation and amortization expense</w:t>
            </w: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8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(196)</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6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(94)</w:t>
            </w:r>
          </w:p>
        </w:tc>
        <w:tc>
          <w:tcPr>
            <w:tcW w:w="240" w:type="dxa"/>
            <w:vAlign w:val="bottom"/>
          </w:tcPr>
          <w:p>
            <w:pPr>
              <w:spacing w:after="0"/>
              <w:rPr>
                <w:sz w:val="11"/>
                <w:szCs w:val="11"/>
                <w:color w:val="auto"/>
              </w:rPr>
            </w:pPr>
          </w:p>
        </w:tc>
        <w:tc>
          <w:tcPr>
            <w:tcW w:w="70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(90)</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6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(95)</w:t>
            </w:r>
          </w:p>
        </w:tc>
        <w:tc>
          <w:tcPr>
            <w:tcW w:w="240" w:type="dxa"/>
            <w:vAlign w:val="bottom"/>
          </w:tcPr>
          <w:p>
            <w:pPr>
              <w:spacing w:after="0"/>
              <w:rPr>
                <w:sz w:val="11"/>
                <w:szCs w:val="11"/>
                <w:color w:val="auto"/>
              </w:rPr>
            </w:pPr>
          </w:p>
        </w:tc>
        <w:tc>
          <w:tcPr>
            <w:tcW w:w="68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(91)</w:t>
            </w: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(385)</w:t>
            </w: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(377)</w:t>
            </w:r>
          </w:p>
        </w:tc>
        <w:tc>
          <w:tcPr>
            <w:tcW w:w="0" w:type="dxa"/>
            <w:vAlign w:val="bottom"/>
          </w:tcPr>
          <w:p>
            <w:pPr>
              <w:spacing w:after="0"/>
              <w:rPr>
                <w:sz w:val="1"/>
                <w:szCs w:val="1"/>
                <w:color w:val="auto"/>
              </w:rPr>
            </w:pPr>
          </w:p>
        </w:tc>
      </w:tr>
      <w:tr>
        <w:trPr>
          <w:trHeight w:val="135"/>
        </w:trPr>
        <w:tc>
          <w:tcPr>
            <w:tcW w:w="4120" w:type="dxa"/>
            <w:vAlign w:val="bottom"/>
            <w:tcBorders>
              <w:left w:val="single" w:sz="8" w:color="CCEEFF"/>
            </w:tcBorders>
            <w:shd w:val="clear" w:color="auto" w:fill="CCEEFF"/>
          </w:tcPr>
          <w:p>
            <w:pPr>
              <w:ind w:left="60"/>
              <w:spacing w:after="0" w:line="135" w:lineRule="exact"/>
              <w:rPr>
                <w:sz w:val="20"/>
                <w:szCs w:val="20"/>
                <w:color w:val="auto"/>
              </w:rPr>
            </w:pPr>
            <w:r>
              <w:rPr>
                <w:rFonts w:ascii="Arial" w:cs="Arial" w:eastAsia="Arial" w:hAnsi="Arial"/>
                <w:sz w:val="13"/>
                <w:szCs w:val="13"/>
                <w:color w:val="auto"/>
              </w:rPr>
              <w:t>Interest expense, net</w:t>
            </w:r>
          </w:p>
        </w:tc>
        <w:tc>
          <w:tcPr>
            <w:tcW w:w="2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8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(161)</w:t>
            </w: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6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rPr>
              <w:t>(88)</w:t>
            </w:r>
          </w:p>
        </w:tc>
        <w:tc>
          <w:tcPr>
            <w:tcW w:w="24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(84)</w:t>
            </w: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6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rPr>
              <w:t>(90)</w:t>
            </w:r>
          </w:p>
        </w:tc>
        <w:tc>
          <w:tcPr>
            <w:tcW w:w="24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(86)</w:t>
            </w: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(339)</w:t>
            </w:r>
          </w:p>
        </w:tc>
        <w:tc>
          <w:tcPr>
            <w:tcW w:w="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60" w:type="dxa"/>
            <w:vAlign w:val="bottom"/>
            <w:tcBorders>
              <w:right w:val="single" w:sz="8" w:color="CCEEFF"/>
            </w:tcBorders>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(331)</w:t>
            </w:r>
          </w:p>
        </w:tc>
        <w:tc>
          <w:tcPr>
            <w:tcW w:w="0" w:type="dxa"/>
            <w:vAlign w:val="bottom"/>
          </w:tcPr>
          <w:p>
            <w:pPr>
              <w:spacing w:after="0"/>
              <w:rPr>
                <w:sz w:val="1"/>
                <w:szCs w:val="1"/>
                <w:color w:val="auto"/>
              </w:rPr>
            </w:pPr>
          </w:p>
        </w:tc>
      </w:tr>
      <w:tr>
        <w:trPr>
          <w:trHeight w:val="135"/>
        </w:trPr>
        <w:tc>
          <w:tcPr>
            <w:tcW w:w="4120" w:type="dxa"/>
            <w:vAlign w:val="bottom"/>
          </w:tcPr>
          <w:p>
            <w:pPr>
              <w:ind w:left="60"/>
              <w:spacing w:after="0" w:line="135" w:lineRule="exact"/>
              <w:rPr>
                <w:sz w:val="20"/>
                <w:szCs w:val="20"/>
                <w:color w:val="auto"/>
              </w:rPr>
            </w:pPr>
            <w:r>
              <w:rPr>
                <w:rFonts w:ascii="Arial" w:cs="Arial" w:eastAsia="Arial" w:hAnsi="Arial"/>
                <w:sz w:val="13"/>
                <w:szCs w:val="13"/>
                <w:color w:val="auto"/>
              </w:rPr>
              <w:t>Income tax expense</w:t>
            </w: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8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(70)</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6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(8)</w:t>
            </w:r>
          </w:p>
        </w:tc>
        <w:tc>
          <w:tcPr>
            <w:tcW w:w="240" w:type="dxa"/>
            <w:vAlign w:val="bottom"/>
          </w:tcPr>
          <w:p>
            <w:pPr>
              <w:spacing w:after="0"/>
              <w:rPr>
                <w:sz w:val="11"/>
                <w:szCs w:val="11"/>
                <w:color w:val="auto"/>
              </w:rPr>
            </w:pPr>
          </w:p>
        </w:tc>
        <w:tc>
          <w:tcPr>
            <w:tcW w:w="70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(4)</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6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(38)</w:t>
            </w:r>
          </w:p>
        </w:tc>
        <w:tc>
          <w:tcPr>
            <w:tcW w:w="240" w:type="dxa"/>
            <w:vAlign w:val="bottom"/>
          </w:tcPr>
          <w:p>
            <w:pPr>
              <w:spacing w:after="0"/>
              <w:rPr>
                <w:sz w:val="11"/>
                <w:szCs w:val="11"/>
                <w:color w:val="auto"/>
              </w:rPr>
            </w:pPr>
          </w:p>
        </w:tc>
        <w:tc>
          <w:tcPr>
            <w:tcW w:w="68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(34)</w:t>
            </w: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(116)</w:t>
            </w: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(108)</w:t>
            </w:r>
          </w:p>
        </w:tc>
        <w:tc>
          <w:tcPr>
            <w:tcW w:w="0" w:type="dxa"/>
            <w:vAlign w:val="bottom"/>
          </w:tcPr>
          <w:p>
            <w:pPr>
              <w:spacing w:after="0"/>
              <w:rPr>
                <w:sz w:val="1"/>
                <w:szCs w:val="1"/>
                <w:color w:val="auto"/>
              </w:rPr>
            </w:pPr>
          </w:p>
        </w:tc>
      </w:tr>
      <w:tr>
        <w:trPr>
          <w:trHeight w:val="135"/>
        </w:trPr>
        <w:tc>
          <w:tcPr>
            <w:tcW w:w="4120" w:type="dxa"/>
            <w:vAlign w:val="bottom"/>
            <w:tcBorders>
              <w:left w:val="single" w:sz="8" w:color="CCEEFF"/>
            </w:tcBorders>
            <w:shd w:val="clear" w:color="auto" w:fill="CCEEFF"/>
          </w:tcPr>
          <w:p>
            <w:pPr>
              <w:ind w:left="60"/>
              <w:spacing w:after="0" w:line="135" w:lineRule="exact"/>
              <w:rPr>
                <w:sz w:val="20"/>
                <w:szCs w:val="20"/>
                <w:color w:val="auto"/>
              </w:rPr>
            </w:pPr>
            <w:r>
              <w:rPr>
                <w:rFonts w:ascii="Arial" w:cs="Arial" w:eastAsia="Arial" w:hAnsi="Arial"/>
                <w:sz w:val="13"/>
                <w:szCs w:val="13"/>
                <w:color w:val="auto"/>
              </w:rPr>
              <w:t>Other income / (expense), net</w:t>
            </w:r>
          </w:p>
        </w:tc>
        <w:tc>
          <w:tcPr>
            <w:tcW w:w="2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8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2</w:t>
            </w: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6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6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2</w:t>
            </w:r>
          </w:p>
        </w:tc>
        <w:tc>
          <w:tcPr>
            <w:tcW w:w="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60" w:type="dxa"/>
            <w:vAlign w:val="bottom"/>
            <w:tcBorders>
              <w:right w:val="single" w:sz="8" w:color="CCEEFF"/>
            </w:tcBorders>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2</w:t>
            </w:r>
          </w:p>
        </w:tc>
        <w:tc>
          <w:tcPr>
            <w:tcW w:w="0" w:type="dxa"/>
            <w:vAlign w:val="bottom"/>
          </w:tcPr>
          <w:p>
            <w:pPr>
              <w:spacing w:after="0"/>
              <w:rPr>
                <w:sz w:val="1"/>
                <w:szCs w:val="1"/>
                <w:color w:val="auto"/>
              </w:rPr>
            </w:pPr>
          </w:p>
        </w:tc>
      </w:tr>
      <w:tr>
        <w:trPr>
          <w:trHeight w:val="129"/>
        </w:trPr>
        <w:tc>
          <w:tcPr>
            <w:tcW w:w="4120" w:type="dxa"/>
            <w:vAlign w:val="bottom"/>
          </w:tcPr>
          <w:p>
            <w:pPr>
              <w:ind w:left="60"/>
              <w:spacing w:after="0" w:line="129" w:lineRule="exact"/>
              <w:rPr>
                <w:sz w:val="20"/>
                <w:szCs w:val="20"/>
                <w:color w:val="auto"/>
              </w:rPr>
            </w:pPr>
            <w:r>
              <w:rPr>
                <w:rFonts w:ascii="Arial" w:cs="Arial" w:eastAsia="Arial" w:hAnsi="Arial"/>
                <w:sz w:val="13"/>
                <w:szCs w:val="13"/>
                <w:b w:val="1"/>
                <w:bCs w:val="1"/>
                <w:color w:val="auto"/>
              </w:rPr>
              <w:t>Net Income</w:t>
            </w:r>
          </w:p>
        </w:tc>
        <w:tc>
          <w:tcPr>
            <w:tcW w:w="240" w:type="dxa"/>
            <w:vAlign w:val="bottom"/>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3"/>
                <w:szCs w:val="13"/>
                <w:b w:val="1"/>
                <w:bCs w:val="1"/>
                <w:color w:val="auto"/>
              </w:rPr>
              <w:t>672</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3"/>
                <w:szCs w:val="13"/>
                <w:b w:val="1"/>
                <w:bCs w:val="1"/>
                <w:color w:val="auto"/>
              </w:rPr>
              <w:t>251</w:t>
            </w:r>
          </w:p>
        </w:tc>
        <w:tc>
          <w:tcPr>
            <w:tcW w:w="240" w:type="dxa"/>
            <w:vAlign w:val="bottom"/>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3"/>
                <w:szCs w:val="13"/>
                <w:b w:val="1"/>
                <w:bCs w:val="1"/>
                <w:color w:val="auto"/>
              </w:rPr>
              <w:t>313</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3"/>
                <w:szCs w:val="13"/>
                <w:b w:val="1"/>
                <w:bCs w:val="1"/>
                <w:color w:val="auto"/>
              </w:rPr>
              <w:t>355</w:t>
            </w:r>
          </w:p>
        </w:tc>
        <w:tc>
          <w:tcPr>
            <w:tcW w:w="240" w:type="dxa"/>
            <w:vAlign w:val="bottom"/>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3"/>
                <w:szCs w:val="13"/>
                <w:b w:val="1"/>
                <w:bCs w:val="1"/>
                <w:color w:val="auto"/>
              </w:rPr>
              <w:t>417</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3"/>
                <w:szCs w:val="13"/>
                <w:b w:val="1"/>
                <w:bCs w:val="1"/>
                <w:color w:val="auto"/>
              </w:rPr>
              <w:t>1,278</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3"/>
                <w:szCs w:val="13"/>
                <w:b w:val="1"/>
                <w:bCs w:val="1"/>
                <w:color w:val="auto"/>
              </w:rPr>
              <w:t>1,402</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120" w:type="dxa"/>
            <w:vAlign w:val="bottom"/>
            <w:tcBorders>
              <w:left w:val="single" w:sz="8" w:color="CCEEFF"/>
            </w:tcBorders>
            <w:shd w:val="clear" w:color="auto" w:fill="CCEEFF"/>
          </w:tcPr>
          <w:p>
            <w:pPr>
              <w:ind w:left="240"/>
              <w:spacing w:after="0" w:line="135" w:lineRule="exact"/>
              <w:rPr>
                <w:sz w:val="20"/>
                <w:szCs w:val="20"/>
                <w:color w:val="auto"/>
              </w:rPr>
            </w:pPr>
            <w:r>
              <w:rPr>
                <w:rFonts w:ascii="Arial" w:cs="Arial" w:eastAsia="Arial" w:hAnsi="Arial"/>
                <w:sz w:val="13"/>
                <w:szCs w:val="13"/>
                <w:color w:val="auto"/>
              </w:rPr>
              <w:t>Net income attributable to noncontrolling interests</w:t>
            </w:r>
          </w:p>
        </w:tc>
        <w:tc>
          <w:tcPr>
            <w:tcW w:w="2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8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(1)</w:t>
            </w: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6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rPr>
              <w:t>(1)</w:t>
            </w:r>
          </w:p>
        </w:tc>
        <w:tc>
          <w:tcPr>
            <w:tcW w:w="24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(1)</w:t>
            </w: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6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rPr>
              <w:t>(1)</w:t>
            </w:r>
          </w:p>
        </w:tc>
        <w:tc>
          <w:tcPr>
            <w:tcW w:w="24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(1)</w:t>
            </w: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(3)</w:t>
            </w:r>
          </w:p>
        </w:tc>
        <w:tc>
          <w:tcPr>
            <w:tcW w:w="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60" w:type="dxa"/>
            <w:vAlign w:val="bottom"/>
            <w:tcBorders>
              <w:right w:val="single" w:sz="8" w:color="CCEEFF"/>
            </w:tcBorders>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(3)</w:t>
            </w:r>
          </w:p>
        </w:tc>
        <w:tc>
          <w:tcPr>
            <w:tcW w:w="0" w:type="dxa"/>
            <w:vAlign w:val="bottom"/>
          </w:tcPr>
          <w:p>
            <w:pPr>
              <w:spacing w:after="0"/>
              <w:rPr>
                <w:sz w:val="1"/>
                <w:szCs w:val="1"/>
                <w:color w:val="auto"/>
              </w:rPr>
            </w:pPr>
          </w:p>
        </w:tc>
      </w:tr>
      <w:tr>
        <w:trPr>
          <w:trHeight w:val="169"/>
        </w:trPr>
        <w:tc>
          <w:tcPr>
            <w:tcW w:w="4120" w:type="dxa"/>
            <w:vAlign w:val="bottom"/>
            <w:tcBorders>
              <w:bottom w:val="single" w:sz="8" w:color="CCEEFF"/>
            </w:tcBorders>
          </w:tcPr>
          <w:p>
            <w:pPr>
              <w:ind w:left="60"/>
              <w:spacing w:after="0" w:line="129" w:lineRule="exact"/>
              <w:rPr>
                <w:sz w:val="20"/>
                <w:szCs w:val="20"/>
                <w:color w:val="auto"/>
              </w:rPr>
            </w:pPr>
            <w:r>
              <w:rPr>
                <w:rFonts w:ascii="Arial" w:cs="Arial" w:eastAsia="Arial" w:hAnsi="Arial"/>
                <w:sz w:val="13"/>
                <w:szCs w:val="13"/>
                <w:b w:val="1"/>
                <w:bCs w:val="1"/>
                <w:color w:val="auto"/>
              </w:rPr>
              <w:t>Net Income Attributable to PAA</w:t>
            </w:r>
          </w:p>
        </w:tc>
        <w:tc>
          <w:tcPr>
            <w:tcW w:w="240" w:type="dxa"/>
            <w:vAlign w:val="bottom"/>
            <w:tcBorders>
              <w:bottom w:val="single" w:sz="8" w:color="CCEEFF"/>
            </w:tcBorders>
          </w:tcPr>
          <w:p>
            <w:pPr>
              <w:spacing w:after="0"/>
              <w:rPr>
                <w:sz w:val="14"/>
                <w:szCs w:val="14"/>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9"/>
                <w:szCs w:val="9"/>
                <w:b w:val="1"/>
                <w:bCs w:val="1"/>
                <w:color w:val="auto"/>
                <w:w w:val="78"/>
              </w:rPr>
              <w:t>$</w:t>
            </w:r>
          </w:p>
        </w:tc>
        <w:tc>
          <w:tcPr>
            <w:tcW w:w="74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b w:val="1"/>
                <w:bCs w:val="1"/>
                <w:color w:val="auto"/>
              </w:rPr>
              <w:t>671</w:t>
            </w:r>
          </w:p>
        </w:tc>
        <w:tc>
          <w:tcPr>
            <w:tcW w:w="14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80" w:type="dxa"/>
            <w:vAlign w:val="bottom"/>
            <w:tcBorders>
              <w:top w:val="single" w:sz="8" w:color="auto"/>
              <w:bottom w:val="single" w:sz="8" w:color="auto"/>
            </w:tcBorders>
          </w:tcPr>
          <w:p>
            <w:pPr>
              <w:jc w:val="right"/>
              <w:ind w:right="73"/>
              <w:spacing w:after="0"/>
              <w:rPr>
                <w:sz w:val="20"/>
                <w:szCs w:val="20"/>
                <w:color w:val="auto"/>
              </w:rPr>
            </w:pPr>
            <w:r>
              <w:rPr>
                <w:rFonts w:ascii="Arial" w:cs="Arial" w:eastAsia="Arial" w:hAnsi="Arial"/>
                <w:sz w:val="9"/>
                <w:szCs w:val="9"/>
                <w:b w:val="1"/>
                <w:bCs w:val="1"/>
                <w:color w:val="auto"/>
                <w:w w:val="78"/>
              </w:rPr>
              <w:t>$</w:t>
            </w:r>
          </w:p>
        </w:tc>
        <w:tc>
          <w:tcPr>
            <w:tcW w:w="62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b w:val="1"/>
                <w:bCs w:val="1"/>
                <w:color w:val="auto"/>
              </w:rPr>
              <w:t>250</w:t>
            </w:r>
          </w:p>
        </w:tc>
        <w:tc>
          <w:tcPr>
            <w:tcW w:w="240" w:type="dxa"/>
            <w:vAlign w:val="bottom"/>
            <w:tcBorders>
              <w:bottom w:val="single" w:sz="8" w:color="CCEEFF"/>
            </w:tcBorders>
          </w:tcPr>
          <w:p>
            <w:pPr>
              <w:spacing w:after="0"/>
              <w:rPr>
                <w:sz w:val="14"/>
                <w:szCs w:val="14"/>
                <w:color w:val="auto"/>
              </w:rPr>
            </w:pPr>
          </w:p>
        </w:tc>
        <w:tc>
          <w:tcPr>
            <w:tcW w:w="240" w:type="dxa"/>
            <w:vAlign w:val="bottom"/>
            <w:tcBorders>
              <w:top w:val="single" w:sz="8" w:color="auto"/>
              <w:bottom w:val="single" w:sz="8" w:color="auto"/>
            </w:tcBorders>
          </w:tcPr>
          <w:p>
            <w:pPr>
              <w:jc w:val="right"/>
              <w:ind w:right="133"/>
              <w:spacing w:after="0"/>
              <w:rPr>
                <w:sz w:val="20"/>
                <w:szCs w:val="20"/>
                <w:color w:val="auto"/>
              </w:rPr>
            </w:pPr>
            <w:r>
              <w:rPr>
                <w:rFonts w:ascii="Arial" w:cs="Arial" w:eastAsia="Arial" w:hAnsi="Arial"/>
                <w:sz w:val="9"/>
                <w:szCs w:val="9"/>
                <w:b w:val="1"/>
                <w:bCs w:val="1"/>
                <w:color w:val="auto"/>
                <w:w w:val="78"/>
              </w:rPr>
              <w:t>$</w:t>
            </w:r>
          </w:p>
        </w:tc>
        <w:tc>
          <w:tcPr>
            <w:tcW w:w="56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b w:val="1"/>
                <w:bCs w:val="1"/>
                <w:color w:val="auto"/>
              </w:rPr>
              <w:t>312</w:t>
            </w:r>
          </w:p>
        </w:tc>
        <w:tc>
          <w:tcPr>
            <w:tcW w:w="14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80" w:type="dxa"/>
            <w:vAlign w:val="bottom"/>
            <w:tcBorders>
              <w:top w:val="single" w:sz="8" w:color="auto"/>
              <w:bottom w:val="single" w:sz="8" w:color="auto"/>
            </w:tcBorders>
          </w:tcPr>
          <w:p>
            <w:pPr>
              <w:jc w:val="right"/>
              <w:ind w:right="73"/>
              <w:spacing w:after="0"/>
              <w:rPr>
                <w:sz w:val="20"/>
                <w:szCs w:val="20"/>
                <w:color w:val="auto"/>
              </w:rPr>
            </w:pPr>
            <w:r>
              <w:rPr>
                <w:rFonts w:ascii="Arial" w:cs="Arial" w:eastAsia="Arial" w:hAnsi="Arial"/>
                <w:sz w:val="9"/>
                <w:szCs w:val="9"/>
                <w:b w:val="1"/>
                <w:bCs w:val="1"/>
                <w:color w:val="auto"/>
                <w:w w:val="78"/>
              </w:rPr>
              <w:t>$</w:t>
            </w:r>
          </w:p>
        </w:tc>
        <w:tc>
          <w:tcPr>
            <w:tcW w:w="62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b w:val="1"/>
                <w:bCs w:val="1"/>
                <w:color w:val="auto"/>
              </w:rPr>
              <w:t>354</w:t>
            </w:r>
          </w:p>
        </w:tc>
        <w:tc>
          <w:tcPr>
            <w:tcW w:w="240" w:type="dxa"/>
            <w:vAlign w:val="bottom"/>
            <w:tcBorders>
              <w:bottom w:val="single" w:sz="8" w:color="CCEEFF"/>
            </w:tcBorders>
          </w:tcPr>
          <w:p>
            <w:pPr>
              <w:spacing w:after="0"/>
              <w:rPr>
                <w:sz w:val="14"/>
                <w:szCs w:val="14"/>
                <w:color w:val="auto"/>
              </w:rPr>
            </w:pPr>
          </w:p>
        </w:tc>
        <w:tc>
          <w:tcPr>
            <w:tcW w:w="240" w:type="dxa"/>
            <w:vAlign w:val="bottom"/>
            <w:tcBorders>
              <w:top w:val="single" w:sz="8" w:color="auto"/>
              <w:bottom w:val="single" w:sz="8" w:color="auto"/>
            </w:tcBorders>
          </w:tcPr>
          <w:p>
            <w:pPr>
              <w:jc w:val="right"/>
              <w:ind w:right="133"/>
              <w:spacing w:after="0"/>
              <w:rPr>
                <w:sz w:val="20"/>
                <w:szCs w:val="20"/>
                <w:color w:val="auto"/>
              </w:rPr>
            </w:pPr>
            <w:r>
              <w:rPr>
                <w:rFonts w:ascii="Arial" w:cs="Arial" w:eastAsia="Arial" w:hAnsi="Arial"/>
                <w:sz w:val="9"/>
                <w:szCs w:val="9"/>
                <w:b w:val="1"/>
                <w:bCs w:val="1"/>
                <w:color w:val="auto"/>
                <w:w w:val="78"/>
              </w:rPr>
              <w:t>$</w:t>
            </w:r>
          </w:p>
        </w:tc>
        <w:tc>
          <w:tcPr>
            <w:tcW w:w="56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b w:val="1"/>
                <w:bCs w:val="1"/>
                <w:color w:val="auto"/>
              </w:rPr>
              <w:t>416</w:t>
            </w:r>
          </w:p>
        </w:tc>
        <w:tc>
          <w:tcPr>
            <w:tcW w:w="12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180" w:type="dxa"/>
            <w:vAlign w:val="bottom"/>
            <w:tcBorders>
              <w:top w:val="single" w:sz="8" w:color="auto"/>
              <w:bottom w:val="single" w:sz="8" w:color="auto"/>
            </w:tcBorders>
          </w:tcPr>
          <w:p>
            <w:pPr>
              <w:jc w:val="right"/>
              <w:ind w:right="37"/>
              <w:spacing w:after="0" w:line="129" w:lineRule="exact"/>
              <w:rPr>
                <w:sz w:val="20"/>
                <w:szCs w:val="20"/>
                <w:color w:val="auto"/>
              </w:rPr>
            </w:pPr>
            <w:r>
              <w:rPr>
                <w:rFonts w:ascii="Arial" w:cs="Arial" w:eastAsia="Arial" w:hAnsi="Arial"/>
                <w:sz w:val="13"/>
                <w:szCs w:val="13"/>
                <w:b w:val="1"/>
                <w:bCs w:val="1"/>
                <w:color w:val="auto"/>
                <w:w w:val="82"/>
              </w:rPr>
              <w:t>$</w:t>
            </w:r>
          </w:p>
        </w:tc>
        <w:tc>
          <w:tcPr>
            <w:tcW w:w="62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b w:val="1"/>
                <w:bCs w:val="1"/>
                <w:color w:val="auto"/>
              </w:rPr>
              <w:t>1,275</w:t>
            </w:r>
          </w:p>
        </w:tc>
        <w:tc>
          <w:tcPr>
            <w:tcW w:w="12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260" w:type="dxa"/>
            <w:vAlign w:val="bottom"/>
            <w:tcBorders>
              <w:top w:val="single" w:sz="8" w:color="auto"/>
              <w:bottom w:val="single" w:sz="8" w:color="auto"/>
            </w:tcBorders>
          </w:tcPr>
          <w:p>
            <w:pPr>
              <w:jc w:val="right"/>
              <w:ind w:right="117"/>
              <w:spacing w:after="0" w:line="129" w:lineRule="exact"/>
              <w:rPr>
                <w:sz w:val="20"/>
                <w:szCs w:val="20"/>
                <w:color w:val="auto"/>
              </w:rPr>
            </w:pPr>
            <w:r>
              <w:rPr>
                <w:rFonts w:ascii="Arial" w:cs="Arial" w:eastAsia="Arial" w:hAnsi="Arial"/>
                <w:sz w:val="13"/>
                <w:szCs w:val="13"/>
                <w:b w:val="1"/>
                <w:bCs w:val="1"/>
                <w:color w:val="auto"/>
                <w:w w:val="82"/>
              </w:rPr>
              <w:t>$</w:t>
            </w:r>
          </w:p>
        </w:tc>
        <w:tc>
          <w:tcPr>
            <w:tcW w:w="54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b w:val="1"/>
                <w:bCs w:val="1"/>
                <w:color w:val="auto"/>
              </w:rPr>
              <w:t>1,399</w:t>
            </w:r>
          </w:p>
        </w:tc>
        <w:tc>
          <w:tcPr>
            <w:tcW w:w="12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16"/>
        </w:trPr>
        <w:tc>
          <w:tcPr>
            <w:tcW w:w="4120" w:type="dxa"/>
            <w:vAlign w:val="bottom"/>
            <w:tcBorders>
              <w:left w:val="single" w:sz="8" w:color="CCEEFF"/>
            </w:tcBorders>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20" w:type="dxa"/>
            <w:vAlign w:val="bottom"/>
            <w:tcBorders>
              <w:right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4120" w:type="dxa"/>
            <w:vAlign w:val="bottom"/>
          </w:tcPr>
          <w:p>
            <w:pPr>
              <w:ind w:left="60"/>
              <w:spacing w:after="0" w:line="135" w:lineRule="exact"/>
              <w:rPr>
                <w:sz w:val="20"/>
                <w:szCs w:val="20"/>
                <w:color w:val="auto"/>
              </w:rPr>
            </w:pPr>
            <w:r>
              <w:rPr>
                <w:rFonts w:ascii="Arial" w:cs="Arial" w:eastAsia="Arial" w:hAnsi="Arial"/>
                <w:sz w:val="12"/>
                <w:szCs w:val="12"/>
                <w:color w:val="auto"/>
              </w:rPr>
              <w:t xml:space="preserve">Net Income to Limited Partners </w:t>
            </w:r>
            <w:r>
              <w:rPr>
                <w:rFonts w:ascii="Arial" w:cs="Arial" w:eastAsia="Arial" w:hAnsi="Arial"/>
                <w:sz w:val="15"/>
                <w:szCs w:val="15"/>
                <w:color w:val="auto"/>
                <w:vertAlign w:val="superscript"/>
              </w:rPr>
              <w:t>(b)</w:t>
            </w:r>
          </w:p>
        </w:tc>
        <w:tc>
          <w:tcPr>
            <w:tcW w:w="30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w:t>
            </w:r>
          </w:p>
        </w:tc>
        <w:tc>
          <w:tcPr>
            <w:tcW w:w="88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435</w:t>
            </w:r>
          </w:p>
        </w:tc>
        <w:tc>
          <w:tcPr>
            <w:tcW w:w="280" w:type="dxa"/>
            <w:vAlign w:val="bottom"/>
            <w:gridSpan w:val="2"/>
          </w:tcPr>
          <w:p>
            <w:pPr>
              <w:jc w:val="right"/>
              <w:ind w:right="73"/>
              <w:spacing w:after="0" w:line="135" w:lineRule="exact"/>
              <w:rPr>
                <w:sz w:val="20"/>
                <w:szCs w:val="20"/>
                <w:color w:val="auto"/>
              </w:rPr>
            </w:pPr>
            <w:r>
              <w:rPr>
                <w:rFonts w:ascii="Arial" w:cs="Arial" w:eastAsia="Arial" w:hAnsi="Arial"/>
                <w:sz w:val="13"/>
                <w:szCs w:val="13"/>
                <w:color w:val="auto"/>
              </w:rPr>
              <w:t>$</w:t>
            </w:r>
          </w:p>
        </w:tc>
        <w:tc>
          <w:tcPr>
            <w:tcW w:w="86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123</w:t>
            </w:r>
          </w:p>
        </w:tc>
        <w:tc>
          <w:tcPr>
            <w:tcW w:w="240" w:type="dxa"/>
            <w:vAlign w:val="bottom"/>
          </w:tcPr>
          <w:p>
            <w:pPr>
              <w:jc w:val="right"/>
              <w:ind w:right="133"/>
              <w:spacing w:after="0"/>
              <w:rPr>
                <w:sz w:val="20"/>
                <w:szCs w:val="20"/>
                <w:color w:val="auto"/>
              </w:rPr>
            </w:pPr>
            <w:r>
              <w:rPr>
                <w:rFonts w:ascii="Arial" w:cs="Arial" w:eastAsia="Arial" w:hAnsi="Arial"/>
                <w:sz w:val="9"/>
                <w:szCs w:val="9"/>
                <w:color w:val="auto"/>
                <w:w w:val="78"/>
              </w:rPr>
              <w:t>$</w:t>
            </w:r>
          </w:p>
        </w:tc>
        <w:tc>
          <w:tcPr>
            <w:tcW w:w="70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184</w:t>
            </w:r>
          </w:p>
        </w:tc>
        <w:tc>
          <w:tcPr>
            <w:tcW w:w="280" w:type="dxa"/>
            <w:vAlign w:val="bottom"/>
            <w:gridSpan w:val="2"/>
          </w:tcPr>
          <w:p>
            <w:pPr>
              <w:jc w:val="right"/>
              <w:ind w:right="73"/>
              <w:spacing w:after="0" w:line="135" w:lineRule="exact"/>
              <w:rPr>
                <w:sz w:val="20"/>
                <w:szCs w:val="20"/>
                <w:color w:val="auto"/>
              </w:rPr>
            </w:pPr>
            <w:r>
              <w:rPr>
                <w:rFonts w:ascii="Arial" w:cs="Arial" w:eastAsia="Arial" w:hAnsi="Arial"/>
                <w:sz w:val="13"/>
                <w:szCs w:val="13"/>
                <w:color w:val="auto"/>
              </w:rPr>
              <w:t>$</w:t>
            </w:r>
          </w:p>
        </w:tc>
        <w:tc>
          <w:tcPr>
            <w:tcW w:w="86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216</w:t>
            </w:r>
          </w:p>
        </w:tc>
        <w:tc>
          <w:tcPr>
            <w:tcW w:w="240" w:type="dxa"/>
            <w:vAlign w:val="bottom"/>
          </w:tcPr>
          <w:p>
            <w:pPr>
              <w:jc w:val="right"/>
              <w:ind w:right="133"/>
              <w:spacing w:after="0"/>
              <w:rPr>
                <w:sz w:val="20"/>
                <w:szCs w:val="20"/>
                <w:color w:val="auto"/>
              </w:rPr>
            </w:pPr>
            <w:r>
              <w:rPr>
                <w:rFonts w:ascii="Arial" w:cs="Arial" w:eastAsia="Arial" w:hAnsi="Arial"/>
                <w:sz w:val="9"/>
                <w:szCs w:val="9"/>
                <w:color w:val="auto"/>
                <w:w w:val="78"/>
              </w:rPr>
              <w:t>$</w:t>
            </w:r>
          </w:p>
        </w:tc>
        <w:tc>
          <w:tcPr>
            <w:tcW w:w="68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279</w:t>
            </w:r>
          </w:p>
        </w:tc>
        <w:tc>
          <w:tcPr>
            <w:tcW w:w="260" w:type="dxa"/>
            <w:vAlign w:val="bottom"/>
            <w:gridSpan w:val="2"/>
          </w:tcPr>
          <w:p>
            <w:pPr>
              <w:jc w:val="right"/>
              <w:ind w:right="37"/>
              <w:spacing w:after="0" w:line="135" w:lineRule="exact"/>
              <w:rPr>
                <w:sz w:val="20"/>
                <w:szCs w:val="20"/>
                <w:color w:val="auto"/>
              </w:rPr>
            </w:pPr>
            <w:r>
              <w:rPr>
                <w:rFonts w:ascii="Arial" w:cs="Arial" w:eastAsia="Arial" w:hAnsi="Arial"/>
                <w:sz w:val="13"/>
                <w:szCs w:val="13"/>
                <w:color w:val="auto"/>
              </w:rPr>
              <w:t>$</w:t>
            </w:r>
          </w:p>
        </w:tc>
        <w:tc>
          <w:tcPr>
            <w:tcW w:w="74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777</w:t>
            </w:r>
          </w:p>
        </w:tc>
        <w:tc>
          <w:tcPr>
            <w:tcW w:w="340" w:type="dxa"/>
            <w:vAlign w:val="bottom"/>
            <w:gridSpan w:val="2"/>
          </w:tcPr>
          <w:p>
            <w:pPr>
              <w:jc w:val="right"/>
              <w:ind w:right="117"/>
              <w:spacing w:after="0" w:line="135" w:lineRule="exact"/>
              <w:rPr>
                <w:sz w:val="20"/>
                <w:szCs w:val="20"/>
                <w:color w:val="auto"/>
              </w:rPr>
            </w:pPr>
            <w:r>
              <w:rPr>
                <w:rFonts w:ascii="Arial" w:cs="Arial" w:eastAsia="Arial" w:hAnsi="Arial"/>
                <w:sz w:val="13"/>
                <w:szCs w:val="13"/>
                <w:color w:val="auto"/>
              </w:rPr>
              <w:t>$</w:t>
            </w:r>
          </w:p>
        </w:tc>
        <w:tc>
          <w:tcPr>
            <w:tcW w:w="66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898</w:t>
            </w:r>
          </w:p>
        </w:tc>
        <w:tc>
          <w:tcPr>
            <w:tcW w:w="0" w:type="dxa"/>
            <w:vAlign w:val="bottom"/>
          </w:tcPr>
          <w:p>
            <w:pPr>
              <w:spacing w:after="0"/>
              <w:rPr>
                <w:sz w:val="1"/>
                <w:szCs w:val="1"/>
                <w:color w:val="auto"/>
              </w:rPr>
            </w:pPr>
          </w:p>
        </w:tc>
      </w:tr>
      <w:tr>
        <w:trPr>
          <w:trHeight w:val="135"/>
        </w:trPr>
        <w:tc>
          <w:tcPr>
            <w:tcW w:w="4120" w:type="dxa"/>
            <w:vAlign w:val="bottom"/>
            <w:tcBorders>
              <w:left w:val="single" w:sz="8" w:color="CCEEFF"/>
            </w:tcBorders>
            <w:shd w:val="clear" w:color="auto" w:fill="CCEEFF"/>
          </w:tcPr>
          <w:p>
            <w:pPr>
              <w:ind w:left="60"/>
              <w:spacing w:after="0" w:line="135" w:lineRule="exact"/>
              <w:rPr>
                <w:sz w:val="20"/>
                <w:szCs w:val="20"/>
                <w:color w:val="auto"/>
              </w:rPr>
            </w:pPr>
            <w:r>
              <w:rPr>
                <w:rFonts w:ascii="Arial" w:cs="Arial" w:eastAsia="Arial" w:hAnsi="Arial"/>
                <w:sz w:val="12"/>
                <w:szCs w:val="12"/>
                <w:color w:val="auto"/>
              </w:rPr>
              <w:t xml:space="preserve">Basic Net Income Per Limited Partner Unit </w:t>
            </w:r>
            <w:r>
              <w:rPr>
                <w:rFonts w:ascii="Arial" w:cs="Arial" w:eastAsia="Arial" w:hAnsi="Arial"/>
                <w:sz w:val="15"/>
                <w:szCs w:val="15"/>
                <w:color w:val="auto"/>
                <w:vertAlign w:val="superscript"/>
              </w:rPr>
              <w:t>(b)</w:t>
            </w:r>
          </w:p>
        </w:tc>
        <w:tc>
          <w:tcPr>
            <w:tcW w:w="2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20" w:type="dxa"/>
            <w:vAlign w:val="bottom"/>
            <w:tcBorders>
              <w:right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120" w:type="dxa"/>
            <w:vAlign w:val="bottom"/>
          </w:tcPr>
          <w:p>
            <w:pPr>
              <w:ind w:left="240"/>
              <w:spacing w:after="0" w:line="135" w:lineRule="exact"/>
              <w:rPr>
                <w:sz w:val="20"/>
                <w:szCs w:val="20"/>
                <w:color w:val="auto"/>
              </w:rPr>
            </w:pPr>
            <w:r>
              <w:rPr>
                <w:rFonts w:ascii="Arial" w:cs="Arial" w:eastAsia="Arial" w:hAnsi="Arial"/>
                <w:sz w:val="13"/>
                <w:szCs w:val="13"/>
                <w:color w:val="auto"/>
              </w:rPr>
              <w:t>Weighted Average Units Outstanding</w:t>
            </w: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8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363</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6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369</w:t>
            </w:r>
          </w:p>
        </w:tc>
        <w:tc>
          <w:tcPr>
            <w:tcW w:w="240" w:type="dxa"/>
            <w:vAlign w:val="bottom"/>
          </w:tcPr>
          <w:p>
            <w:pPr>
              <w:spacing w:after="0"/>
              <w:rPr>
                <w:sz w:val="11"/>
                <w:szCs w:val="11"/>
                <w:color w:val="auto"/>
              </w:rPr>
            </w:pPr>
          </w:p>
        </w:tc>
        <w:tc>
          <w:tcPr>
            <w:tcW w:w="70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369</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6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372</w:t>
            </w:r>
          </w:p>
        </w:tc>
        <w:tc>
          <w:tcPr>
            <w:tcW w:w="240" w:type="dxa"/>
            <w:vAlign w:val="bottom"/>
          </w:tcPr>
          <w:p>
            <w:pPr>
              <w:spacing w:after="0"/>
              <w:rPr>
                <w:sz w:val="11"/>
                <w:szCs w:val="11"/>
                <w:color w:val="auto"/>
              </w:rPr>
            </w:pPr>
          </w:p>
        </w:tc>
        <w:tc>
          <w:tcPr>
            <w:tcW w:w="68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372</w:t>
            </w: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367</w:t>
            </w: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367</w:t>
            </w:r>
          </w:p>
        </w:tc>
        <w:tc>
          <w:tcPr>
            <w:tcW w:w="0" w:type="dxa"/>
            <w:vAlign w:val="bottom"/>
          </w:tcPr>
          <w:p>
            <w:pPr>
              <w:spacing w:after="0"/>
              <w:rPr>
                <w:sz w:val="1"/>
                <w:szCs w:val="1"/>
                <w:color w:val="auto"/>
              </w:rPr>
            </w:pPr>
          </w:p>
        </w:tc>
      </w:tr>
      <w:tr>
        <w:trPr>
          <w:trHeight w:val="135"/>
        </w:trPr>
        <w:tc>
          <w:tcPr>
            <w:tcW w:w="4120" w:type="dxa"/>
            <w:vAlign w:val="bottom"/>
            <w:tcBorders>
              <w:left w:val="single" w:sz="8" w:color="CCEEFF"/>
            </w:tcBorders>
            <w:shd w:val="clear" w:color="auto" w:fill="CCEEFF"/>
          </w:tcPr>
          <w:p>
            <w:pPr>
              <w:ind w:left="240"/>
              <w:spacing w:after="0" w:line="135" w:lineRule="exact"/>
              <w:rPr>
                <w:sz w:val="20"/>
                <w:szCs w:val="20"/>
                <w:color w:val="auto"/>
              </w:rPr>
            </w:pPr>
            <w:r>
              <w:rPr>
                <w:rFonts w:ascii="Arial" w:cs="Arial" w:eastAsia="Arial" w:hAnsi="Arial"/>
                <w:sz w:val="13"/>
                <w:szCs w:val="13"/>
                <w:color w:val="auto"/>
              </w:rPr>
              <w:t>Net Income Per Unit</w:t>
            </w:r>
          </w:p>
        </w:tc>
        <w:tc>
          <w:tcPr>
            <w:tcW w:w="30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88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1.19</w:t>
            </w:r>
          </w:p>
        </w:tc>
        <w:tc>
          <w:tcPr>
            <w:tcW w:w="280" w:type="dxa"/>
            <w:vAlign w:val="bottom"/>
            <w:gridSpan w:val="2"/>
            <w:shd w:val="clear" w:color="auto" w:fill="CCEEFF"/>
          </w:tcPr>
          <w:p>
            <w:pPr>
              <w:jc w:val="right"/>
              <w:ind w:right="73"/>
              <w:spacing w:after="0" w:line="135" w:lineRule="exact"/>
              <w:rPr>
                <w:sz w:val="20"/>
                <w:szCs w:val="20"/>
                <w:color w:val="auto"/>
              </w:rPr>
            </w:pPr>
            <w:r>
              <w:rPr>
                <w:rFonts w:ascii="Arial" w:cs="Arial" w:eastAsia="Arial" w:hAnsi="Arial"/>
                <w:sz w:val="13"/>
                <w:szCs w:val="13"/>
                <w:color w:val="auto"/>
              </w:rPr>
              <w:t>$</w:t>
            </w:r>
          </w:p>
        </w:tc>
        <w:tc>
          <w:tcPr>
            <w:tcW w:w="86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rPr>
              <w:t>0.33</w:t>
            </w:r>
          </w:p>
        </w:tc>
        <w:tc>
          <w:tcPr>
            <w:tcW w:w="240" w:type="dxa"/>
            <w:vAlign w:val="bottom"/>
            <w:shd w:val="clear" w:color="auto" w:fill="CCEEFF"/>
          </w:tcPr>
          <w:p>
            <w:pPr>
              <w:jc w:val="right"/>
              <w:ind w:right="133"/>
              <w:spacing w:after="0"/>
              <w:rPr>
                <w:sz w:val="20"/>
                <w:szCs w:val="20"/>
                <w:color w:val="auto"/>
              </w:rPr>
            </w:pPr>
            <w:r>
              <w:rPr>
                <w:rFonts w:ascii="Arial" w:cs="Arial" w:eastAsia="Arial" w:hAnsi="Arial"/>
                <w:sz w:val="9"/>
                <w:szCs w:val="9"/>
                <w:color w:val="auto"/>
                <w:w w:val="78"/>
              </w:rPr>
              <w:t>$</w:t>
            </w:r>
          </w:p>
        </w:tc>
        <w:tc>
          <w:tcPr>
            <w:tcW w:w="70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0.49</w:t>
            </w:r>
          </w:p>
        </w:tc>
        <w:tc>
          <w:tcPr>
            <w:tcW w:w="280" w:type="dxa"/>
            <w:vAlign w:val="bottom"/>
            <w:gridSpan w:val="2"/>
            <w:shd w:val="clear" w:color="auto" w:fill="CCEEFF"/>
          </w:tcPr>
          <w:p>
            <w:pPr>
              <w:jc w:val="right"/>
              <w:ind w:right="73"/>
              <w:spacing w:after="0" w:line="135" w:lineRule="exact"/>
              <w:rPr>
                <w:sz w:val="20"/>
                <w:szCs w:val="20"/>
                <w:color w:val="auto"/>
              </w:rPr>
            </w:pPr>
            <w:r>
              <w:rPr>
                <w:rFonts w:ascii="Arial" w:cs="Arial" w:eastAsia="Arial" w:hAnsi="Arial"/>
                <w:sz w:val="13"/>
                <w:szCs w:val="13"/>
                <w:color w:val="auto"/>
              </w:rPr>
              <w:t>$</w:t>
            </w:r>
          </w:p>
        </w:tc>
        <w:tc>
          <w:tcPr>
            <w:tcW w:w="86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rPr>
              <w:t>0.58</w:t>
            </w:r>
          </w:p>
        </w:tc>
        <w:tc>
          <w:tcPr>
            <w:tcW w:w="240" w:type="dxa"/>
            <w:vAlign w:val="bottom"/>
            <w:shd w:val="clear" w:color="auto" w:fill="CCEEFF"/>
          </w:tcPr>
          <w:p>
            <w:pPr>
              <w:jc w:val="right"/>
              <w:ind w:right="133"/>
              <w:spacing w:after="0"/>
              <w:rPr>
                <w:sz w:val="20"/>
                <w:szCs w:val="20"/>
                <w:color w:val="auto"/>
              </w:rPr>
            </w:pPr>
            <w:r>
              <w:rPr>
                <w:rFonts w:ascii="Arial" w:cs="Arial" w:eastAsia="Arial" w:hAnsi="Arial"/>
                <w:sz w:val="9"/>
                <w:szCs w:val="9"/>
                <w:color w:val="auto"/>
                <w:w w:val="78"/>
              </w:rPr>
              <w:t>$</w:t>
            </w:r>
          </w:p>
        </w:tc>
        <w:tc>
          <w:tcPr>
            <w:tcW w:w="68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0.75</w:t>
            </w:r>
          </w:p>
        </w:tc>
        <w:tc>
          <w:tcPr>
            <w:tcW w:w="260" w:type="dxa"/>
            <w:vAlign w:val="bottom"/>
            <w:gridSpan w:val="2"/>
            <w:shd w:val="clear" w:color="auto" w:fill="CCEEFF"/>
          </w:tcPr>
          <w:p>
            <w:pPr>
              <w:jc w:val="right"/>
              <w:ind w:right="37"/>
              <w:spacing w:after="0" w:line="135" w:lineRule="exact"/>
              <w:rPr>
                <w:sz w:val="20"/>
                <w:szCs w:val="20"/>
                <w:color w:val="auto"/>
              </w:rPr>
            </w:pPr>
            <w:r>
              <w:rPr>
                <w:rFonts w:ascii="Arial" w:cs="Arial" w:eastAsia="Arial" w:hAnsi="Arial"/>
                <w:sz w:val="13"/>
                <w:szCs w:val="13"/>
                <w:color w:val="auto"/>
              </w:rPr>
              <w:t>$</w:t>
            </w:r>
          </w:p>
        </w:tc>
        <w:tc>
          <w:tcPr>
            <w:tcW w:w="74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2.10</w:t>
            </w:r>
          </w:p>
        </w:tc>
        <w:tc>
          <w:tcPr>
            <w:tcW w:w="340" w:type="dxa"/>
            <w:vAlign w:val="bottom"/>
            <w:gridSpan w:val="2"/>
            <w:shd w:val="clear" w:color="auto" w:fill="CCEEFF"/>
          </w:tcPr>
          <w:p>
            <w:pPr>
              <w:jc w:val="right"/>
              <w:ind w:right="117"/>
              <w:spacing w:after="0" w:line="135" w:lineRule="exact"/>
              <w:rPr>
                <w:sz w:val="20"/>
                <w:szCs w:val="20"/>
                <w:color w:val="auto"/>
              </w:rPr>
            </w:pPr>
            <w:r>
              <w:rPr>
                <w:rFonts w:ascii="Arial" w:cs="Arial" w:eastAsia="Arial" w:hAnsi="Arial"/>
                <w:sz w:val="13"/>
                <w:szCs w:val="13"/>
                <w:color w:val="auto"/>
              </w:rPr>
              <w:t>$</w:t>
            </w:r>
          </w:p>
        </w:tc>
        <w:tc>
          <w:tcPr>
            <w:tcW w:w="660" w:type="dxa"/>
            <w:vAlign w:val="bottom"/>
            <w:tcBorders>
              <w:right w:val="single" w:sz="8" w:color="CCEEFF"/>
            </w:tcBorders>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2.43</w:t>
            </w:r>
          </w:p>
        </w:tc>
        <w:tc>
          <w:tcPr>
            <w:tcW w:w="0" w:type="dxa"/>
            <w:vAlign w:val="bottom"/>
          </w:tcPr>
          <w:p>
            <w:pPr>
              <w:spacing w:after="0"/>
              <w:rPr>
                <w:sz w:val="1"/>
                <w:szCs w:val="1"/>
                <w:color w:val="auto"/>
              </w:rPr>
            </w:pPr>
          </w:p>
        </w:tc>
      </w:tr>
      <w:tr>
        <w:trPr>
          <w:trHeight w:val="135"/>
        </w:trPr>
        <w:tc>
          <w:tcPr>
            <w:tcW w:w="4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120" w:type="dxa"/>
            <w:vAlign w:val="bottom"/>
            <w:tcBorders>
              <w:left w:val="single" w:sz="8" w:color="CCEEFF"/>
            </w:tcBorders>
            <w:shd w:val="clear" w:color="auto" w:fill="CCEEFF"/>
          </w:tcPr>
          <w:p>
            <w:pPr>
              <w:ind w:left="60"/>
              <w:spacing w:after="0" w:line="135" w:lineRule="exact"/>
              <w:rPr>
                <w:sz w:val="20"/>
                <w:szCs w:val="20"/>
                <w:color w:val="auto"/>
              </w:rPr>
            </w:pPr>
            <w:r>
              <w:rPr>
                <w:rFonts w:ascii="Arial" w:cs="Arial" w:eastAsia="Arial" w:hAnsi="Arial"/>
                <w:sz w:val="12"/>
                <w:szCs w:val="12"/>
                <w:color w:val="auto"/>
              </w:rPr>
              <w:t xml:space="preserve">Diluted Net Income Per Limited Partner Unit </w:t>
            </w:r>
            <w:r>
              <w:rPr>
                <w:rFonts w:ascii="Arial" w:cs="Arial" w:eastAsia="Arial" w:hAnsi="Arial"/>
                <w:sz w:val="15"/>
                <w:szCs w:val="15"/>
                <w:color w:val="auto"/>
                <w:vertAlign w:val="superscript"/>
              </w:rPr>
              <w:t>(b)</w:t>
            </w:r>
          </w:p>
        </w:tc>
        <w:tc>
          <w:tcPr>
            <w:tcW w:w="2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20" w:type="dxa"/>
            <w:vAlign w:val="bottom"/>
            <w:tcBorders>
              <w:right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120" w:type="dxa"/>
            <w:vAlign w:val="bottom"/>
          </w:tcPr>
          <w:p>
            <w:pPr>
              <w:ind w:left="240"/>
              <w:spacing w:after="0" w:line="135" w:lineRule="exact"/>
              <w:rPr>
                <w:sz w:val="20"/>
                <w:szCs w:val="20"/>
                <w:color w:val="auto"/>
              </w:rPr>
            </w:pPr>
            <w:r>
              <w:rPr>
                <w:rFonts w:ascii="Arial" w:cs="Arial" w:eastAsia="Arial" w:hAnsi="Arial"/>
                <w:sz w:val="13"/>
                <w:szCs w:val="13"/>
                <w:color w:val="auto"/>
              </w:rPr>
              <w:t>Weighted Average Units Outstanding</w:t>
            </w: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8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365</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6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372</w:t>
            </w:r>
          </w:p>
        </w:tc>
        <w:tc>
          <w:tcPr>
            <w:tcW w:w="240" w:type="dxa"/>
            <w:vAlign w:val="bottom"/>
          </w:tcPr>
          <w:p>
            <w:pPr>
              <w:spacing w:after="0"/>
              <w:rPr>
                <w:sz w:val="11"/>
                <w:szCs w:val="11"/>
                <w:color w:val="auto"/>
              </w:rPr>
            </w:pPr>
          </w:p>
        </w:tc>
        <w:tc>
          <w:tcPr>
            <w:tcW w:w="70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372</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6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374</w:t>
            </w:r>
          </w:p>
        </w:tc>
        <w:tc>
          <w:tcPr>
            <w:tcW w:w="240" w:type="dxa"/>
            <w:vAlign w:val="bottom"/>
          </w:tcPr>
          <w:p>
            <w:pPr>
              <w:spacing w:after="0"/>
              <w:rPr>
                <w:sz w:val="11"/>
                <w:szCs w:val="11"/>
                <w:color w:val="auto"/>
              </w:rPr>
            </w:pPr>
          </w:p>
        </w:tc>
        <w:tc>
          <w:tcPr>
            <w:tcW w:w="68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374</w:t>
            </w: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369</w:t>
            </w: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369</w:t>
            </w:r>
          </w:p>
        </w:tc>
        <w:tc>
          <w:tcPr>
            <w:tcW w:w="0" w:type="dxa"/>
            <w:vAlign w:val="bottom"/>
          </w:tcPr>
          <w:p>
            <w:pPr>
              <w:spacing w:after="0"/>
              <w:rPr>
                <w:sz w:val="1"/>
                <w:szCs w:val="1"/>
                <w:color w:val="auto"/>
              </w:rPr>
            </w:pPr>
          </w:p>
        </w:tc>
      </w:tr>
      <w:tr>
        <w:trPr>
          <w:trHeight w:val="135"/>
        </w:trPr>
        <w:tc>
          <w:tcPr>
            <w:tcW w:w="4120" w:type="dxa"/>
            <w:vAlign w:val="bottom"/>
            <w:tcBorders>
              <w:left w:val="single" w:sz="8" w:color="CCEEFF"/>
            </w:tcBorders>
            <w:shd w:val="clear" w:color="auto" w:fill="CCEEFF"/>
          </w:tcPr>
          <w:p>
            <w:pPr>
              <w:ind w:left="240"/>
              <w:spacing w:after="0" w:line="135" w:lineRule="exact"/>
              <w:rPr>
                <w:sz w:val="20"/>
                <w:szCs w:val="20"/>
                <w:color w:val="auto"/>
              </w:rPr>
            </w:pPr>
            <w:r>
              <w:rPr>
                <w:rFonts w:ascii="Arial" w:cs="Arial" w:eastAsia="Arial" w:hAnsi="Arial"/>
                <w:sz w:val="13"/>
                <w:szCs w:val="13"/>
                <w:color w:val="auto"/>
              </w:rPr>
              <w:t>Net Income Per Unit</w:t>
            </w:r>
          </w:p>
        </w:tc>
        <w:tc>
          <w:tcPr>
            <w:tcW w:w="30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88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1.18</w:t>
            </w:r>
          </w:p>
        </w:tc>
        <w:tc>
          <w:tcPr>
            <w:tcW w:w="280" w:type="dxa"/>
            <w:vAlign w:val="bottom"/>
            <w:gridSpan w:val="2"/>
            <w:shd w:val="clear" w:color="auto" w:fill="CCEEFF"/>
          </w:tcPr>
          <w:p>
            <w:pPr>
              <w:jc w:val="right"/>
              <w:ind w:right="73"/>
              <w:spacing w:after="0" w:line="135" w:lineRule="exact"/>
              <w:rPr>
                <w:sz w:val="20"/>
                <w:szCs w:val="20"/>
                <w:color w:val="auto"/>
              </w:rPr>
            </w:pPr>
            <w:r>
              <w:rPr>
                <w:rFonts w:ascii="Arial" w:cs="Arial" w:eastAsia="Arial" w:hAnsi="Arial"/>
                <w:sz w:val="13"/>
                <w:szCs w:val="13"/>
                <w:color w:val="auto"/>
              </w:rPr>
              <w:t>$</w:t>
            </w:r>
          </w:p>
        </w:tc>
        <w:tc>
          <w:tcPr>
            <w:tcW w:w="86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rPr>
              <w:t>0.33</w:t>
            </w:r>
          </w:p>
        </w:tc>
        <w:tc>
          <w:tcPr>
            <w:tcW w:w="240" w:type="dxa"/>
            <w:vAlign w:val="bottom"/>
            <w:shd w:val="clear" w:color="auto" w:fill="CCEEFF"/>
          </w:tcPr>
          <w:p>
            <w:pPr>
              <w:jc w:val="right"/>
              <w:ind w:right="133"/>
              <w:spacing w:after="0"/>
              <w:rPr>
                <w:sz w:val="20"/>
                <w:szCs w:val="20"/>
                <w:color w:val="auto"/>
              </w:rPr>
            </w:pPr>
            <w:r>
              <w:rPr>
                <w:rFonts w:ascii="Arial" w:cs="Arial" w:eastAsia="Arial" w:hAnsi="Arial"/>
                <w:sz w:val="9"/>
                <w:szCs w:val="9"/>
                <w:color w:val="auto"/>
                <w:w w:val="78"/>
              </w:rPr>
              <w:t>$</w:t>
            </w:r>
          </w:p>
        </w:tc>
        <w:tc>
          <w:tcPr>
            <w:tcW w:w="70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0.49</w:t>
            </w:r>
          </w:p>
        </w:tc>
        <w:tc>
          <w:tcPr>
            <w:tcW w:w="280" w:type="dxa"/>
            <w:vAlign w:val="bottom"/>
            <w:gridSpan w:val="2"/>
            <w:shd w:val="clear" w:color="auto" w:fill="CCEEFF"/>
          </w:tcPr>
          <w:p>
            <w:pPr>
              <w:jc w:val="right"/>
              <w:ind w:right="73"/>
              <w:spacing w:after="0" w:line="135" w:lineRule="exact"/>
              <w:rPr>
                <w:sz w:val="20"/>
                <w:szCs w:val="20"/>
                <w:color w:val="auto"/>
              </w:rPr>
            </w:pPr>
            <w:r>
              <w:rPr>
                <w:rFonts w:ascii="Arial" w:cs="Arial" w:eastAsia="Arial" w:hAnsi="Arial"/>
                <w:sz w:val="13"/>
                <w:szCs w:val="13"/>
                <w:color w:val="auto"/>
              </w:rPr>
              <w:t>$</w:t>
            </w:r>
          </w:p>
        </w:tc>
        <w:tc>
          <w:tcPr>
            <w:tcW w:w="86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rPr>
              <w:t>0.58</w:t>
            </w:r>
          </w:p>
        </w:tc>
        <w:tc>
          <w:tcPr>
            <w:tcW w:w="240" w:type="dxa"/>
            <w:vAlign w:val="bottom"/>
            <w:shd w:val="clear" w:color="auto" w:fill="CCEEFF"/>
          </w:tcPr>
          <w:p>
            <w:pPr>
              <w:jc w:val="right"/>
              <w:ind w:right="133"/>
              <w:spacing w:after="0"/>
              <w:rPr>
                <w:sz w:val="20"/>
                <w:szCs w:val="20"/>
                <w:color w:val="auto"/>
              </w:rPr>
            </w:pPr>
            <w:r>
              <w:rPr>
                <w:rFonts w:ascii="Arial" w:cs="Arial" w:eastAsia="Arial" w:hAnsi="Arial"/>
                <w:sz w:val="9"/>
                <w:szCs w:val="9"/>
                <w:color w:val="auto"/>
                <w:w w:val="78"/>
              </w:rPr>
              <w:t>$</w:t>
            </w:r>
          </w:p>
        </w:tc>
        <w:tc>
          <w:tcPr>
            <w:tcW w:w="68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0.74</w:t>
            </w:r>
          </w:p>
        </w:tc>
        <w:tc>
          <w:tcPr>
            <w:tcW w:w="260" w:type="dxa"/>
            <w:vAlign w:val="bottom"/>
            <w:gridSpan w:val="2"/>
            <w:shd w:val="clear" w:color="auto" w:fill="CCEEFF"/>
          </w:tcPr>
          <w:p>
            <w:pPr>
              <w:jc w:val="right"/>
              <w:ind w:right="37"/>
              <w:spacing w:after="0" w:line="135" w:lineRule="exact"/>
              <w:rPr>
                <w:sz w:val="20"/>
                <w:szCs w:val="20"/>
                <w:color w:val="auto"/>
              </w:rPr>
            </w:pPr>
            <w:r>
              <w:rPr>
                <w:rFonts w:ascii="Arial" w:cs="Arial" w:eastAsia="Arial" w:hAnsi="Arial"/>
                <w:sz w:val="13"/>
                <w:szCs w:val="13"/>
                <w:color w:val="auto"/>
              </w:rPr>
              <w:t>$</w:t>
            </w:r>
          </w:p>
        </w:tc>
        <w:tc>
          <w:tcPr>
            <w:tcW w:w="74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2.09</w:t>
            </w:r>
          </w:p>
        </w:tc>
        <w:tc>
          <w:tcPr>
            <w:tcW w:w="340" w:type="dxa"/>
            <w:vAlign w:val="bottom"/>
            <w:gridSpan w:val="2"/>
            <w:shd w:val="clear" w:color="auto" w:fill="CCEEFF"/>
          </w:tcPr>
          <w:p>
            <w:pPr>
              <w:jc w:val="right"/>
              <w:ind w:right="117"/>
              <w:spacing w:after="0" w:line="135" w:lineRule="exact"/>
              <w:rPr>
                <w:sz w:val="20"/>
                <w:szCs w:val="20"/>
                <w:color w:val="auto"/>
              </w:rPr>
            </w:pPr>
            <w:r>
              <w:rPr>
                <w:rFonts w:ascii="Arial" w:cs="Arial" w:eastAsia="Arial" w:hAnsi="Arial"/>
                <w:sz w:val="13"/>
                <w:szCs w:val="13"/>
                <w:color w:val="auto"/>
              </w:rPr>
              <w:t>$</w:t>
            </w:r>
          </w:p>
        </w:tc>
        <w:tc>
          <w:tcPr>
            <w:tcW w:w="660" w:type="dxa"/>
            <w:vAlign w:val="bottom"/>
            <w:tcBorders>
              <w:right w:val="single" w:sz="8" w:color="CCEEFF"/>
            </w:tcBorders>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2.42</w:t>
            </w:r>
          </w:p>
        </w:tc>
        <w:tc>
          <w:tcPr>
            <w:tcW w:w="0" w:type="dxa"/>
            <w:vAlign w:val="bottom"/>
          </w:tcPr>
          <w:p>
            <w:pPr>
              <w:spacing w:after="0"/>
              <w:rPr>
                <w:sz w:val="1"/>
                <w:szCs w:val="1"/>
                <w:color w:val="auto"/>
              </w:rPr>
            </w:pPr>
          </w:p>
        </w:tc>
      </w:tr>
      <w:tr>
        <w:trPr>
          <w:trHeight w:val="135"/>
        </w:trPr>
        <w:tc>
          <w:tcPr>
            <w:tcW w:w="4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120" w:type="dxa"/>
            <w:vAlign w:val="bottom"/>
            <w:tcBorders>
              <w:left w:val="single" w:sz="8" w:color="CCEEFF"/>
            </w:tcBorders>
            <w:shd w:val="clear" w:color="auto" w:fill="CCEEFF"/>
          </w:tcPr>
          <w:p>
            <w:pPr>
              <w:ind w:left="60"/>
              <w:spacing w:after="0" w:line="135" w:lineRule="exact"/>
              <w:rPr>
                <w:sz w:val="20"/>
                <w:szCs w:val="20"/>
                <w:color w:val="auto"/>
              </w:rPr>
            </w:pPr>
            <w:r>
              <w:rPr>
                <w:rFonts w:ascii="Arial" w:cs="Arial" w:eastAsia="Arial" w:hAnsi="Arial"/>
                <w:sz w:val="13"/>
                <w:szCs w:val="13"/>
                <w:b w:val="1"/>
                <w:bCs w:val="1"/>
                <w:color w:val="auto"/>
              </w:rPr>
              <w:t>EBIT</w:t>
            </w:r>
          </w:p>
        </w:tc>
        <w:tc>
          <w:tcPr>
            <w:tcW w:w="30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b w:val="1"/>
                <w:bCs w:val="1"/>
                <w:color w:val="auto"/>
              </w:rPr>
              <w:t>$</w:t>
            </w:r>
          </w:p>
        </w:tc>
        <w:tc>
          <w:tcPr>
            <w:tcW w:w="88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b w:val="1"/>
                <w:bCs w:val="1"/>
                <w:color w:val="auto"/>
              </w:rPr>
              <w:t>903</w:t>
            </w:r>
          </w:p>
        </w:tc>
        <w:tc>
          <w:tcPr>
            <w:tcW w:w="280" w:type="dxa"/>
            <w:vAlign w:val="bottom"/>
            <w:gridSpan w:val="2"/>
            <w:shd w:val="clear" w:color="auto" w:fill="CCEEFF"/>
          </w:tcPr>
          <w:p>
            <w:pPr>
              <w:jc w:val="right"/>
              <w:ind w:right="73"/>
              <w:spacing w:after="0" w:line="135" w:lineRule="exact"/>
              <w:rPr>
                <w:sz w:val="20"/>
                <w:szCs w:val="20"/>
                <w:color w:val="auto"/>
              </w:rPr>
            </w:pPr>
            <w:r>
              <w:rPr>
                <w:rFonts w:ascii="Arial" w:cs="Arial" w:eastAsia="Arial" w:hAnsi="Arial"/>
                <w:sz w:val="13"/>
                <w:szCs w:val="13"/>
                <w:b w:val="1"/>
                <w:bCs w:val="1"/>
                <w:color w:val="auto"/>
              </w:rPr>
              <w:t>$</w:t>
            </w:r>
          </w:p>
        </w:tc>
        <w:tc>
          <w:tcPr>
            <w:tcW w:w="86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3"/>
                <w:szCs w:val="13"/>
                <w:b w:val="1"/>
                <w:bCs w:val="1"/>
                <w:color w:val="auto"/>
              </w:rPr>
              <w:t>347</w:t>
            </w:r>
          </w:p>
        </w:tc>
        <w:tc>
          <w:tcPr>
            <w:tcW w:w="240" w:type="dxa"/>
            <w:vAlign w:val="bottom"/>
            <w:shd w:val="clear" w:color="auto" w:fill="CCEEFF"/>
          </w:tcPr>
          <w:p>
            <w:pPr>
              <w:jc w:val="right"/>
              <w:ind w:right="133"/>
              <w:spacing w:after="0"/>
              <w:rPr>
                <w:sz w:val="20"/>
                <w:szCs w:val="20"/>
                <w:color w:val="auto"/>
              </w:rPr>
            </w:pPr>
            <w:r>
              <w:rPr>
                <w:rFonts w:ascii="Arial" w:cs="Arial" w:eastAsia="Arial" w:hAnsi="Arial"/>
                <w:sz w:val="9"/>
                <w:szCs w:val="9"/>
                <w:b w:val="1"/>
                <w:bCs w:val="1"/>
                <w:color w:val="auto"/>
                <w:w w:val="78"/>
              </w:rPr>
              <w:t>$</w:t>
            </w:r>
          </w:p>
        </w:tc>
        <w:tc>
          <w:tcPr>
            <w:tcW w:w="70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b w:val="1"/>
                <w:bCs w:val="1"/>
                <w:color w:val="auto"/>
              </w:rPr>
              <w:t>401</w:t>
            </w:r>
          </w:p>
        </w:tc>
        <w:tc>
          <w:tcPr>
            <w:tcW w:w="280" w:type="dxa"/>
            <w:vAlign w:val="bottom"/>
            <w:gridSpan w:val="2"/>
            <w:shd w:val="clear" w:color="auto" w:fill="CCEEFF"/>
          </w:tcPr>
          <w:p>
            <w:pPr>
              <w:jc w:val="right"/>
              <w:ind w:right="73"/>
              <w:spacing w:after="0" w:line="135" w:lineRule="exact"/>
              <w:rPr>
                <w:sz w:val="20"/>
                <w:szCs w:val="20"/>
                <w:color w:val="auto"/>
              </w:rPr>
            </w:pPr>
            <w:r>
              <w:rPr>
                <w:rFonts w:ascii="Arial" w:cs="Arial" w:eastAsia="Arial" w:hAnsi="Arial"/>
                <w:sz w:val="13"/>
                <w:szCs w:val="13"/>
                <w:b w:val="1"/>
                <w:bCs w:val="1"/>
                <w:color w:val="auto"/>
              </w:rPr>
              <w:t>$</w:t>
            </w:r>
          </w:p>
        </w:tc>
        <w:tc>
          <w:tcPr>
            <w:tcW w:w="86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3"/>
                <w:szCs w:val="13"/>
                <w:b w:val="1"/>
                <w:bCs w:val="1"/>
                <w:color w:val="auto"/>
              </w:rPr>
              <w:t>483</w:t>
            </w:r>
          </w:p>
        </w:tc>
        <w:tc>
          <w:tcPr>
            <w:tcW w:w="240" w:type="dxa"/>
            <w:vAlign w:val="bottom"/>
            <w:shd w:val="clear" w:color="auto" w:fill="CCEEFF"/>
          </w:tcPr>
          <w:p>
            <w:pPr>
              <w:jc w:val="right"/>
              <w:ind w:right="133"/>
              <w:spacing w:after="0"/>
              <w:rPr>
                <w:sz w:val="20"/>
                <w:szCs w:val="20"/>
                <w:color w:val="auto"/>
              </w:rPr>
            </w:pPr>
            <w:r>
              <w:rPr>
                <w:rFonts w:ascii="Arial" w:cs="Arial" w:eastAsia="Arial" w:hAnsi="Arial"/>
                <w:sz w:val="9"/>
                <w:szCs w:val="9"/>
                <w:b w:val="1"/>
                <w:bCs w:val="1"/>
                <w:color w:val="auto"/>
                <w:w w:val="78"/>
              </w:rPr>
              <w:t>$</w:t>
            </w:r>
          </w:p>
        </w:tc>
        <w:tc>
          <w:tcPr>
            <w:tcW w:w="68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b w:val="1"/>
                <w:bCs w:val="1"/>
                <w:color w:val="auto"/>
              </w:rPr>
              <w:t>537</w:t>
            </w:r>
          </w:p>
        </w:tc>
        <w:tc>
          <w:tcPr>
            <w:tcW w:w="260" w:type="dxa"/>
            <w:vAlign w:val="bottom"/>
            <w:gridSpan w:val="2"/>
            <w:shd w:val="clear" w:color="auto" w:fill="CCEEFF"/>
          </w:tcPr>
          <w:p>
            <w:pPr>
              <w:jc w:val="right"/>
              <w:ind w:right="37"/>
              <w:spacing w:after="0" w:line="135" w:lineRule="exact"/>
              <w:rPr>
                <w:sz w:val="20"/>
                <w:szCs w:val="20"/>
                <w:color w:val="auto"/>
              </w:rPr>
            </w:pPr>
            <w:r>
              <w:rPr>
                <w:rFonts w:ascii="Arial" w:cs="Arial" w:eastAsia="Arial" w:hAnsi="Arial"/>
                <w:sz w:val="13"/>
                <w:szCs w:val="13"/>
                <w:b w:val="1"/>
                <w:bCs w:val="1"/>
                <w:color w:val="auto"/>
              </w:rPr>
              <w:t>$</w:t>
            </w:r>
          </w:p>
        </w:tc>
        <w:tc>
          <w:tcPr>
            <w:tcW w:w="74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b w:val="1"/>
                <w:bCs w:val="1"/>
                <w:color w:val="auto"/>
              </w:rPr>
              <w:t>1,733</w:t>
            </w:r>
          </w:p>
        </w:tc>
        <w:tc>
          <w:tcPr>
            <w:tcW w:w="340" w:type="dxa"/>
            <w:vAlign w:val="bottom"/>
            <w:gridSpan w:val="2"/>
            <w:shd w:val="clear" w:color="auto" w:fill="CCEEFF"/>
          </w:tcPr>
          <w:p>
            <w:pPr>
              <w:jc w:val="right"/>
              <w:ind w:right="117"/>
              <w:spacing w:after="0" w:line="135" w:lineRule="exact"/>
              <w:rPr>
                <w:sz w:val="20"/>
                <w:szCs w:val="20"/>
                <w:color w:val="auto"/>
              </w:rPr>
            </w:pPr>
            <w:r>
              <w:rPr>
                <w:rFonts w:ascii="Arial" w:cs="Arial" w:eastAsia="Arial" w:hAnsi="Arial"/>
                <w:sz w:val="13"/>
                <w:szCs w:val="13"/>
                <w:b w:val="1"/>
                <w:bCs w:val="1"/>
                <w:color w:val="auto"/>
              </w:rPr>
              <w:t>$</w:t>
            </w:r>
          </w:p>
        </w:tc>
        <w:tc>
          <w:tcPr>
            <w:tcW w:w="660" w:type="dxa"/>
            <w:vAlign w:val="bottom"/>
            <w:tcBorders>
              <w:right w:val="single" w:sz="8" w:color="CCEEFF"/>
            </w:tcBorders>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b w:val="1"/>
                <w:bCs w:val="1"/>
                <w:color w:val="auto"/>
              </w:rPr>
              <w:t>1,841</w:t>
            </w:r>
          </w:p>
        </w:tc>
        <w:tc>
          <w:tcPr>
            <w:tcW w:w="0" w:type="dxa"/>
            <w:vAlign w:val="bottom"/>
          </w:tcPr>
          <w:p>
            <w:pPr>
              <w:spacing w:after="0"/>
              <w:rPr>
                <w:sz w:val="1"/>
                <w:szCs w:val="1"/>
                <w:color w:val="auto"/>
              </w:rPr>
            </w:pPr>
          </w:p>
        </w:tc>
      </w:tr>
      <w:tr>
        <w:trPr>
          <w:trHeight w:val="20"/>
        </w:trPr>
        <w:tc>
          <w:tcPr>
            <w:tcW w:w="4120" w:type="dxa"/>
            <w:vAlign w:val="bottom"/>
            <w:tcBorders>
              <w:top w:val="single" w:sz="8" w:color="CCEEFF"/>
              <w:bottom w:val="single" w:sz="8" w:color="CCEEFF"/>
            </w:tcBorders>
            <w:vMerge w:val="restart"/>
          </w:tcPr>
          <w:p>
            <w:pPr>
              <w:ind w:left="60"/>
              <w:spacing w:after="0"/>
              <w:rPr>
                <w:sz w:val="20"/>
                <w:szCs w:val="20"/>
                <w:color w:val="auto"/>
              </w:rPr>
            </w:pPr>
            <w:r>
              <w:rPr>
                <w:rFonts w:ascii="Arial" w:cs="Arial" w:eastAsia="Arial" w:hAnsi="Arial"/>
                <w:sz w:val="13"/>
                <w:szCs w:val="13"/>
                <w:b w:val="1"/>
                <w:bCs w:val="1"/>
                <w:color w:val="auto"/>
              </w:rPr>
              <w:t>EBITDA</w:t>
            </w:r>
          </w:p>
        </w:tc>
        <w:tc>
          <w:tcPr>
            <w:tcW w:w="240" w:type="dxa"/>
            <w:vAlign w:val="bottom"/>
            <w:tcBorders>
              <w:top w:val="single" w:sz="8" w:color="CCEEFF"/>
              <w:bottom w:val="single" w:sz="8" w:color="CCEEFF"/>
            </w:tcBorders>
            <w:vMerge w:val="restart"/>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CCEEFF"/>
            </w:tcBorders>
            <w:vMerge w:val="restart"/>
          </w:tcPr>
          <w:p>
            <w:pPr>
              <w:spacing w:after="0" w:line="20" w:lineRule="exact"/>
              <w:rPr>
                <w:sz w:val="1"/>
                <w:szCs w:val="1"/>
                <w:color w:val="auto"/>
              </w:rPr>
            </w:pPr>
          </w:p>
        </w:tc>
        <w:tc>
          <w:tcPr>
            <w:tcW w:w="100" w:type="dxa"/>
            <w:vAlign w:val="bottom"/>
            <w:tcBorders>
              <w:top w:val="single" w:sz="8" w:color="CCEEFF"/>
              <w:bottom w:val="single" w:sz="8" w:color="CCEEFF"/>
            </w:tcBorders>
            <w:vMerge w:val="restart"/>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CCEEFF"/>
            </w:tcBorders>
            <w:vMerge w:val="restart"/>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CCEEFF"/>
            </w:tcBorders>
            <w:vMerge w:val="restart"/>
          </w:tcPr>
          <w:p>
            <w:pPr>
              <w:spacing w:after="0" w:line="20" w:lineRule="exact"/>
              <w:rPr>
                <w:sz w:val="1"/>
                <w:szCs w:val="1"/>
                <w:color w:val="auto"/>
              </w:rPr>
            </w:pPr>
          </w:p>
        </w:tc>
        <w:tc>
          <w:tcPr>
            <w:tcW w:w="100" w:type="dxa"/>
            <w:vAlign w:val="bottom"/>
            <w:tcBorders>
              <w:top w:val="single" w:sz="8" w:color="CCEEFF"/>
              <w:bottom w:val="single" w:sz="8" w:color="CCEEFF"/>
            </w:tcBorders>
            <w:vMerge w:val="restart"/>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CCEEFF"/>
            </w:tcBorders>
            <w:vMerge w:val="restart"/>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CCEEFF"/>
            </w:tcBorders>
            <w:vMerge w:val="restart"/>
          </w:tcPr>
          <w:p>
            <w:pPr>
              <w:spacing w:after="0" w:line="20" w:lineRule="exact"/>
              <w:rPr>
                <w:sz w:val="1"/>
                <w:szCs w:val="1"/>
                <w:color w:val="auto"/>
              </w:rPr>
            </w:pPr>
          </w:p>
        </w:tc>
        <w:tc>
          <w:tcPr>
            <w:tcW w:w="80" w:type="dxa"/>
            <w:vAlign w:val="bottom"/>
            <w:tcBorders>
              <w:top w:val="single" w:sz="8" w:color="CCEEFF"/>
              <w:bottom w:val="single" w:sz="8" w:color="CCEEFF"/>
            </w:tcBorders>
            <w:vMerge w:val="restart"/>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CCEEFF"/>
            </w:tcBorders>
            <w:vMerge w:val="restart"/>
          </w:tcPr>
          <w:p>
            <w:pPr>
              <w:spacing w:after="0" w:line="20" w:lineRule="exact"/>
              <w:rPr>
                <w:sz w:val="1"/>
                <w:szCs w:val="1"/>
                <w:color w:val="auto"/>
              </w:rPr>
            </w:pPr>
          </w:p>
        </w:tc>
        <w:tc>
          <w:tcPr>
            <w:tcW w:w="80" w:type="dxa"/>
            <w:vAlign w:val="bottom"/>
            <w:tcBorders>
              <w:top w:val="single" w:sz="8" w:color="CCEEFF"/>
              <w:bottom w:val="single" w:sz="8" w:color="CCEEFF"/>
            </w:tcBorders>
            <w:vMerge w:val="restart"/>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CCEEFF"/>
            </w:tcBorders>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6"/>
        </w:trPr>
        <w:tc>
          <w:tcPr>
            <w:tcW w:w="4120" w:type="dxa"/>
            <w:vAlign w:val="bottom"/>
            <w:vMerge w:val="continue"/>
          </w:tcPr>
          <w:p>
            <w:pPr>
              <w:spacing w:after="0"/>
              <w:rPr>
                <w:sz w:val="10"/>
                <w:szCs w:val="10"/>
                <w:color w:val="auto"/>
              </w:rPr>
            </w:pPr>
          </w:p>
        </w:tc>
        <w:tc>
          <w:tcPr>
            <w:tcW w:w="240" w:type="dxa"/>
            <w:vAlign w:val="bottom"/>
            <w:vMerge w:val="continue"/>
          </w:tcPr>
          <w:p>
            <w:pPr>
              <w:spacing w:after="0"/>
              <w:rPr>
                <w:sz w:val="10"/>
                <w:szCs w:val="10"/>
                <w:color w:val="auto"/>
              </w:rPr>
            </w:pPr>
          </w:p>
        </w:tc>
        <w:tc>
          <w:tcPr>
            <w:tcW w:w="60" w:type="dxa"/>
            <w:vAlign w:val="bottom"/>
            <w:tcBorders>
              <w:bottom w:val="single" w:sz="8" w:color="auto"/>
            </w:tcBorders>
          </w:tcPr>
          <w:p>
            <w:pPr>
              <w:jc w:val="right"/>
              <w:spacing w:after="0"/>
              <w:rPr>
                <w:sz w:val="20"/>
                <w:szCs w:val="20"/>
                <w:color w:val="auto"/>
              </w:rPr>
            </w:pPr>
            <w:r>
              <w:rPr>
                <w:rFonts w:ascii="Arial" w:cs="Arial" w:eastAsia="Arial" w:hAnsi="Arial"/>
                <w:sz w:val="9"/>
                <w:szCs w:val="9"/>
                <w:b w:val="1"/>
                <w:bCs w:val="1"/>
                <w:color w:val="auto"/>
                <w:w w:val="78"/>
              </w:rPr>
              <w:t>$</w:t>
            </w:r>
          </w:p>
        </w:tc>
        <w:tc>
          <w:tcPr>
            <w:tcW w:w="740" w:type="dxa"/>
            <w:vAlign w:val="bottom"/>
            <w:tcBorders>
              <w:bottom w:val="single" w:sz="8" w:color="auto"/>
            </w:tcBorders>
          </w:tcPr>
          <w:p>
            <w:pPr>
              <w:jc w:val="right"/>
              <w:spacing w:after="0" w:line="116" w:lineRule="exact"/>
              <w:rPr>
                <w:sz w:val="20"/>
                <w:szCs w:val="20"/>
                <w:color w:val="auto"/>
              </w:rPr>
            </w:pPr>
            <w:r>
              <w:rPr>
                <w:rFonts w:ascii="Arial" w:cs="Arial" w:eastAsia="Arial" w:hAnsi="Arial"/>
                <w:sz w:val="13"/>
                <w:szCs w:val="13"/>
                <w:b w:val="1"/>
                <w:bCs w:val="1"/>
                <w:color w:val="auto"/>
              </w:rPr>
              <w:t>1,099</w:t>
            </w:r>
          </w:p>
        </w:tc>
        <w:tc>
          <w:tcPr>
            <w:tcW w:w="140" w:type="dxa"/>
            <w:vAlign w:val="bottom"/>
            <w:vMerge w:val="continue"/>
          </w:tcPr>
          <w:p>
            <w:pPr>
              <w:spacing w:after="0"/>
              <w:rPr>
                <w:sz w:val="10"/>
                <w:szCs w:val="10"/>
                <w:color w:val="auto"/>
              </w:rPr>
            </w:pPr>
          </w:p>
        </w:tc>
        <w:tc>
          <w:tcPr>
            <w:tcW w:w="100" w:type="dxa"/>
            <w:vAlign w:val="bottom"/>
            <w:vMerge w:val="continue"/>
          </w:tcPr>
          <w:p>
            <w:pPr>
              <w:spacing w:after="0"/>
              <w:rPr>
                <w:sz w:val="10"/>
                <w:szCs w:val="10"/>
                <w:color w:val="auto"/>
              </w:rPr>
            </w:pPr>
          </w:p>
        </w:tc>
        <w:tc>
          <w:tcPr>
            <w:tcW w:w="180" w:type="dxa"/>
            <w:vAlign w:val="bottom"/>
            <w:tcBorders>
              <w:bottom w:val="single" w:sz="8" w:color="auto"/>
            </w:tcBorders>
          </w:tcPr>
          <w:p>
            <w:pPr>
              <w:jc w:val="right"/>
              <w:ind w:right="73"/>
              <w:spacing w:after="0"/>
              <w:rPr>
                <w:sz w:val="20"/>
                <w:szCs w:val="20"/>
                <w:color w:val="auto"/>
              </w:rPr>
            </w:pPr>
            <w:r>
              <w:rPr>
                <w:rFonts w:ascii="Arial" w:cs="Arial" w:eastAsia="Arial" w:hAnsi="Arial"/>
                <w:sz w:val="9"/>
                <w:szCs w:val="9"/>
                <w:b w:val="1"/>
                <w:bCs w:val="1"/>
                <w:color w:val="auto"/>
                <w:w w:val="78"/>
              </w:rPr>
              <w:t>$</w:t>
            </w:r>
          </w:p>
        </w:tc>
        <w:tc>
          <w:tcPr>
            <w:tcW w:w="620" w:type="dxa"/>
            <w:vAlign w:val="bottom"/>
            <w:tcBorders>
              <w:bottom w:val="single" w:sz="8" w:color="auto"/>
            </w:tcBorders>
          </w:tcPr>
          <w:p>
            <w:pPr>
              <w:jc w:val="right"/>
              <w:spacing w:after="0" w:line="116" w:lineRule="exact"/>
              <w:rPr>
                <w:sz w:val="20"/>
                <w:szCs w:val="20"/>
                <w:color w:val="auto"/>
              </w:rPr>
            </w:pPr>
            <w:r>
              <w:rPr>
                <w:rFonts w:ascii="Arial" w:cs="Arial" w:eastAsia="Arial" w:hAnsi="Arial"/>
                <w:sz w:val="13"/>
                <w:szCs w:val="13"/>
                <w:b w:val="1"/>
                <w:bCs w:val="1"/>
                <w:color w:val="auto"/>
              </w:rPr>
              <w:t>441</w:t>
            </w:r>
          </w:p>
        </w:tc>
        <w:tc>
          <w:tcPr>
            <w:tcW w:w="240" w:type="dxa"/>
            <w:vAlign w:val="bottom"/>
            <w:vMerge w:val="continue"/>
          </w:tcPr>
          <w:p>
            <w:pPr>
              <w:spacing w:after="0"/>
              <w:rPr>
                <w:sz w:val="10"/>
                <w:szCs w:val="10"/>
                <w:color w:val="auto"/>
              </w:rPr>
            </w:pPr>
          </w:p>
        </w:tc>
        <w:tc>
          <w:tcPr>
            <w:tcW w:w="240" w:type="dxa"/>
            <w:vAlign w:val="bottom"/>
            <w:tcBorders>
              <w:bottom w:val="single" w:sz="8" w:color="auto"/>
            </w:tcBorders>
          </w:tcPr>
          <w:p>
            <w:pPr>
              <w:jc w:val="right"/>
              <w:ind w:right="133"/>
              <w:spacing w:after="0"/>
              <w:rPr>
                <w:sz w:val="20"/>
                <w:szCs w:val="20"/>
                <w:color w:val="auto"/>
              </w:rPr>
            </w:pPr>
            <w:r>
              <w:rPr>
                <w:rFonts w:ascii="Arial" w:cs="Arial" w:eastAsia="Arial" w:hAnsi="Arial"/>
                <w:sz w:val="9"/>
                <w:szCs w:val="9"/>
                <w:b w:val="1"/>
                <w:bCs w:val="1"/>
                <w:color w:val="auto"/>
                <w:w w:val="78"/>
              </w:rPr>
              <w:t>$</w:t>
            </w:r>
          </w:p>
        </w:tc>
        <w:tc>
          <w:tcPr>
            <w:tcW w:w="560" w:type="dxa"/>
            <w:vAlign w:val="bottom"/>
            <w:tcBorders>
              <w:bottom w:val="single" w:sz="8" w:color="auto"/>
            </w:tcBorders>
          </w:tcPr>
          <w:p>
            <w:pPr>
              <w:jc w:val="right"/>
              <w:spacing w:after="0" w:line="116" w:lineRule="exact"/>
              <w:rPr>
                <w:sz w:val="20"/>
                <w:szCs w:val="20"/>
                <w:color w:val="auto"/>
              </w:rPr>
            </w:pPr>
            <w:r>
              <w:rPr>
                <w:rFonts w:ascii="Arial" w:cs="Arial" w:eastAsia="Arial" w:hAnsi="Arial"/>
                <w:sz w:val="13"/>
                <w:szCs w:val="13"/>
                <w:b w:val="1"/>
                <w:bCs w:val="1"/>
                <w:color w:val="auto"/>
              </w:rPr>
              <w:t>491</w:t>
            </w:r>
          </w:p>
        </w:tc>
        <w:tc>
          <w:tcPr>
            <w:tcW w:w="140" w:type="dxa"/>
            <w:vAlign w:val="bottom"/>
            <w:vMerge w:val="continue"/>
          </w:tcPr>
          <w:p>
            <w:pPr>
              <w:spacing w:after="0"/>
              <w:rPr>
                <w:sz w:val="10"/>
                <w:szCs w:val="10"/>
                <w:color w:val="auto"/>
              </w:rPr>
            </w:pPr>
          </w:p>
        </w:tc>
        <w:tc>
          <w:tcPr>
            <w:tcW w:w="100" w:type="dxa"/>
            <w:vAlign w:val="bottom"/>
            <w:vMerge w:val="continue"/>
          </w:tcPr>
          <w:p>
            <w:pPr>
              <w:spacing w:after="0"/>
              <w:rPr>
                <w:sz w:val="10"/>
                <w:szCs w:val="10"/>
                <w:color w:val="auto"/>
              </w:rPr>
            </w:pPr>
          </w:p>
        </w:tc>
        <w:tc>
          <w:tcPr>
            <w:tcW w:w="180" w:type="dxa"/>
            <w:vAlign w:val="bottom"/>
            <w:tcBorders>
              <w:bottom w:val="single" w:sz="8" w:color="auto"/>
            </w:tcBorders>
          </w:tcPr>
          <w:p>
            <w:pPr>
              <w:jc w:val="right"/>
              <w:ind w:right="73"/>
              <w:spacing w:after="0"/>
              <w:rPr>
                <w:sz w:val="20"/>
                <w:szCs w:val="20"/>
                <w:color w:val="auto"/>
              </w:rPr>
            </w:pPr>
            <w:r>
              <w:rPr>
                <w:rFonts w:ascii="Arial" w:cs="Arial" w:eastAsia="Arial" w:hAnsi="Arial"/>
                <w:sz w:val="9"/>
                <w:szCs w:val="9"/>
                <w:b w:val="1"/>
                <w:bCs w:val="1"/>
                <w:color w:val="auto"/>
                <w:w w:val="78"/>
              </w:rPr>
              <w:t>$</w:t>
            </w:r>
          </w:p>
        </w:tc>
        <w:tc>
          <w:tcPr>
            <w:tcW w:w="620" w:type="dxa"/>
            <w:vAlign w:val="bottom"/>
            <w:tcBorders>
              <w:bottom w:val="single" w:sz="8" w:color="auto"/>
            </w:tcBorders>
          </w:tcPr>
          <w:p>
            <w:pPr>
              <w:jc w:val="right"/>
              <w:spacing w:after="0" w:line="116" w:lineRule="exact"/>
              <w:rPr>
                <w:sz w:val="20"/>
                <w:szCs w:val="20"/>
                <w:color w:val="auto"/>
              </w:rPr>
            </w:pPr>
            <w:r>
              <w:rPr>
                <w:rFonts w:ascii="Arial" w:cs="Arial" w:eastAsia="Arial" w:hAnsi="Arial"/>
                <w:sz w:val="13"/>
                <w:szCs w:val="13"/>
                <w:b w:val="1"/>
                <w:bCs w:val="1"/>
                <w:color w:val="auto"/>
              </w:rPr>
              <w:t>578</w:t>
            </w:r>
          </w:p>
        </w:tc>
        <w:tc>
          <w:tcPr>
            <w:tcW w:w="240" w:type="dxa"/>
            <w:vAlign w:val="bottom"/>
            <w:vMerge w:val="continue"/>
          </w:tcPr>
          <w:p>
            <w:pPr>
              <w:spacing w:after="0"/>
              <w:rPr>
                <w:sz w:val="10"/>
                <w:szCs w:val="10"/>
                <w:color w:val="auto"/>
              </w:rPr>
            </w:pPr>
          </w:p>
        </w:tc>
        <w:tc>
          <w:tcPr>
            <w:tcW w:w="240" w:type="dxa"/>
            <w:vAlign w:val="bottom"/>
            <w:tcBorders>
              <w:bottom w:val="single" w:sz="8" w:color="auto"/>
            </w:tcBorders>
          </w:tcPr>
          <w:p>
            <w:pPr>
              <w:jc w:val="right"/>
              <w:ind w:right="133"/>
              <w:spacing w:after="0"/>
              <w:rPr>
                <w:sz w:val="20"/>
                <w:szCs w:val="20"/>
                <w:color w:val="auto"/>
              </w:rPr>
            </w:pPr>
            <w:r>
              <w:rPr>
                <w:rFonts w:ascii="Arial" w:cs="Arial" w:eastAsia="Arial" w:hAnsi="Arial"/>
                <w:sz w:val="9"/>
                <w:szCs w:val="9"/>
                <w:b w:val="1"/>
                <w:bCs w:val="1"/>
                <w:color w:val="auto"/>
                <w:w w:val="78"/>
              </w:rPr>
              <w:t>$</w:t>
            </w:r>
          </w:p>
        </w:tc>
        <w:tc>
          <w:tcPr>
            <w:tcW w:w="560" w:type="dxa"/>
            <w:vAlign w:val="bottom"/>
            <w:tcBorders>
              <w:bottom w:val="single" w:sz="8" w:color="auto"/>
            </w:tcBorders>
          </w:tcPr>
          <w:p>
            <w:pPr>
              <w:jc w:val="right"/>
              <w:spacing w:after="0" w:line="116" w:lineRule="exact"/>
              <w:rPr>
                <w:sz w:val="20"/>
                <w:szCs w:val="20"/>
                <w:color w:val="auto"/>
              </w:rPr>
            </w:pPr>
            <w:r>
              <w:rPr>
                <w:rFonts w:ascii="Arial" w:cs="Arial" w:eastAsia="Arial" w:hAnsi="Arial"/>
                <w:sz w:val="13"/>
                <w:szCs w:val="13"/>
                <w:b w:val="1"/>
                <w:bCs w:val="1"/>
                <w:color w:val="auto"/>
              </w:rPr>
              <w:t>628</w:t>
            </w:r>
          </w:p>
        </w:tc>
        <w:tc>
          <w:tcPr>
            <w:tcW w:w="120" w:type="dxa"/>
            <w:vAlign w:val="bottom"/>
            <w:vMerge w:val="continue"/>
          </w:tcPr>
          <w:p>
            <w:pPr>
              <w:spacing w:after="0"/>
              <w:rPr>
                <w:sz w:val="10"/>
                <w:szCs w:val="10"/>
                <w:color w:val="auto"/>
              </w:rPr>
            </w:pPr>
          </w:p>
        </w:tc>
        <w:tc>
          <w:tcPr>
            <w:tcW w:w="80" w:type="dxa"/>
            <w:vAlign w:val="bottom"/>
            <w:vMerge w:val="continue"/>
          </w:tcPr>
          <w:p>
            <w:pPr>
              <w:spacing w:after="0"/>
              <w:rPr>
                <w:sz w:val="10"/>
                <w:szCs w:val="10"/>
                <w:color w:val="auto"/>
              </w:rPr>
            </w:pPr>
          </w:p>
        </w:tc>
        <w:tc>
          <w:tcPr>
            <w:tcW w:w="180" w:type="dxa"/>
            <w:vAlign w:val="bottom"/>
            <w:tcBorders>
              <w:bottom w:val="single" w:sz="8" w:color="auto"/>
            </w:tcBorders>
          </w:tcPr>
          <w:p>
            <w:pPr>
              <w:jc w:val="right"/>
              <w:ind w:right="37"/>
              <w:spacing w:after="0" w:line="116" w:lineRule="exact"/>
              <w:rPr>
                <w:sz w:val="20"/>
                <w:szCs w:val="20"/>
                <w:color w:val="auto"/>
              </w:rPr>
            </w:pPr>
            <w:r>
              <w:rPr>
                <w:rFonts w:ascii="Arial" w:cs="Arial" w:eastAsia="Arial" w:hAnsi="Arial"/>
                <w:sz w:val="13"/>
                <w:szCs w:val="13"/>
                <w:b w:val="1"/>
                <w:bCs w:val="1"/>
                <w:color w:val="auto"/>
                <w:w w:val="82"/>
              </w:rPr>
              <w:t>$</w:t>
            </w:r>
          </w:p>
        </w:tc>
        <w:tc>
          <w:tcPr>
            <w:tcW w:w="620" w:type="dxa"/>
            <w:vAlign w:val="bottom"/>
            <w:tcBorders>
              <w:bottom w:val="single" w:sz="8" w:color="auto"/>
            </w:tcBorders>
          </w:tcPr>
          <w:p>
            <w:pPr>
              <w:jc w:val="right"/>
              <w:spacing w:after="0" w:line="116" w:lineRule="exact"/>
              <w:rPr>
                <w:sz w:val="20"/>
                <w:szCs w:val="20"/>
                <w:color w:val="auto"/>
              </w:rPr>
            </w:pPr>
            <w:r>
              <w:rPr>
                <w:rFonts w:ascii="Arial" w:cs="Arial" w:eastAsia="Arial" w:hAnsi="Arial"/>
                <w:sz w:val="13"/>
                <w:szCs w:val="13"/>
                <w:b w:val="1"/>
                <w:bCs w:val="1"/>
                <w:color w:val="auto"/>
              </w:rPr>
              <w:t>2,118</w:t>
            </w:r>
          </w:p>
        </w:tc>
        <w:tc>
          <w:tcPr>
            <w:tcW w:w="120" w:type="dxa"/>
            <w:vAlign w:val="bottom"/>
            <w:vMerge w:val="continue"/>
          </w:tcPr>
          <w:p>
            <w:pPr>
              <w:spacing w:after="0"/>
              <w:rPr>
                <w:sz w:val="10"/>
                <w:szCs w:val="10"/>
                <w:color w:val="auto"/>
              </w:rPr>
            </w:pPr>
          </w:p>
        </w:tc>
        <w:tc>
          <w:tcPr>
            <w:tcW w:w="80" w:type="dxa"/>
            <w:vAlign w:val="bottom"/>
            <w:vMerge w:val="continue"/>
          </w:tcPr>
          <w:p>
            <w:pPr>
              <w:spacing w:after="0"/>
              <w:rPr>
                <w:sz w:val="10"/>
                <w:szCs w:val="10"/>
                <w:color w:val="auto"/>
              </w:rPr>
            </w:pPr>
          </w:p>
        </w:tc>
        <w:tc>
          <w:tcPr>
            <w:tcW w:w="260" w:type="dxa"/>
            <w:vAlign w:val="bottom"/>
            <w:tcBorders>
              <w:bottom w:val="single" w:sz="8" w:color="auto"/>
            </w:tcBorders>
          </w:tcPr>
          <w:p>
            <w:pPr>
              <w:jc w:val="right"/>
              <w:ind w:right="117"/>
              <w:spacing w:after="0" w:line="116" w:lineRule="exact"/>
              <w:rPr>
                <w:sz w:val="20"/>
                <w:szCs w:val="20"/>
                <w:color w:val="auto"/>
              </w:rPr>
            </w:pPr>
            <w:r>
              <w:rPr>
                <w:rFonts w:ascii="Arial" w:cs="Arial" w:eastAsia="Arial" w:hAnsi="Arial"/>
                <w:sz w:val="13"/>
                <w:szCs w:val="13"/>
                <w:b w:val="1"/>
                <w:bCs w:val="1"/>
                <w:color w:val="auto"/>
                <w:w w:val="82"/>
              </w:rPr>
              <w:t>$</w:t>
            </w:r>
          </w:p>
        </w:tc>
        <w:tc>
          <w:tcPr>
            <w:tcW w:w="540" w:type="dxa"/>
            <w:vAlign w:val="bottom"/>
            <w:tcBorders>
              <w:bottom w:val="single" w:sz="8" w:color="auto"/>
            </w:tcBorders>
          </w:tcPr>
          <w:p>
            <w:pPr>
              <w:jc w:val="right"/>
              <w:spacing w:after="0" w:line="116" w:lineRule="exact"/>
              <w:rPr>
                <w:sz w:val="20"/>
                <w:szCs w:val="20"/>
                <w:color w:val="auto"/>
              </w:rPr>
            </w:pPr>
            <w:r>
              <w:rPr>
                <w:rFonts w:ascii="Arial" w:cs="Arial" w:eastAsia="Arial" w:hAnsi="Arial"/>
                <w:sz w:val="13"/>
                <w:szCs w:val="13"/>
                <w:b w:val="1"/>
                <w:bCs w:val="1"/>
                <w:color w:val="auto"/>
              </w:rPr>
              <w:t>2,218</w:t>
            </w:r>
          </w:p>
        </w:tc>
        <w:tc>
          <w:tcPr>
            <w:tcW w:w="1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
        </w:trPr>
        <w:tc>
          <w:tcPr>
            <w:tcW w:w="412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83"/>
        </w:trPr>
        <w:tc>
          <w:tcPr>
            <w:tcW w:w="4120" w:type="dxa"/>
            <w:vAlign w:val="bottom"/>
            <w:tcBorders>
              <w:left w:val="single" w:sz="8" w:color="auto"/>
            </w:tcBorders>
          </w:tcPr>
          <w:p>
            <w:pPr>
              <w:ind w:left="80"/>
              <w:spacing w:after="0"/>
              <w:rPr>
                <w:sz w:val="20"/>
                <w:szCs w:val="20"/>
                <w:color w:val="auto"/>
              </w:rPr>
            </w:pPr>
            <w:r>
              <w:rPr>
                <w:rFonts w:ascii="Arial" w:cs="Arial" w:eastAsia="Arial" w:hAnsi="Arial"/>
                <w:sz w:val="13"/>
                <w:szCs w:val="13"/>
                <w:b w:val="1"/>
                <w:bCs w:val="1"/>
                <w:color w:val="auto"/>
              </w:rPr>
              <w:t>Selected Items Impacting Comparability</w:t>
            </w:r>
          </w:p>
        </w:tc>
        <w:tc>
          <w:tcPr>
            <w:tcW w:w="2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4120" w:type="dxa"/>
            <w:vAlign w:val="bottom"/>
            <w:tcBorders>
              <w:left w:val="single" w:sz="8" w:color="auto"/>
            </w:tcBorders>
            <w:shd w:val="clear" w:color="auto" w:fill="CCEEFF"/>
          </w:tcPr>
          <w:p>
            <w:pPr>
              <w:ind w:left="260"/>
              <w:spacing w:after="0" w:line="135" w:lineRule="exact"/>
              <w:rPr>
                <w:sz w:val="20"/>
                <w:szCs w:val="20"/>
                <w:color w:val="auto"/>
              </w:rPr>
            </w:pPr>
            <w:r>
              <w:rPr>
                <w:rFonts w:ascii="Arial" w:cs="Arial" w:eastAsia="Arial" w:hAnsi="Arial"/>
                <w:sz w:val="13"/>
                <w:szCs w:val="13"/>
                <w:color w:val="auto"/>
              </w:rPr>
              <w:t>Equity-indexed compensation expense</w:t>
            </w:r>
          </w:p>
        </w:tc>
        <w:tc>
          <w:tcPr>
            <w:tcW w:w="30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88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(36)</w:t>
            </w:r>
          </w:p>
        </w:tc>
        <w:tc>
          <w:tcPr>
            <w:tcW w:w="280" w:type="dxa"/>
            <w:vAlign w:val="bottom"/>
            <w:gridSpan w:val="2"/>
            <w:shd w:val="clear" w:color="auto" w:fill="CCEEFF"/>
          </w:tcPr>
          <w:p>
            <w:pPr>
              <w:jc w:val="right"/>
              <w:ind w:right="73"/>
              <w:spacing w:after="0" w:line="135" w:lineRule="exact"/>
              <w:rPr>
                <w:sz w:val="20"/>
                <w:szCs w:val="20"/>
                <w:color w:val="auto"/>
              </w:rPr>
            </w:pPr>
            <w:r>
              <w:rPr>
                <w:rFonts w:ascii="Arial" w:cs="Arial" w:eastAsia="Arial" w:hAnsi="Arial"/>
                <w:sz w:val="13"/>
                <w:szCs w:val="13"/>
                <w:color w:val="auto"/>
              </w:rPr>
              <w:t>$</w:t>
            </w:r>
          </w:p>
        </w:tc>
        <w:tc>
          <w:tcPr>
            <w:tcW w:w="86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rPr>
              <w:t>(14)</w:t>
            </w:r>
          </w:p>
        </w:tc>
        <w:tc>
          <w:tcPr>
            <w:tcW w:w="240" w:type="dxa"/>
            <w:vAlign w:val="bottom"/>
            <w:shd w:val="clear" w:color="auto" w:fill="CCEEFF"/>
          </w:tcPr>
          <w:p>
            <w:pPr>
              <w:jc w:val="right"/>
              <w:ind w:right="133"/>
              <w:spacing w:after="0"/>
              <w:rPr>
                <w:sz w:val="20"/>
                <w:szCs w:val="20"/>
                <w:color w:val="auto"/>
              </w:rPr>
            </w:pPr>
            <w:r>
              <w:rPr>
                <w:rFonts w:ascii="Arial" w:cs="Arial" w:eastAsia="Arial" w:hAnsi="Arial"/>
                <w:sz w:val="9"/>
                <w:szCs w:val="9"/>
                <w:color w:val="auto"/>
                <w:w w:val="78"/>
              </w:rPr>
              <w:t>$</w:t>
            </w:r>
          </w:p>
        </w:tc>
        <w:tc>
          <w:tcPr>
            <w:tcW w:w="70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(14)</w:t>
            </w:r>
          </w:p>
        </w:tc>
        <w:tc>
          <w:tcPr>
            <w:tcW w:w="280" w:type="dxa"/>
            <w:vAlign w:val="bottom"/>
            <w:gridSpan w:val="2"/>
            <w:shd w:val="clear" w:color="auto" w:fill="CCEEFF"/>
          </w:tcPr>
          <w:p>
            <w:pPr>
              <w:jc w:val="right"/>
              <w:ind w:right="73"/>
              <w:spacing w:after="0" w:line="135" w:lineRule="exact"/>
              <w:rPr>
                <w:sz w:val="20"/>
                <w:szCs w:val="20"/>
                <w:color w:val="auto"/>
              </w:rPr>
            </w:pPr>
            <w:r>
              <w:rPr>
                <w:rFonts w:ascii="Arial" w:cs="Arial" w:eastAsia="Arial" w:hAnsi="Arial"/>
                <w:sz w:val="13"/>
                <w:szCs w:val="13"/>
                <w:color w:val="auto"/>
              </w:rPr>
              <w:t>$</w:t>
            </w:r>
          </w:p>
        </w:tc>
        <w:tc>
          <w:tcPr>
            <w:tcW w:w="86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rPr>
              <w:t>(13)</w:t>
            </w:r>
          </w:p>
        </w:tc>
        <w:tc>
          <w:tcPr>
            <w:tcW w:w="240" w:type="dxa"/>
            <w:vAlign w:val="bottom"/>
            <w:shd w:val="clear" w:color="auto" w:fill="CCEEFF"/>
          </w:tcPr>
          <w:p>
            <w:pPr>
              <w:jc w:val="right"/>
              <w:ind w:right="133"/>
              <w:spacing w:after="0"/>
              <w:rPr>
                <w:sz w:val="20"/>
                <w:szCs w:val="20"/>
                <w:color w:val="auto"/>
              </w:rPr>
            </w:pPr>
            <w:r>
              <w:rPr>
                <w:rFonts w:ascii="Arial" w:cs="Arial" w:eastAsia="Arial" w:hAnsi="Arial"/>
                <w:sz w:val="9"/>
                <w:szCs w:val="9"/>
                <w:color w:val="auto"/>
                <w:w w:val="78"/>
              </w:rPr>
              <w:t>$</w:t>
            </w:r>
          </w:p>
        </w:tc>
        <w:tc>
          <w:tcPr>
            <w:tcW w:w="68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(13)</w:t>
            </w:r>
          </w:p>
        </w:tc>
        <w:tc>
          <w:tcPr>
            <w:tcW w:w="260" w:type="dxa"/>
            <w:vAlign w:val="bottom"/>
            <w:gridSpan w:val="2"/>
            <w:shd w:val="clear" w:color="auto" w:fill="CCEEFF"/>
          </w:tcPr>
          <w:p>
            <w:pPr>
              <w:jc w:val="right"/>
              <w:ind w:right="37"/>
              <w:spacing w:after="0" w:line="135" w:lineRule="exact"/>
              <w:rPr>
                <w:sz w:val="20"/>
                <w:szCs w:val="20"/>
                <w:color w:val="auto"/>
              </w:rPr>
            </w:pPr>
            <w:r>
              <w:rPr>
                <w:rFonts w:ascii="Arial" w:cs="Arial" w:eastAsia="Arial" w:hAnsi="Arial"/>
                <w:sz w:val="13"/>
                <w:szCs w:val="13"/>
                <w:color w:val="auto"/>
              </w:rPr>
              <w:t>$</w:t>
            </w:r>
          </w:p>
        </w:tc>
        <w:tc>
          <w:tcPr>
            <w:tcW w:w="74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(63)</w:t>
            </w:r>
          </w:p>
        </w:tc>
        <w:tc>
          <w:tcPr>
            <w:tcW w:w="340" w:type="dxa"/>
            <w:vAlign w:val="bottom"/>
            <w:gridSpan w:val="2"/>
            <w:shd w:val="clear" w:color="auto" w:fill="CCEEFF"/>
          </w:tcPr>
          <w:p>
            <w:pPr>
              <w:jc w:val="right"/>
              <w:ind w:right="117"/>
              <w:spacing w:after="0" w:line="135" w:lineRule="exact"/>
              <w:rPr>
                <w:sz w:val="20"/>
                <w:szCs w:val="20"/>
                <w:color w:val="auto"/>
              </w:rPr>
            </w:pPr>
            <w:r>
              <w:rPr>
                <w:rFonts w:ascii="Arial" w:cs="Arial" w:eastAsia="Arial" w:hAnsi="Arial"/>
                <w:sz w:val="13"/>
                <w:szCs w:val="13"/>
                <w:color w:val="auto"/>
              </w:rPr>
              <w:t>$</w:t>
            </w:r>
          </w:p>
        </w:tc>
        <w:tc>
          <w:tcPr>
            <w:tcW w:w="660" w:type="dxa"/>
            <w:vAlign w:val="bottom"/>
            <w:tcBorders>
              <w:right w:val="single" w:sz="8" w:color="auto"/>
            </w:tcBorders>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(63)</w:t>
            </w:r>
          </w:p>
        </w:tc>
        <w:tc>
          <w:tcPr>
            <w:tcW w:w="0" w:type="dxa"/>
            <w:vAlign w:val="bottom"/>
          </w:tcPr>
          <w:p>
            <w:pPr>
              <w:spacing w:after="0"/>
              <w:rPr>
                <w:sz w:val="1"/>
                <w:szCs w:val="1"/>
                <w:color w:val="auto"/>
              </w:rPr>
            </w:pPr>
          </w:p>
        </w:tc>
      </w:tr>
      <w:tr>
        <w:trPr>
          <w:trHeight w:val="135"/>
        </w:trPr>
        <w:tc>
          <w:tcPr>
            <w:tcW w:w="4120" w:type="dxa"/>
            <w:vAlign w:val="bottom"/>
            <w:tcBorders>
              <w:left w:val="single" w:sz="8" w:color="auto"/>
            </w:tcBorders>
          </w:tcPr>
          <w:p>
            <w:pPr>
              <w:ind w:left="260"/>
              <w:spacing w:after="0" w:line="135" w:lineRule="exact"/>
              <w:rPr>
                <w:sz w:val="20"/>
                <w:szCs w:val="20"/>
                <w:color w:val="auto"/>
              </w:rPr>
            </w:pPr>
            <w:r>
              <w:rPr>
                <w:rFonts w:ascii="Arial" w:cs="Arial" w:eastAsia="Arial" w:hAnsi="Arial"/>
                <w:sz w:val="13"/>
                <w:szCs w:val="13"/>
                <w:color w:val="auto"/>
              </w:rPr>
              <w:t>Tax effect on selected items impacting comparability</w:t>
            </w: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8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(9)</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6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w:t>
            </w:r>
          </w:p>
        </w:tc>
        <w:tc>
          <w:tcPr>
            <w:tcW w:w="240" w:type="dxa"/>
            <w:vAlign w:val="bottom"/>
          </w:tcPr>
          <w:p>
            <w:pPr>
              <w:spacing w:after="0"/>
              <w:rPr>
                <w:sz w:val="11"/>
                <w:szCs w:val="11"/>
                <w:color w:val="auto"/>
              </w:rPr>
            </w:pPr>
          </w:p>
        </w:tc>
        <w:tc>
          <w:tcPr>
            <w:tcW w:w="70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6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w:t>
            </w:r>
          </w:p>
        </w:tc>
        <w:tc>
          <w:tcPr>
            <w:tcW w:w="240" w:type="dxa"/>
            <w:vAlign w:val="bottom"/>
          </w:tcPr>
          <w:p>
            <w:pPr>
              <w:spacing w:after="0"/>
              <w:rPr>
                <w:sz w:val="11"/>
                <w:szCs w:val="11"/>
                <w:color w:val="auto"/>
              </w:rPr>
            </w:pPr>
          </w:p>
        </w:tc>
        <w:tc>
          <w:tcPr>
            <w:tcW w:w="68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(9)</w:t>
            </w: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Borders>
              <w:right w:val="single" w:sz="8" w:color="auto"/>
            </w:tcBorders>
            <w:gridSpan w:val="2"/>
          </w:tcPr>
          <w:p>
            <w:pPr>
              <w:jc w:val="right"/>
              <w:ind w:right="80"/>
              <w:spacing w:after="0" w:line="135" w:lineRule="exact"/>
              <w:rPr>
                <w:sz w:val="20"/>
                <w:szCs w:val="20"/>
                <w:color w:val="auto"/>
              </w:rPr>
            </w:pPr>
            <w:r>
              <w:rPr>
                <w:rFonts w:ascii="Arial" w:cs="Arial" w:eastAsia="Arial" w:hAnsi="Arial"/>
                <w:sz w:val="13"/>
                <w:szCs w:val="13"/>
                <w:color w:val="auto"/>
              </w:rPr>
              <w:t>(9)</w:t>
            </w:r>
          </w:p>
        </w:tc>
        <w:tc>
          <w:tcPr>
            <w:tcW w:w="0" w:type="dxa"/>
            <w:vAlign w:val="bottom"/>
          </w:tcPr>
          <w:p>
            <w:pPr>
              <w:spacing w:after="0"/>
              <w:rPr>
                <w:sz w:val="1"/>
                <w:szCs w:val="1"/>
                <w:color w:val="auto"/>
              </w:rPr>
            </w:pPr>
          </w:p>
        </w:tc>
      </w:tr>
      <w:tr>
        <w:trPr>
          <w:trHeight w:val="135"/>
        </w:trPr>
        <w:tc>
          <w:tcPr>
            <w:tcW w:w="4120" w:type="dxa"/>
            <w:vAlign w:val="bottom"/>
            <w:tcBorders>
              <w:left w:val="single" w:sz="8" w:color="auto"/>
            </w:tcBorders>
            <w:shd w:val="clear" w:color="auto" w:fill="CCEEFF"/>
          </w:tcPr>
          <w:p>
            <w:pPr>
              <w:ind w:left="260"/>
              <w:spacing w:after="0" w:line="135" w:lineRule="exact"/>
              <w:rPr>
                <w:sz w:val="20"/>
                <w:szCs w:val="20"/>
                <w:color w:val="auto"/>
              </w:rPr>
            </w:pPr>
            <w:r>
              <w:rPr>
                <w:rFonts w:ascii="Arial" w:cs="Arial" w:eastAsia="Arial" w:hAnsi="Arial"/>
                <w:sz w:val="13"/>
                <w:szCs w:val="13"/>
                <w:color w:val="auto"/>
              </w:rPr>
              <w:t>Net gain / (loss) on foreign currency revaluation</w:t>
            </w:r>
          </w:p>
        </w:tc>
        <w:tc>
          <w:tcPr>
            <w:tcW w:w="2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8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6</w:t>
            </w: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6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6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6</w:t>
            </w:r>
          </w:p>
        </w:tc>
        <w:tc>
          <w:tcPr>
            <w:tcW w:w="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60" w:type="dxa"/>
            <w:vAlign w:val="bottom"/>
            <w:tcBorders>
              <w:right w:val="single" w:sz="8" w:color="auto"/>
            </w:tcBorders>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6</w:t>
            </w:r>
          </w:p>
        </w:tc>
        <w:tc>
          <w:tcPr>
            <w:tcW w:w="0" w:type="dxa"/>
            <w:vAlign w:val="bottom"/>
          </w:tcPr>
          <w:p>
            <w:pPr>
              <w:spacing w:after="0"/>
              <w:rPr>
                <w:sz w:val="1"/>
                <w:szCs w:val="1"/>
                <w:color w:val="auto"/>
              </w:rPr>
            </w:pPr>
          </w:p>
        </w:tc>
      </w:tr>
      <w:tr>
        <w:trPr>
          <w:trHeight w:val="121"/>
        </w:trPr>
        <w:tc>
          <w:tcPr>
            <w:tcW w:w="4120" w:type="dxa"/>
            <w:vAlign w:val="bottom"/>
            <w:tcBorders>
              <w:left w:val="single" w:sz="8" w:color="auto"/>
            </w:tcBorders>
          </w:tcPr>
          <w:p>
            <w:pPr>
              <w:ind w:left="260"/>
              <w:spacing w:after="0" w:line="121" w:lineRule="exact"/>
              <w:rPr>
                <w:sz w:val="20"/>
                <w:szCs w:val="20"/>
                <w:color w:val="auto"/>
              </w:rPr>
            </w:pPr>
            <w:r>
              <w:rPr>
                <w:rFonts w:ascii="Arial" w:cs="Arial" w:eastAsia="Arial" w:hAnsi="Arial"/>
                <w:sz w:val="13"/>
                <w:szCs w:val="13"/>
                <w:color w:val="auto"/>
                <w:w w:val="99"/>
              </w:rPr>
              <w:t>Gains / (losses) from derivative activities, net of inventory valuation</w:t>
            </w:r>
          </w:p>
        </w:tc>
        <w:tc>
          <w:tcPr>
            <w:tcW w:w="2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4120" w:type="dxa"/>
            <w:vAlign w:val="bottom"/>
            <w:tcBorders>
              <w:left w:val="single" w:sz="8" w:color="auto"/>
            </w:tcBorders>
          </w:tcPr>
          <w:p>
            <w:pPr>
              <w:ind w:left="440"/>
              <w:spacing w:after="0"/>
              <w:rPr>
                <w:sz w:val="20"/>
                <w:szCs w:val="20"/>
                <w:color w:val="auto"/>
              </w:rPr>
            </w:pPr>
            <w:r>
              <w:rPr>
                <w:rFonts w:ascii="Arial" w:cs="Arial" w:eastAsia="Arial" w:hAnsi="Arial"/>
                <w:sz w:val="13"/>
                <w:szCs w:val="13"/>
                <w:color w:val="auto"/>
              </w:rPr>
              <w:t>adjustments</w:t>
            </w: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50</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2"/>
                <w:szCs w:val="12"/>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2"/>
                <w:szCs w:val="12"/>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3"/>
                <w:szCs w:val="13"/>
                <w:color w:val="auto"/>
              </w:rPr>
              <w:t>50</w:t>
            </w: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Borders>
              <w:right w:val="single" w:sz="8" w:color="auto"/>
            </w:tcBorders>
            <w:gridSpan w:val="2"/>
          </w:tcPr>
          <w:p>
            <w:pPr>
              <w:jc w:val="right"/>
              <w:ind w:right="120"/>
              <w:spacing w:after="0"/>
              <w:rPr>
                <w:sz w:val="20"/>
                <w:szCs w:val="20"/>
                <w:color w:val="auto"/>
              </w:rPr>
            </w:pPr>
            <w:r>
              <w:rPr>
                <w:rFonts w:ascii="Arial" w:cs="Arial" w:eastAsia="Arial" w:hAnsi="Arial"/>
                <w:sz w:val="13"/>
                <w:szCs w:val="13"/>
                <w:color w:val="auto"/>
              </w:rPr>
              <w:t>50</w:t>
            </w:r>
          </w:p>
        </w:tc>
        <w:tc>
          <w:tcPr>
            <w:tcW w:w="0" w:type="dxa"/>
            <w:vAlign w:val="bottom"/>
          </w:tcPr>
          <w:p>
            <w:pPr>
              <w:spacing w:after="0"/>
              <w:rPr>
                <w:sz w:val="1"/>
                <w:szCs w:val="1"/>
                <w:color w:val="auto"/>
              </w:rPr>
            </w:pPr>
          </w:p>
        </w:tc>
      </w:tr>
      <w:tr>
        <w:trPr>
          <w:trHeight w:val="214"/>
        </w:trPr>
        <w:tc>
          <w:tcPr>
            <w:tcW w:w="4120" w:type="dxa"/>
            <w:vAlign w:val="bottom"/>
            <w:tcBorders>
              <w:top w:val="single" w:sz="8" w:color="CCEEFF"/>
              <w:left w:val="single" w:sz="8" w:color="auto"/>
              <w:bottom w:val="single" w:sz="8" w:color="CCEEFF"/>
            </w:tcBorders>
            <w:shd w:val="clear" w:color="auto" w:fill="CCEEFF"/>
          </w:tcPr>
          <w:p>
            <w:pPr>
              <w:ind w:left="260"/>
              <w:spacing w:after="0" w:line="129" w:lineRule="exact"/>
              <w:rPr>
                <w:sz w:val="20"/>
                <w:szCs w:val="20"/>
                <w:color w:val="auto"/>
              </w:rPr>
            </w:pPr>
            <w:r>
              <w:rPr>
                <w:rFonts w:ascii="Arial" w:cs="Arial" w:eastAsia="Arial" w:hAnsi="Arial"/>
                <w:sz w:val="13"/>
                <w:szCs w:val="13"/>
                <w:color w:val="auto"/>
                <w:w w:val="90"/>
              </w:rPr>
              <w:t>Selected Items Impacting Comparability of Net Income attributable to PAA</w:t>
            </w: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74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11</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73"/>
              <w:spacing w:after="0"/>
              <w:rPr>
                <w:sz w:val="20"/>
                <w:szCs w:val="20"/>
                <w:color w:val="auto"/>
              </w:rPr>
            </w:pPr>
            <w:r>
              <w:rPr>
                <w:rFonts w:ascii="Arial" w:cs="Arial" w:eastAsia="Arial" w:hAnsi="Arial"/>
                <w:sz w:val="9"/>
                <w:szCs w:val="9"/>
                <w:color w:val="auto"/>
                <w:w w:val="78"/>
              </w:rPr>
              <w:t>$</w:t>
            </w:r>
          </w:p>
        </w:tc>
        <w:tc>
          <w:tcPr>
            <w:tcW w:w="62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(14)</w:t>
            </w: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133"/>
              <w:spacing w:after="0"/>
              <w:rPr>
                <w:sz w:val="20"/>
                <w:szCs w:val="20"/>
                <w:color w:val="auto"/>
              </w:rPr>
            </w:pPr>
            <w:r>
              <w:rPr>
                <w:rFonts w:ascii="Arial" w:cs="Arial" w:eastAsia="Arial" w:hAnsi="Arial"/>
                <w:sz w:val="9"/>
                <w:szCs w:val="9"/>
                <w:color w:val="auto"/>
                <w:w w:val="78"/>
              </w:rPr>
              <w:t>$</w:t>
            </w:r>
          </w:p>
        </w:tc>
        <w:tc>
          <w:tcPr>
            <w:tcW w:w="56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(14)</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73"/>
              <w:spacing w:after="0"/>
              <w:rPr>
                <w:sz w:val="20"/>
                <w:szCs w:val="20"/>
                <w:color w:val="auto"/>
              </w:rPr>
            </w:pPr>
            <w:r>
              <w:rPr>
                <w:rFonts w:ascii="Arial" w:cs="Arial" w:eastAsia="Arial" w:hAnsi="Arial"/>
                <w:sz w:val="9"/>
                <w:szCs w:val="9"/>
                <w:color w:val="auto"/>
                <w:w w:val="78"/>
              </w:rPr>
              <w:t>$</w:t>
            </w:r>
          </w:p>
        </w:tc>
        <w:tc>
          <w:tcPr>
            <w:tcW w:w="62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(13)</w:t>
            </w: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133"/>
              <w:spacing w:after="0"/>
              <w:rPr>
                <w:sz w:val="20"/>
                <w:szCs w:val="20"/>
                <w:color w:val="auto"/>
              </w:rPr>
            </w:pPr>
            <w:r>
              <w:rPr>
                <w:rFonts w:ascii="Arial" w:cs="Arial" w:eastAsia="Arial" w:hAnsi="Arial"/>
                <w:sz w:val="9"/>
                <w:szCs w:val="9"/>
                <w:color w:val="auto"/>
                <w:w w:val="78"/>
              </w:rPr>
              <w:t>$</w:t>
            </w:r>
          </w:p>
        </w:tc>
        <w:tc>
          <w:tcPr>
            <w:tcW w:w="56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(13)</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37"/>
              <w:spacing w:after="0" w:line="129" w:lineRule="exact"/>
              <w:rPr>
                <w:sz w:val="20"/>
                <w:szCs w:val="20"/>
                <w:color w:val="auto"/>
              </w:rPr>
            </w:pPr>
            <w:r>
              <w:rPr>
                <w:rFonts w:ascii="Arial" w:cs="Arial" w:eastAsia="Arial" w:hAnsi="Arial"/>
                <w:sz w:val="13"/>
                <w:szCs w:val="13"/>
                <w:color w:val="auto"/>
                <w:w w:val="82"/>
              </w:rPr>
              <w:t>$</w:t>
            </w:r>
          </w:p>
        </w:tc>
        <w:tc>
          <w:tcPr>
            <w:tcW w:w="62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(16)</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117"/>
              <w:spacing w:after="0" w:line="129" w:lineRule="exact"/>
              <w:rPr>
                <w:sz w:val="20"/>
                <w:szCs w:val="20"/>
                <w:color w:val="auto"/>
              </w:rPr>
            </w:pPr>
            <w:r>
              <w:rPr>
                <w:rFonts w:ascii="Arial" w:cs="Arial" w:eastAsia="Arial" w:hAnsi="Arial"/>
                <w:sz w:val="13"/>
                <w:szCs w:val="13"/>
                <w:color w:val="auto"/>
                <w:w w:val="82"/>
              </w:rPr>
              <w:t>$</w:t>
            </w:r>
          </w:p>
        </w:tc>
        <w:tc>
          <w:tcPr>
            <w:tcW w:w="54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(16)</w:t>
            </w:r>
          </w:p>
        </w:tc>
        <w:tc>
          <w:tcPr>
            <w:tcW w:w="120" w:type="dxa"/>
            <w:vAlign w:val="bottom"/>
            <w:tcBorders>
              <w:top w:val="single" w:sz="8" w:color="CCEEFF"/>
              <w:bottom w:val="single" w:sz="8" w:color="CCEEFF"/>
              <w:right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62"/>
        </w:trPr>
        <w:tc>
          <w:tcPr>
            <w:tcW w:w="4120" w:type="dxa"/>
            <w:vAlign w:val="bottom"/>
            <w:tcBorders>
              <w:top w:val="single" w:sz="8" w:color="auto"/>
              <w:left w:val="single" w:sz="8" w:color="auto"/>
              <w:bottom w:val="single" w:sz="8" w:color="auto"/>
            </w:tcBorders>
          </w:tcPr>
          <w:p>
            <w:pPr>
              <w:spacing w:after="0"/>
              <w:rPr>
                <w:sz w:val="5"/>
                <w:szCs w:val="5"/>
                <w:color w:val="auto"/>
              </w:rPr>
            </w:pPr>
          </w:p>
        </w:tc>
        <w:tc>
          <w:tcPr>
            <w:tcW w:w="240" w:type="dxa"/>
            <w:vAlign w:val="bottom"/>
            <w:tcBorders>
              <w:top w:val="single" w:sz="8" w:color="auto"/>
              <w:bottom w:val="single" w:sz="8" w:color="auto"/>
            </w:tcBorders>
          </w:tcPr>
          <w:p>
            <w:pPr>
              <w:spacing w:after="0"/>
              <w:rPr>
                <w:sz w:val="5"/>
                <w:szCs w:val="5"/>
                <w:color w:val="auto"/>
              </w:rPr>
            </w:pPr>
          </w:p>
        </w:tc>
        <w:tc>
          <w:tcPr>
            <w:tcW w:w="60" w:type="dxa"/>
            <w:vAlign w:val="bottom"/>
            <w:tcBorders>
              <w:top w:val="single" w:sz="8" w:color="auto"/>
              <w:bottom w:val="single" w:sz="8" w:color="auto"/>
            </w:tcBorders>
          </w:tcPr>
          <w:p>
            <w:pPr>
              <w:spacing w:after="0"/>
              <w:rPr>
                <w:sz w:val="5"/>
                <w:szCs w:val="5"/>
                <w:color w:val="auto"/>
              </w:rPr>
            </w:pPr>
          </w:p>
        </w:tc>
        <w:tc>
          <w:tcPr>
            <w:tcW w:w="740" w:type="dxa"/>
            <w:vAlign w:val="bottom"/>
            <w:tcBorders>
              <w:top w:val="single" w:sz="8" w:color="auto"/>
              <w:bottom w:val="single" w:sz="8" w:color="auto"/>
            </w:tcBorders>
          </w:tcPr>
          <w:p>
            <w:pPr>
              <w:spacing w:after="0"/>
              <w:rPr>
                <w:sz w:val="5"/>
                <w:szCs w:val="5"/>
                <w:color w:val="auto"/>
              </w:rPr>
            </w:pPr>
          </w:p>
        </w:tc>
        <w:tc>
          <w:tcPr>
            <w:tcW w:w="140" w:type="dxa"/>
            <w:vAlign w:val="bottom"/>
            <w:tcBorders>
              <w:top w:val="single" w:sz="8" w:color="auto"/>
              <w:bottom w:val="single" w:sz="8" w:color="auto"/>
            </w:tcBorders>
          </w:tcPr>
          <w:p>
            <w:pPr>
              <w:spacing w:after="0"/>
              <w:rPr>
                <w:sz w:val="5"/>
                <w:szCs w:val="5"/>
                <w:color w:val="auto"/>
              </w:rPr>
            </w:pPr>
          </w:p>
        </w:tc>
        <w:tc>
          <w:tcPr>
            <w:tcW w:w="100" w:type="dxa"/>
            <w:vAlign w:val="bottom"/>
            <w:tcBorders>
              <w:top w:val="single" w:sz="8" w:color="auto"/>
              <w:bottom w:val="single" w:sz="8" w:color="auto"/>
            </w:tcBorders>
          </w:tcPr>
          <w:p>
            <w:pPr>
              <w:spacing w:after="0"/>
              <w:rPr>
                <w:sz w:val="5"/>
                <w:szCs w:val="5"/>
                <w:color w:val="auto"/>
              </w:rPr>
            </w:pPr>
          </w:p>
        </w:tc>
        <w:tc>
          <w:tcPr>
            <w:tcW w:w="180" w:type="dxa"/>
            <w:vAlign w:val="bottom"/>
            <w:tcBorders>
              <w:top w:val="single" w:sz="8" w:color="auto"/>
              <w:bottom w:val="single" w:sz="8" w:color="auto"/>
            </w:tcBorders>
          </w:tcPr>
          <w:p>
            <w:pPr>
              <w:spacing w:after="0"/>
              <w:rPr>
                <w:sz w:val="5"/>
                <w:szCs w:val="5"/>
                <w:color w:val="auto"/>
              </w:rPr>
            </w:pPr>
          </w:p>
        </w:tc>
        <w:tc>
          <w:tcPr>
            <w:tcW w:w="620" w:type="dxa"/>
            <w:vAlign w:val="bottom"/>
            <w:tcBorders>
              <w:top w:val="single" w:sz="8" w:color="auto"/>
              <w:bottom w:val="single" w:sz="8" w:color="auto"/>
            </w:tcBorders>
          </w:tcPr>
          <w:p>
            <w:pPr>
              <w:spacing w:after="0"/>
              <w:rPr>
                <w:sz w:val="5"/>
                <w:szCs w:val="5"/>
                <w:color w:val="auto"/>
              </w:rPr>
            </w:pPr>
          </w:p>
        </w:tc>
        <w:tc>
          <w:tcPr>
            <w:tcW w:w="240" w:type="dxa"/>
            <w:vAlign w:val="bottom"/>
            <w:tcBorders>
              <w:top w:val="single" w:sz="8" w:color="auto"/>
              <w:bottom w:val="single" w:sz="8" w:color="auto"/>
            </w:tcBorders>
          </w:tcPr>
          <w:p>
            <w:pPr>
              <w:spacing w:after="0"/>
              <w:rPr>
                <w:sz w:val="5"/>
                <w:szCs w:val="5"/>
                <w:color w:val="auto"/>
              </w:rPr>
            </w:pPr>
          </w:p>
        </w:tc>
        <w:tc>
          <w:tcPr>
            <w:tcW w:w="240" w:type="dxa"/>
            <w:vAlign w:val="bottom"/>
            <w:tcBorders>
              <w:top w:val="single" w:sz="8" w:color="auto"/>
              <w:bottom w:val="single" w:sz="8" w:color="auto"/>
            </w:tcBorders>
          </w:tcPr>
          <w:p>
            <w:pPr>
              <w:spacing w:after="0"/>
              <w:rPr>
                <w:sz w:val="5"/>
                <w:szCs w:val="5"/>
                <w:color w:val="auto"/>
              </w:rPr>
            </w:pPr>
          </w:p>
        </w:tc>
        <w:tc>
          <w:tcPr>
            <w:tcW w:w="560" w:type="dxa"/>
            <w:vAlign w:val="bottom"/>
            <w:tcBorders>
              <w:top w:val="single" w:sz="8" w:color="auto"/>
              <w:bottom w:val="single" w:sz="8" w:color="auto"/>
            </w:tcBorders>
          </w:tcPr>
          <w:p>
            <w:pPr>
              <w:spacing w:after="0"/>
              <w:rPr>
                <w:sz w:val="5"/>
                <w:szCs w:val="5"/>
                <w:color w:val="auto"/>
              </w:rPr>
            </w:pPr>
          </w:p>
        </w:tc>
        <w:tc>
          <w:tcPr>
            <w:tcW w:w="140" w:type="dxa"/>
            <w:vAlign w:val="bottom"/>
            <w:tcBorders>
              <w:top w:val="single" w:sz="8" w:color="auto"/>
              <w:bottom w:val="single" w:sz="8" w:color="auto"/>
            </w:tcBorders>
          </w:tcPr>
          <w:p>
            <w:pPr>
              <w:spacing w:after="0"/>
              <w:rPr>
                <w:sz w:val="5"/>
                <w:szCs w:val="5"/>
                <w:color w:val="auto"/>
              </w:rPr>
            </w:pPr>
          </w:p>
        </w:tc>
        <w:tc>
          <w:tcPr>
            <w:tcW w:w="100" w:type="dxa"/>
            <w:vAlign w:val="bottom"/>
            <w:tcBorders>
              <w:top w:val="single" w:sz="8" w:color="auto"/>
              <w:bottom w:val="single" w:sz="8" w:color="auto"/>
            </w:tcBorders>
          </w:tcPr>
          <w:p>
            <w:pPr>
              <w:spacing w:after="0"/>
              <w:rPr>
                <w:sz w:val="5"/>
                <w:szCs w:val="5"/>
                <w:color w:val="auto"/>
              </w:rPr>
            </w:pPr>
          </w:p>
        </w:tc>
        <w:tc>
          <w:tcPr>
            <w:tcW w:w="180" w:type="dxa"/>
            <w:vAlign w:val="bottom"/>
            <w:tcBorders>
              <w:top w:val="single" w:sz="8" w:color="auto"/>
              <w:bottom w:val="single" w:sz="8" w:color="auto"/>
            </w:tcBorders>
          </w:tcPr>
          <w:p>
            <w:pPr>
              <w:spacing w:after="0"/>
              <w:rPr>
                <w:sz w:val="5"/>
                <w:szCs w:val="5"/>
                <w:color w:val="auto"/>
              </w:rPr>
            </w:pPr>
          </w:p>
        </w:tc>
        <w:tc>
          <w:tcPr>
            <w:tcW w:w="620" w:type="dxa"/>
            <w:vAlign w:val="bottom"/>
            <w:tcBorders>
              <w:top w:val="single" w:sz="8" w:color="auto"/>
              <w:bottom w:val="single" w:sz="8" w:color="auto"/>
            </w:tcBorders>
          </w:tcPr>
          <w:p>
            <w:pPr>
              <w:spacing w:after="0"/>
              <w:rPr>
                <w:sz w:val="5"/>
                <w:szCs w:val="5"/>
                <w:color w:val="auto"/>
              </w:rPr>
            </w:pPr>
          </w:p>
        </w:tc>
        <w:tc>
          <w:tcPr>
            <w:tcW w:w="240" w:type="dxa"/>
            <w:vAlign w:val="bottom"/>
            <w:tcBorders>
              <w:top w:val="single" w:sz="8" w:color="auto"/>
              <w:bottom w:val="single" w:sz="8" w:color="auto"/>
            </w:tcBorders>
          </w:tcPr>
          <w:p>
            <w:pPr>
              <w:spacing w:after="0"/>
              <w:rPr>
                <w:sz w:val="5"/>
                <w:szCs w:val="5"/>
                <w:color w:val="auto"/>
              </w:rPr>
            </w:pPr>
          </w:p>
        </w:tc>
        <w:tc>
          <w:tcPr>
            <w:tcW w:w="240" w:type="dxa"/>
            <w:vAlign w:val="bottom"/>
            <w:tcBorders>
              <w:top w:val="single" w:sz="8" w:color="auto"/>
              <w:bottom w:val="single" w:sz="8" w:color="auto"/>
            </w:tcBorders>
          </w:tcPr>
          <w:p>
            <w:pPr>
              <w:spacing w:after="0"/>
              <w:rPr>
                <w:sz w:val="5"/>
                <w:szCs w:val="5"/>
                <w:color w:val="auto"/>
              </w:rPr>
            </w:pPr>
          </w:p>
        </w:tc>
        <w:tc>
          <w:tcPr>
            <w:tcW w:w="560" w:type="dxa"/>
            <w:vAlign w:val="bottom"/>
            <w:tcBorders>
              <w:top w:val="single" w:sz="8" w:color="auto"/>
              <w:bottom w:val="single" w:sz="8" w:color="auto"/>
            </w:tcBorders>
          </w:tcPr>
          <w:p>
            <w:pPr>
              <w:spacing w:after="0"/>
              <w:rPr>
                <w:sz w:val="5"/>
                <w:szCs w:val="5"/>
                <w:color w:val="auto"/>
              </w:rPr>
            </w:pPr>
          </w:p>
        </w:tc>
        <w:tc>
          <w:tcPr>
            <w:tcW w:w="120" w:type="dxa"/>
            <w:vAlign w:val="bottom"/>
            <w:tcBorders>
              <w:top w:val="single" w:sz="8" w:color="auto"/>
              <w:bottom w:val="single" w:sz="8" w:color="auto"/>
            </w:tcBorders>
          </w:tcPr>
          <w:p>
            <w:pPr>
              <w:spacing w:after="0"/>
              <w:rPr>
                <w:sz w:val="5"/>
                <w:szCs w:val="5"/>
                <w:color w:val="auto"/>
              </w:rPr>
            </w:pPr>
          </w:p>
        </w:tc>
        <w:tc>
          <w:tcPr>
            <w:tcW w:w="80" w:type="dxa"/>
            <w:vAlign w:val="bottom"/>
            <w:tcBorders>
              <w:top w:val="single" w:sz="8" w:color="auto"/>
              <w:bottom w:val="single" w:sz="8" w:color="auto"/>
            </w:tcBorders>
          </w:tcPr>
          <w:p>
            <w:pPr>
              <w:spacing w:after="0"/>
              <w:rPr>
                <w:sz w:val="5"/>
                <w:szCs w:val="5"/>
                <w:color w:val="auto"/>
              </w:rPr>
            </w:pPr>
          </w:p>
        </w:tc>
        <w:tc>
          <w:tcPr>
            <w:tcW w:w="180" w:type="dxa"/>
            <w:vAlign w:val="bottom"/>
            <w:tcBorders>
              <w:top w:val="single" w:sz="8" w:color="auto"/>
              <w:bottom w:val="single" w:sz="8" w:color="auto"/>
            </w:tcBorders>
          </w:tcPr>
          <w:p>
            <w:pPr>
              <w:spacing w:after="0"/>
              <w:rPr>
                <w:sz w:val="5"/>
                <w:szCs w:val="5"/>
                <w:color w:val="auto"/>
              </w:rPr>
            </w:pPr>
          </w:p>
        </w:tc>
        <w:tc>
          <w:tcPr>
            <w:tcW w:w="620" w:type="dxa"/>
            <w:vAlign w:val="bottom"/>
            <w:tcBorders>
              <w:top w:val="single" w:sz="8" w:color="auto"/>
              <w:bottom w:val="single" w:sz="8" w:color="auto"/>
            </w:tcBorders>
          </w:tcPr>
          <w:p>
            <w:pPr>
              <w:spacing w:after="0"/>
              <w:rPr>
                <w:sz w:val="5"/>
                <w:szCs w:val="5"/>
                <w:color w:val="auto"/>
              </w:rPr>
            </w:pPr>
          </w:p>
        </w:tc>
        <w:tc>
          <w:tcPr>
            <w:tcW w:w="120" w:type="dxa"/>
            <w:vAlign w:val="bottom"/>
            <w:tcBorders>
              <w:top w:val="single" w:sz="8" w:color="auto"/>
              <w:bottom w:val="single" w:sz="8" w:color="auto"/>
            </w:tcBorders>
          </w:tcPr>
          <w:p>
            <w:pPr>
              <w:spacing w:after="0"/>
              <w:rPr>
                <w:sz w:val="5"/>
                <w:szCs w:val="5"/>
                <w:color w:val="auto"/>
              </w:rPr>
            </w:pPr>
          </w:p>
        </w:tc>
        <w:tc>
          <w:tcPr>
            <w:tcW w:w="80" w:type="dxa"/>
            <w:vAlign w:val="bottom"/>
            <w:tcBorders>
              <w:top w:val="single" w:sz="8" w:color="auto"/>
              <w:bottom w:val="single" w:sz="8" w:color="auto"/>
            </w:tcBorders>
          </w:tcPr>
          <w:p>
            <w:pPr>
              <w:spacing w:after="0"/>
              <w:rPr>
                <w:sz w:val="5"/>
                <w:szCs w:val="5"/>
                <w:color w:val="auto"/>
              </w:rPr>
            </w:pPr>
          </w:p>
        </w:tc>
        <w:tc>
          <w:tcPr>
            <w:tcW w:w="260" w:type="dxa"/>
            <w:vAlign w:val="bottom"/>
            <w:tcBorders>
              <w:top w:val="single" w:sz="8" w:color="auto"/>
              <w:bottom w:val="single" w:sz="8" w:color="auto"/>
            </w:tcBorders>
          </w:tcPr>
          <w:p>
            <w:pPr>
              <w:spacing w:after="0"/>
              <w:rPr>
                <w:sz w:val="5"/>
                <w:szCs w:val="5"/>
                <w:color w:val="auto"/>
              </w:rPr>
            </w:pPr>
          </w:p>
        </w:tc>
        <w:tc>
          <w:tcPr>
            <w:tcW w:w="540" w:type="dxa"/>
            <w:vAlign w:val="bottom"/>
            <w:tcBorders>
              <w:top w:val="single" w:sz="8" w:color="auto"/>
              <w:bottom w:val="single" w:sz="8" w:color="auto"/>
            </w:tcBorders>
          </w:tcPr>
          <w:p>
            <w:pPr>
              <w:spacing w:after="0"/>
              <w:rPr>
                <w:sz w:val="5"/>
                <w:szCs w:val="5"/>
                <w:color w:val="auto"/>
              </w:rPr>
            </w:pPr>
          </w:p>
        </w:tc>
        <w:tc>
          <w:tcPr>
            <w:tcW w:w="120" w:type="dxa"/>
            <w:vAlign w:val="bottom"/>
            <w:tcBorders>
              <w:top w:val="single" w:sz="8" w:color="auto"/>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83"/>
        </w:trPr>
        <w:tc>
          <w:tcPr>
            <w:tcW w:w="4120" w:type="dxa"/>
            <w:vAlign w:val="bottom"/>
            <w:tcBorders>
              <w:left w:val="single" w:sz="8" w:color="auto"/>
            </w:tcBorders>
          </w:tcPr>
          <w:p>
            <w:pPr>
              <w:ind w:left="80"/>
              <w:spacing w:after="0"/>
              <w:rPr>
                <w:sz w:val="20"/>
                <w:szCs w:val="20"/>
                <w:color w:val="auto"/>
              </w:rPr>
            </w:pPr>
            <w:r>
              <w:rPr>
                <w:rFonts w:ascii="Arial" w:cs="Arial" w:eastAsia="Arial" w:hAnsi="Arial"/>
                <w:sz w:val="13"/>
                <w:szCs w:val="13"/>
                <w:b w:val="1"/>
                <w:bCs w:val="1"/>
                <w:color w:val="auto"/>
              </w:rPr>
              <w:t>Excluding Selected Items Impacting Comparability</w:t>
            </w:r>
          </w:p>
        </w:tc>
        <w:tc>
          <w:tcPr>
            <w:tcW w:w="2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4120" w:type="dxa"/>
            <w:vAlign w:val="bottom"/>
            <w:tcBorders>
              <w:left w:val="single" w:sz="8" w:color="auto"/>
            </w:tcBorders>
            <w:shd w:val="clear" w:color="auto" w:fill="CCEEFF"/>
          </w:tcPr>
          <w:p>
            <w:pPr>
              <w:ind w:left="80"/>
              <w:spacing w:after="0" w:line="135" w:lineRule="exact"/>
              <w:rPr>
                <w:sz w:val="20"/>
                <w:szCs w:val="20"/>
                <w:color w:val="auto"/>
              </w:rPr>
            </w:pPr>
            <w:r>
              <w:rPr>
                <w:rFonts w:ascii="Arial" w:cs="Arial" w:eastAsia="Arial" w:hAnsi="Arial"/>
                <w:sz w:val="13"/>
                <w:szCs w:val="13"/>
                <w:color w:val="auto"/>
              </w:rPr>
              <w:t>Adjusted Segment Profit</w:t>
            </w:r>
          </w:p>
        </w:tc>
        <w:tc>
          <w:tcPr>
            <w:tcW w:w="2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20" w:type="dxa"/>
            <w:vAlign w:val="bottom"/>
            <w:tcBorders>
              <w:right w:val="single" w:sz="8" w:color="auto"/>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120" w:type="dxa"/>
            <w:vAlign w:val="bottom"/>
            <w:tcBorders>
              <w:left w:val="single" w:sz="8" w:color="auto"/>
            </w:tcBorders>
          </w:tcPr>
          <w:p>
            <w:pPr>
              <w:ind w:left="260"/>
              <w:spacing w:after="0" w:line="135" w:lineRule="exact"/>
              <w:rPr>
                <w:sz w:val="20"/>
                <w:szCs w:val="20"/>
                <w:color w:val="auto"/>
              </w:rPr>
            </w:pPr>
            <w:r>
              <w:rPr>
                <w:rFonts w:ascii="Arial" w:cs="Arial" w:eastAsia="Arial" w:hAnsi="Arial"/>
                <w:sz w:val="13"/>
                <w:szCs w:val="13"/>
                <w:color w:val="auto"/>
              </w:rPr>
              <w:t>Transportation</w:t>
            </w:r>
          </w:p>
        </w:tc>
        <w:tc>
          <w:tcPr>
            <w:tcW w:w="30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w:t>
            </w:r>
          </w:p>
        </w:tc>
        <w:tc>
          <w:tcPr>
            <w:tcW w:w="88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443</w:t>
            </w:r>
          </w:p>
        </w:tc>
        <w:tc>
          <w:tcPr>
            <w:tcW w:w="280" w:type="dxa"/>
            <w:vAlign w:val="bottom"/>
            <w:gridSpan w:val="2"/>
          </w:tcPr>
          <w:p>
            <w:pPr>
              <w:jc w:val="right"/>
              <w:ind w:right="73"/>
              <w:spacing w:after="0" w:line="135" w:lineRule="exact"/>
              <w:rPr>
                <w:sz w:val="20"/>
                <w:szCs w:val="20"/>
                <w:color w:val="auto"/>
              </w:rPr>
            </w:pPr>
            <w:r>
              <w:rPr>
                <w:rFonts w:ascii="Arial" w:cs="Arial" w:eastAsia="Arial" w:hAnsi="Arial"/>
                <w:sz w:val="13"/>
                <w:szCs w:val="13"/>
                <w:color w:val="auto"/>
              </w:rPr>
              <w:t>$</w:t>
            </w:r>
          </w:p>
        </w:tc>
        <w:tc>
          <w:tcPr>
            <w:tcW w:w="86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225</w:t>
            </w:r>
          </w:p>
        </w:tc>
        <w:tc>
          <w:tcPr>
            <w:tcW w:w="240" w:type="dxa"/>
            <w:vAlign w:val="bottom"/>
          </w:tcPr>
          <w:p>
            <w:pPr>
              <w:jc w:val="right"/>
              <w:ind w:right="133"/>
              <w:spacing w:after="0"/>
              <w:rPr>
                <w:sz w:val="20"/>
                <w:szCs w:val="20"/>
                <w:color w:val="auto"/>
              </w:rPr>
            </w:pPr>
            <w:r>
              <w:rPr>
                <w:rFonts w:ascii="Arial" w:cs="Arial" w:eastAsia="Arial" w:hAnsi="Arial"/>
                <w:sz w:val="9"/>
                <w:szCs w:val="9"/>
                <w:color w:val="auto"/>
                <w:w w:val="78"/>
              </w:rPr>
              <w:t>$</w:t>
            </w:r>
          </w:p>
        </w:tc>
        <w:tc>
          <w:tcPr>
            <w:tcW w:w="70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235</w:t>
            </w:r>
          </w:p>
        </w:tc>
        <w:tc>
          <w:tcPr>
            <w:tcW w:w="280" w:type="dxa"/>
            <w:vAlign w:val="bottom"/>
            <w:gridSpan w:val="2"/>
          </w:tcPr>
          <w:p>
            <w:pPr>
              <w:jc w:val="right"/>
              <w:ind w:right="73"/>
              <w:spacing w:after="0" w:line="135" w:lineRule="exact"/>
              <w:rPr>
                <w:sz w:val="20"/>
                <w:szCs w:val="20"/>
                <w:color w:val="auto"/>
              </w:rPr>
            </w:pPr>
            <w:r>
              <w:rPr>
                <w:rFonts w:ascii="Arial" w:cs="Arial" w:eastAsia="Arial" w:hAnsi="Arial"/>
                <w:sz w:val="13"/>
                <w:szCs w:val="13"/>
                <w:color w:val="auto"/>
              </w:rPr>
              <w:t>$</w:t>
            </w:r>
          </w:p>
        </w:tc>
        <w:tc>
          <w:tcPr>
            <w:tcW w:w="86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261</w:t>
            </w:r>
          </w:p>
        </w:tc>
        <w:tc>
          <w:tcPr>
            <w:tcW w:w="240" w:type="dxa"/>
            <w:vAlign w:val="bottom"/>
          </w:tcPr>
          <w:p>
            <w:pPr>
              <w:jc w:val="right"/>
              <w:ind w:right="133"/>
              <w:spacing w:after="0"/>
              <w:rPr>
                <w:sz w:val="20"/>
                <w:szCs w:val="20"/>
                <w:color w:val="auto"/>
              </w:rPr>
            </w:pPr>
            <w:r>
              <w:rPr>
                <w:rFonts w:ascii="Arial" w:cs="Arial" w:eastAsia="Arial" w:hAnsi="Arial"/>
                <w:sz w:val="9"/>
                <w:szCs w:val="9"/>
                <w:color w:val="auto"/>
                <w:w w:val="78"/>
              </w:rPr>
              <w:t>$</w:t>
            </w:r>
          </w:p>
        </w:tc>
        <w:tc>
          <w:tcPr>
            <w:tcW w:w="68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271</w:t>
            </w:r>
          </w:p>
        </w:tc>
        <w:tc>
          <w:tcPr>
            <w:tcW w:w="260" w:type="dxa"/>
            <w:vAlign w:val="bottom"/>
            <w:gridSpan w:val="2"/>
          </w:tcPr>
          <w:p>
            <w:pPr>
              <w:jc w:val="right"/>
              <w:ind w:right="37"/>
              <w:spacing w:after="0" w:line="135" w:lineRule="exact"/>
              <w:rPr>
                <w:sz w:val="20"/>
                <w:szCs w:val="20"/>
                <w:color w:val="auto"/>
              </w:rPr>
            </w:pPr>
            <w:r>
              <w:rPr>
                <w:rFonts w:ascii="Arial" w:cs="Arial" w:eastAsia="Arial" w:hAnsi="Arial"/>
                <w:sz w:val="13"/>
                <w:szCs w:val="13"/>
                <w:color w:val="auto"/>
              </w:rPr>
              <w:t>$</w:t>
            </w:r>
          </w:p>
        </w:tc>
        <w:tc>
          <w:tcPr>
            <w:tcW w:w="74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929</w:t>
            </w:r>
          </w:p>
        </w:tc>
        <w:tc>
          <w:tcPr>
            <w:tcW w:w="340" w:type="dxa"/>
            <w:vAlign w:val="bottom"/>
            <w:gridSpan w:val="2"/>
          </w:tcPr>
          <w:p>
            <w:pPr>
              <w:jc w:val="right"/>
              <w:ind w:right="117"/>
              <w:spacing w:after="0" w:line="135" w:lineRule="exact"/>
              <w:rPr>
                <w:sz w:val="20"/>
                <w:szCs w:val="20"/>
                <w:color w:val="auto"/>
              </w:rPr>
            </w:pPr>
            <w:r>
              <w:rPr>
                <w:rFonts w:ascii="Arial" w:cs="Arial" w:eastAsia="Arial" w:hAnsi="Arial"/>
                <w:sz w:val="13"/>
                <w:szCs w:val="13"/>
                <w:color w:val="auto"/>
              </w:rPr>
              <w:t>$</w:t>
            </w:r>
          </w:p>
        </w:tc>
        <w:tc>
          <w:tcPr>
            <w:tcW w:w="660" w:type="dxa"/>
            <w:vAlign w:val="bottom"/>
            <w:tcBorders>
              <w:right w:val="single" w:sz="8" w:color="auto"/>
            </w:tcBorders>
            <w:gridSpan w:val="2"/>
          </w:tcPr>
          <w:p>
            <w:pPr>
              <w:jc w:val="right"/>
              <w:ind w:right="120"/>
              <w:spacing w:after="0" w:line="135" w:lineRule="exact"/>
              <w:rPr>
                <w:sz w:val="20"/>
                <w:szCs w:val="20"/>
                <w:color w:val="auto"/>
              </w:rPr>
            </w:pPr>
            <w:r>
              <w:rPr>
                <w:rFonts w:ascii="Arial" w:cs="Arial" w:eastAsia="Arial" w:hAnsi="Arial"/>
                <w:sz w:val="13"/>
                <w:szCs w:val="13"/>
                <w:color w:val="auto"/>
              </w:rPr>
              <w:t>949</w:t>
            </w:r>
          </w:p>
        </w:tc>
        <w:tc>
          <w:tcPr>
            <w:tcW w:w="0" w:type="dxa"/>
            <w:vAlign w:val="bottom"/>
          </w:tcPr>
          <w:p>
            <w:pPr>
              <w:spacing w:after="0"/>
              <w:rPr>
                <w:sz w:val="1"/>
                <w:szCs w:val="1"/>
                <w:color w:val="auto"/>
              </w:rPr>
            </w:pPr>
          </w:p>
        </w:tc>
      </w:tr>
      <w:tr>
        <w:trPr>
          <w:trHeight w:val="135"/>
        </w:trPr>
        <w:tc>
          <w:tcPr>
            <w:tcW w:w="4120" w:type="dxa"/>
            <w:vAlign w:val="bottom"/>
            <w:tcBorders>
              <w:left w:val="single" w:sz="8" w:color="auto"/>
            </w:tcBorders>
            <w:shd w:val="clear" w:color="auto" w:fill="CCEEFF"/>
          </w:tcPr>
          <w:p>
            <w:pPr>
              <w:ind w:left="260"/>
              <w:spacing w:after="0" w:line="135" w:lineRule="exact"/>
              <w:rPr>
                <w:sz w:val="20"/>
                <w:szCs w:val="20"/>
                <w:color w:val="auto"/>
              </w:rPr>
            </w:pPr>
            <w:r>
              <w:rPr>
                <w:rFonts w:ascii="Arial" w:cs="Arial" w:eastAsia="Arial" w:hAnsi="Arial"/>
                <w:sz w:val="13"/>
                <w:szCs w:val="13"/>
                <w:color w:val="auto"/>
              </w:rPr>
              <w:t>Facilities</w:t>
            </w:r>
          </w:p>
        </w:tc>
        <w:tc>
          <w:tcPr>
            <w:tcW w:w="2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8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297</w:t>
            </w: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6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rPr>
              <w:t>130</w:t>
            </w:r>
          </w:p>
        </w:tc>
        <w:tc>
          <w:tcPr>
            <w:tcW w:w="24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140</w:t>
            </w: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6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rPr>
              <w:t>146</w:t>
            </w:r>
          </w:p>
        </w:tc>
        <w:tc>
          <w:tcPr>
            <w:tcW w:w="24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156</w:t>
            </w: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573</w:t>
            </w:r>
          </w:p>
        </w:tc>
        <w:tc>
          <w:tcPr>
            <w:tcW w:w="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60" w:type="dxa"/>
            <w:vAlign w:val="bottom"/>
            <w:tcBorders>
              <w:right w:val="single" w:sz="8" w:color="auto"/>
            </w:tcBorders>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593</w:t>
            </w:r>
          </w:p>
        </w:tc>
        <w:tc>
          <w:tcPr>
            <w:tcW w:w="0" w:type="dxa"/>
            <w:vAlign w:val="bottom"/>
          </w:tcPr>
          <w:p>
            <w:pPr>
              <w:spacing w:after="0"/>
              <w:rPr>
                <w:sz w:val="1"/>
                <w:szCs w:val="1"/>
                <w:color w:val="auto"/>
              </w:rPr>
            </w:pPr>
          </w:p>
        </w:tc>
      </w:tr>
      <w:tr>
        <w:trPr>
          <w:trHeight w:val="135"/>
        </w:trPr>
        <w:tc>
          <w:tcPr>
            <w:tcW w:w="4120" w:type="dxa"/>
            <w:vAlign w:val="bottom"/>
            <w:tcBorders>
              <w:left w:val="single" w:sz="8" w:color="auto"/>
            </w:tcBorders>
          </w:tcPr>
          <w:p>
            <w:pPr>
              <w:ind w:left="260"/>
              <w:spacing w:after="0" w:line="135" w:lineRule="exact"/>
              <w:rPr>
                <w:sz w:val="20"/>
                <w:szCs w:val="20"/>
                <w:color w:val="auto"/>
              </w:rPr>
            </w:pPr>
            <w:r>
              <w:rPr>
                <w:rFonts w:ascii="Arial" w:cs="Arial" w:eastAsia="Arial" w:hAnsi="Arial"/>
                <w:sz w:val="13"/>
                <w:szCs w:val="13"/>
                <w:color w:val="auto"/>
              </w:rPr>
              <w:t>Supply and Logistics</w:t>
            </w: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8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338</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6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100</w:t>
            </w:r>
          </w:p>
        </w:tc>
        <w:tc>
          <w:tcPr>
            <w:tcW w:w="240" w:type="dxa"/>
            <w:vAlign w:val="bottom"/>
          </w:tcPr>
          <w:p>
            <w:pPr>
              <w:spacing w:after="0"/>
              <w:rPr>
                <w:sz w:val="11"/>
                <w:szCs w:val="11"/>
                <w:color w:val="auto"/>
              </w:rPr>
            </w:pPr>
          </w:p>
        </w:tc>
        <w:tc>
          <w:tcPr>
            <w:tcW w:w="70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130</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6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184</w:t>
            </w:r>
          </w:p>
        </w:tc>
        <w:tc>
          <w:tcPr>
            <w:tcW w:w="240" w:type="dxa"/>
            <w:vAlign w:val="bottom"/>
          </w:tcPr>
          <w:p>
            <w:pPr>
              <w:spacing w:after="0"/>
              <w:rPr>
                <w:sz w:val="11"/>
                <w:szCs w:val="11"/>
                <w:color w:val="auto"/>
              </w:rPr>
            </w:pPr>
          </w:p>
        </w:tc>
        <w:tc>
          <w:tcPr>
            <w:tcW w:w="68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214</w:t>
            </w: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622</w:t>
            </w: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Borders>
              <w:right w:val="single" w:sz="8" w:color="auto"/>
            </w:tcBorders>
            <w:gridSpan w:val="2"/>
          </w:tcPr>
          <w:p>
            <w:pPr>
              <w:jc w:val="right"/>
              <w:ind w:right="120"/>
              <w:spacing w:after="0" w:line="135" w:lineRule="exact"/>
              <w:rPr>
                <w:sz w:val="20"/>
                <w:szCs w:val="20"/>
                <w:color w:val="auto"/>
              </w:rPr>
            </w:pPr>
            <w:r>
              <w:rPr>
                <w:rFonts w:ascii="Arial" w:cs="Arial" w:eastAsia="Arial" w:hAnsi="Arial"/>
                <w:sz w:val="13"/>
                <w:szCs w:val="13"/>
                <w:color w:val="auto"/>
              </w:rPr>
              <w:t>682</w:t>
            </w:r>
          </w:p>
        </w:tc>
        <w:tc>
          <w:tcPr>
            <w:tcW w:w="0" w:type="dxa"/>
            <w:vAlign w:val="bottom"/>
          </w:tcPr>
          <w:p>
            <w:pPr>
              <w:spacing w:after="0"/>
              <w:rPr>
                <w:sz w:val="1"/>
                <w:szCs w:val="1"/>
                <w:color w:val="auto"/>
              </w:rPr>
            </w:pPr>
          </w:p>
        </w:tc>
      </w:tr>
      <w:tr>
        <w:trPr>
          <w:trHeight w:val="135"/>
        </w:trPr>
        <w:tc>
          <w:tcPr>
            <w:tcW w:w="4120" w:type="dxa"/>
            <w:vAlign w:val="bottom"/>
            <w:tcBorders>
              <w:left w:val="single" w:sz="8" w:color="auto"/>
            </w:tcBorders>
            <w:shd w:val="clear" w:color="auto" w:fill="CCEEFF"/>
          </w:tcPr>
          <w:p>
            <w:pPr>
              <w:ind w:left="260"/>
              <w:spacing w:after="0" w:line="135" w:lineRule="exact"/>
              <w:rPr>
                <w:sz w:val="20"/>
                <w:szCs w:val="20"/>
                <w:color w:val="auto"/>
              </w:rPr>
            </w:pPr>
            <w:r>
              <w:rPr>
                <w:rFonts w:ascii="Arial" w:cs="Arial" w:eastAsia="Arial" w:hAnsi="Arial"/>
                <w:sz w:val="13"/>
                <w:szCs w:val="13"/>
                <w:color w:val="auto"/>
              </w:rPr>
              <w:t>Other income, net</w:t>
            </w:r>
          </w:p>
        </w:tc>
        <w:tc>
          <w:tcPr>
            <w:tcW w:w="2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8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1</w:t>
            </w: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6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6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1</w:t>
            </w:r>
          </w:p>
        </w:tc>
        <w:tc>
          <w:tcPr>
            <w:tcW w:w="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60" w:type="dxa"/>
            <w:vAlign w:val="bottom"/>
            <w:tcBorders>
              <w:right w:val="single" w:sz="8" w:color="auto"/>
            </w:tcBorders>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1</w:t>
            </w:r>
          </w:p>
        </w:tc>
        <w:tc>
          <w:tcPr>
            <w:tcW w:w="0" w:type="dxa"/>
            <w:vAlign w:val="bottom"/>
          </w:tcPr>
          <w:p>
            <w:pPr>
              <w:spacing w:after="0"/>
              <w:rPr>
                <w:sz w:val="1"/>
                <w:szCs w:val="1"/>
                <w:color w:val="auto"/>
              </w:rPr>
            </w:pPr>
          </w:p>
        </w:tc>
      </w:tr>
      <w:tr>
        <w:trPr>
          <w:trHeight w:val="169"/>
        </w:trPr>
        <w:tc>
          <w:tcPr>
            <w:tcW w:w="4120" w:type="dxa"/>
            <w:vAlign w:val="bottom"/>
            <w:tcBorders>
              <w:left w:val="single" w:sz="8" w:color="auto"/>
              <w:bottom w:val="single" w:sz="8" w:color="CCEEFF"/>
            </w:tcBorders>
          </w:tcPr>
          <w:p>
            <w:pPr>
              <w:ind w:left="80"/>
              <w:spacing w:after="0" w:line="129" w:lineRule="exact"/>
              <w:rPr>
                <w:sz w:val="20"/>
                <w:szCs w:val="20"/>
                <w:color w:val="auto"/>
              </w:rPr>
            </w:pPr>
            <w:r>
              <w:rPr>
                <w:rFonts w:ascii="Arial" w:cs="Arial" w:eastAsia="Arial" w:hAnsi="Arial"/>
                <w:sz w:val="13"/>
                <w:szCs w:val="13"/>
                <w:color w:val="auto"/>
              </w:rPr>
              <w:t>Adjusted EBITDA</w:t>
            </w:r>
          </w:p>
        </w:tc>
        <w:tc>
          <w:tcPr>
            <w:tcW w:w="240" w:type="dxa"/>
            <w:vAlign w:val="bottom"/>
            <w:tcBorders>
              <w:bottom w:val="single" w:sz="8" w:color="CCEEFF"/>
            </w:tcBorders>
          </w:tcPr>
          <w:p>
            <w:pPr>
              <w:spacing w:after="0"/>
              <w:rPr>
                <w:sz w:val="14"/>
                <w:szCs w:val="14"/>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9"/>
                <w:szCs w:val="9"/>
                <w:color w:val="auto"/>
                <w:w w:val="78"/>
              </w:rPr>
              <w:t>$</w:t>
            </w:r>
          </w:p>
        </w:tc>
        <w:tc>
          <w:tcPr>
            <w:tcW w:w="74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1,079</w:t>
            </w:r>
          </w:p>
        </w:tc>
        <w:tc>
          <w:tcPr>
            <w:tcW w:w="14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80" w:type="dxa"/>
            <w:vAlign w:val="bottom"/>
            <w:tcBorders>
              <w:top w:val="single" w:sz="8" w:color="auto"/>
              <w:bottom w:val="single" w:sz="8" w:color="auto"/>
            </w:tcBorders>
          </w:tcPr>
          <w:p>
            <w:pPr>
              <w:jc w:val="right"/>
              <w:ind w:right="73"/>
              <w:spacing w:after="0"/>
              <w:rPr>
                <w:sz w:val="20"/>
                <w:szCs w:val="20"/>
                <w:color w:val="auto"/>
              </w:rPr>
            </w:pPr>
            <w:r>
              <w:rPr>
                <w:rFonts w:ascii="Arial" w:cs="Arial" w:eastAsia="Arial" w:hAnsi="Arial"/>
                <w:sz w:val="9"/>
                <w:szCs w:val="9"/>
                <w:color w:val="auto"/>
                <w:w w:val="78"/>
              </w:rPr>
              <w:t>$</w:t>
            </w:r>
          </w:p>
        </w:tc>
        <w:tc>
          <w:tcPr>
            <w:tcW w:w="62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455</w:t>
            </w:r>
          </w:p>
        </w:tc>
        <w:tc>
          <w:tcPr>
            <w:tcW w:w="240" w:type="dxa"/>
            <w:vAlign w:val="bottom"/>
            <w:tcBorders>
              <w:bottom w:val="single" w:sz="8" w:color="CCEEFF"/>
            </w:tcBorders>
          </w:tcPr>
          <w:p>
            <w:pPr>
              <w:spacing w:after="0"/>
              <w:rPr>
                <w:sz w:val="14"/>
                <w:szCs w:val="14"/>
                <w:color w:val="auto"/>
              </w:rPr>
            </w:pPr>
          </w:p>
        </w:tc>
        <w:tc>
          <w:tcPr>
            <w:tcW w:w="240" w:type="dxa"/>
            <w:vAlign w:val="bottom"/>
            <w:tcBorders>
              <w:top w:val="single" w:sz="8" w:color="auto"/>
              <w:bottom w:val="single" w:sz="8" w:color="auto"/>
            </w:tcBorders>
          </w:tcPr>
          <w:p>
            <w:pPr>
              <w:jc w:val="right"/>
              <w:ind w:right="133"/>
              <w:spacing w:after="0"/>
              <w:rPr>
                <w:sz w:val="20"/>
                <w:szCs w:val="20"/>
                <w:color w:val="auto"/>
              </w:rPr>
            </w:pPr>
            <w:r>
              <w:rPr>
                <w:rFonts w:ascii="Arial" w:cs="Arial" w:eastAsia="Arial" w:hAnsi="Arial"/>
                <w:sz w:val="9"/>
                <w:szCs w:val="9"/>
                <w:color w:val="auto"/>
                <w:w w:val="78"/>
              </w:rPr>
              <w:t>$</w:t>
            </w:r>
          </w:p>
        </w:tc>
        <w:tc>
          <w:tcPr>
            <w:tcW w:w="56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505</w:t>
            </w:r>
          </w:p>
        </w:tc>
        <w:tc>
          <w:tcPr>
            <w:tcW w:w="14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80" w:type="dxa"/>
            <w:vAlign w:val="bottom"/>
            <w:tcBorders>
              <w:top w:val="single" w:sz="8" w:color="auto"/>
              <w:bottom w:val="single" w:sz="8" w:color="auto"/>
            </w:tcBorders>
          </w:tcPr>
          <w:p>
            <w:pPr>
              <w:jc w:val="right"/>
              <w:ind w:right="73"/>
              <w:spacing w:after="0"/>
              <w:rPr>
                <w:sz w:val="20"/>
                <w:szCs w:val="20"/>
                <w:color w:val="auto"/>
              </w:rPr>
            </w:pPr>
            <w:r>
              <w:rPr>
                <w:rFonts w:ascii="Arial" w:cs="Arial" w:eastAsia="Arial" w:hAnsi="Arial"/>
                <w:sz w:val="9"/>
                <w:szCs w:val="9"/>
                <w:color w:val="auto"/>
                <w:w w:val="78"/>
              </w:rPr>
              <w:t>$</w:t>
            </w:r>
          </w:p>
        </w:tc>
        <w:tc>
          <w:tcPr>
            <w:tcW w:w="62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591</w:t>
            </w:r>
          </w:p>
        </w:tc>
        <w:tc>
          <w:tcPr>
            <w:tcW w:w="240" w:type="dxa"/>
            <w:vAlign w:val="bottom"/>
            <w:tcBorders>
              <w:bottom w:val="single" w:sz="8" w:color="CCEEFF"/>
            </w:tcBorders>
          </w:tcPr>
          <w:p>
            <w:pPr>
              <w:spacing w:after="0"/>
              <w:rPr>
                <w:sz w:val="14"/>
                <w:szCs w:val="14"/>
                <w:color w:val="auto"/>
              </w:rPr>
            </w:pPr>
          </w:p>
        </w:tc>
        <w:tc>
          <w:tcPr>
            <w:tcW w:w="240" w:type="dxa"/>
            <w:vAlign w:val="bottom"/>
            <w:tcBorders>
              <w:top w:val="single" w:sz="8" w:color="auto"/>
              <w:bottom w:val="single" w:sz="8" w:color="auto"/>
            </w:tcBorders>
          </w:tcPr>
          <w:p>
            <w:pPr>
              <w:jc w:val="right"/>
              <w:ind w:right="133"/>
              <w:spacing w:after="0"/>
              <w:rPr>
                <w:sz w:val="20"/>
                <w:szCs w:val="20"/>
                <w:color w:val="auto"/>
              </w:rPr>
            </w:pPr>
            <w:r>
              <w:rPr>
                <w:rFonts w:ascii="Arial" w:cs="Arial" w:eastAsia="Arial" w:hAnsi="Arial"/>
                <w:sz w:val="9"/>
                <w:szCs w:val="9"/>
                <w:color w:val="auto"/>
                <w:w w:val="78"/>
              </w:rPr>
              <w:t>$</w:t>
            </w:r>
          </w:p>
        </w:tc>
        <w:tc>
          <w:tcPr>
            <w:tcW w:w="56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641</w:t>
            </w:r>
          </w:p>
        </w:tc>
        <w:tc>
          <w:tcPr>
            <w:tcW w:w="12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180" w:type="dxa"/>
            <w:vAlign w:val="bottom"/>
            <w:tcBorders>
              <w:top w:val="single" w:sz="8" w:color="auto"/>
              <w:bottom w:val="single" w:sz="8" w:color="auto"/>
            </w:tcBorders>
          </w:tcPr>
          <w:p>
            <w:pPr>
              <w:jc w:val="right"/>
              <w:ind w:right="37"/>
              <w:spacing w:after="0" w:line="129" w:lineRule="exact"/>
              <w:rPr>
                <w:sz w:val="20"/>
                <w:szCs w:val="20"/>
                <w:color w:val="auto"/>
              </w:rPr>
            </w:pPr>
            <w:r>
              <w:rPr>
                <w:rFonts w:ascii="Arial" w:cs="Arial" w:eastAsia="Arial" w:hAnsi="Arial"/>
                <w:sz w:val="13"/>
                <w:szCs w:val="13"/>
                <w:color w:val="auto"/>
                <w:w w:val="82"/>
              </w:rPr>
              <w:t>$</w:t>
            </w:r>
          </w:p>
        </w:tc>
        <w:tc>
          <w:tcPr>
            <w:tcW w:w="62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2,125</w:t>
            </w:r>
          </w:p>
        </w:tc>
        <w:tc>
          <w:tcPr>
            <w:tcW w:w="12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260" w:type="dxa"/>
            <w:vAlign w:val="bottom"/>
            <w:tcBorders>
              <w:top w:val="single" w:sz="8" w:color="auto"/>
              <w:bottom w:val="single" w:sz="8" w:color="auto"/>
            </w:tcBorders>
          </w:tcPr>
          <w:p>
            <w:pPr>
              <w:jc w:val="right"/>
              <w:ind w:right="117"/>
              <w:spacing w:after="0" w:line="129" w:lineRule="exact"/>
              <w:rPr>
                <w:sz w:val="20"/>
                <w:szCs w:val="20"/>
                <w:color w:val="auto"/>
              </w:rPr>
            </w:pPr>
            <w:r>
              <w:rPr>
                <w:rFonts w:ascii="Arial" w:cs="Arial" w:eastAsia="Arial" w:hAnsi="Arial"/>
                <w:sz w:val="13"/>
                <w:szCs w:val="13"/>
                <w:color w:val="auto"/>
                <w:w w:val="82"/>
              </w:rPr>
              <w:t>$</w:t>
            </w:r>
          </w:p>
        </w:tc>
        <w:tc>
          <w:tcPr>
            <w:tcW w:w="54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2,225</w:t>
            </w:r>
          </w:p>
        </w:tc>
        <w:tc>
          <w:tcPr>
            <w:tcW w:w="120" w:type="dxa"/>
            <w:vAlign w:val="bottom"/>
            <w:tcBorders>
              <w:bottom w:val="single" w:sz="8" w:color="CCEEFF"/>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6"/>
        </w:trPr>
        <w:tc>
          <w:tcPr>
            <w:tcW w:w="4120" w:type="dxa"/>
            <w:vAlign w:val="bottom"/>
            <w:tcBorders>
              <w:left w:val="single" w:sz="8" w:color="auto"/>
              <w:bottom w:val="single" w:sz="8" w:color="CCEEFF"/>
            </w:tcBorders>
            <w:shd w:val="clear" w:color="auto" w:fill="CCEEFF"/>
          </w:tcPr>
          <w:p>
            <w:pPr>
              <w:ind w:left="80"/>
              <w:spacing w:after="0" w:line="116" w:lineRule="exact"/>
              <w:rPr>
                <w:sz w:val="20"/>
                <w:szCs w:val="20"/>
                <w:color w:val="auto"/>
              </w:rPr>
            </w:pPr>
            <w:r>
              <w:rPr>
                <w:rFonts w:ascii="Arial" w:cs="Arial" w:eastAsia="Arial" w:hAnsi="Arial"/>
                <w:sz w:val="13"/>
                <w:szCs w:val="13"/>
                <w:color w:val="auto"/>
              </w:rPr>
              <w:t>Adjusted Net Income Attributable to PAA</w:t>
            </w:r>
          </w:p>
        </w:tc>
        <w:tc>
          <w:tcPr>
            <w:tcW w:w="240" w:type="dxa"/>
            <w:vAlign w:val="bottom"/>
            <w:tcBorders>
              <w:bottom w:val="single" w:sz="8" w:color="CCEEFF"/>
            </w:tcBorders>
            <w:shd w:val="clear" w:color="auto" w:fill="CCEEFF"/>
          </w:tcPr>
          <w:p>
            <w:pPr>
              <w:spacing w:after="0"/>
              <w:rPr>
                <w:sz w:val="10"/>
                <w:szCs w:val="10"/>
                <w:color w:val="auto"/>
              </w:rPr>
            </w:pPr>
          </w:p>
        </w:tc>
        <w:tc>
          <w:tcPr>
            <w:tcW w:w="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740" w:type="dxa"/>
            <w:vAlign w:val="bottom"/>
            <w:tcBorders>
              <w:bottom w:val="single" w:sz="8" w:color="auto"/>
            </w:tcBorders>
            <w:shd w:val="clear" w:color="auto" w:fill="CCEEFF"/>
          </w:tcPr>
          <w:p>
            <w:pPr>
              <w:jc w:val="right"/>
              <w:spacing w:after="0" w:line="116" w:lineRule="exact"/>
              <w:rPr>
                <w:sz w:val="20"/>
                <w:szCs w:val="20"/>
                <w:color w:val="auto"/>
              </w:rPr>
            </w:pPr>
            <w:r>
              <w:rPr>
                <w:rFonts w:ascii="Arial" w:cs="Arial" w:eastAsia="Arial" w:hAnsi="Arial"/>
                <w:sz w:val="13"/>
                <w:szCs w:val="13"/>
                <w:color w:val="auto"/>
              </w:rPr>
              <w:t>660</w:t>
            </w:r>
          </w:p>
        </w:tc>
        <w:tc>
          <w:tcPr>
            <w:tcW w:w="140" w:type="dxa"/>
            <w:vAlign w:val="bottom"/>
            <w:tcBorders>
              <w:bottom w:val="single" w:sz="8" w:color="CCEEFF"/>
            </w:tcBorders>
            <w:shd w:val="clear" w:color="auto" w:fill="CCEEFF"/>
          </w:tcPr>
          <w:p>
            <w:pPr>
              <w:spacing w:after="0"/>
              <w:rPr>
                <w:sz w:val="10"/>
                <w:szCs w:val="10"/>
                <w:color w:val="auto"/>
              </w:rPr>
            </w:pPr>
          </w:p>
        </w:tc>
        <w:tc>
          <w:tcPr>
            <w:tcW w:w="100" w:type="dxa"/>
            <w:vAlign w:val="bottom"/>
            <w:tcBorders>
              <w:bottom w:val="single" w:sz="8" w:color="CCEEFF"/>
            </w:tcBorders>
            <w:shd w:val="clear" w:color="auto" w:fill="CCEEFF"/>
          </w:tcPr>
          <w:p>
            <w:pPr>
              <w:spacing w:after="0"/>
              <w:rPr>
                <w:sz w:val="10"/>
                <w:szCs w:val="10"/>
                <w:color w:val="auto"/>
              </w:rPr>
            </w:pPr>
          </w:p>
        </w:tc>
        <w:tc>
          <w:tcPr>
            <w:tcW w:w="18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9"/>
                <w:szCs w:val="9"/>
                <w:color w:val="auto"/>
                <w:w w:val="78"/>
              </w:rPr>
              <w:t>$</w:t>
            </w:r>
          </w:p>
        </w:tc>
        <w:tc>
          <w:tcPr>
            <w:tcW w:w="620" w:type="dxa"/>
            <w:vAlign w:val="bottom"/>
            <w:tcBorders>
              <w:bottom w:val="single" w:sz="8" w:color="auto"/>
            </w:tcBorders>
            <w:shd w:val="clear" w:color="auto" w:fill="CCEEFF"/>
          </w:tcPr>
          <w:p>
            <w:pPr>
              <w:jc w:val="right"/>
              <w:spacing w:after="0" w:line="116" w:lineRule="exact"/>
              <w:rPr>
                <w:sz w:val="20"/>
                <w:szCs w:val="20"/>
                <w:color w:val="auto"/>
              </w:rPr>
            </w:pPr>
            <w:r>
              <w:rPr>
                <w:rFonts w:ascii="Arial" w:cs="Arial" w:eastAsia="Arial" w:hAnsi="Arial"/>
                <w:sz w:val="13"/>
                <w:szCs w:val="13"/>
                <w:color w:val="auto"/>
              </w:rPr>
              <w:t>264</w:t>
            </w:r>
          </w:p>
        </w:tc>
        <w:tc>
          <w:tcPr>
            <w:tcW w:w="240" w:type="dxa"/>
            <w:vAlign w:val="bottom"/>
            <w:tcBorders>
              <w:bottom w:val="single" w:sz="8" w:color="CCEEFF"/>
            </w:tcBorders>
            <w:shd w:val="clear" w:color="auto" w:fill="CCEEFF"/>
          </w:tcPr>
          <w:p>
            <w:pPr>
              <w:spacing w:after="0"/>
              <w:rPr>
                <w:sz w:val="10"/>
                <w:szCs w:val="10"/>
                <w:color w:val="auto"/>
              </w:rPr>
            </w:pPr>
          </w:p>
        </w:tc>
        <w:tc>
          <w:tcPr>
            <w:tcW w:w="240" w:type="dxa"/>
            <w:vAlign w:val="bottom"/>
            <w:tcBorders>
              <w:bottom w:val="single" w:sz="8" w:color="auto"/>
            </w:tcBorders>
            <w:shd w:val="clear" w:color="auto" w:fill="CCEEFF"/>
          </w:tcPr>
          <w:p>
            <w:pPr>
              <w:jc w:val="right"/>
              <w:ind w:right="133"/>
              <w:spacing w:after="0"/>
              <w:rPr>
                <w:sz w:val="20"/>
                <w:szCs w:val="20"/>
                <w:color w:val="auto"/>
              </w:rPr>
            </w:pPr>
            <w:r>
              <w:rPr>
                <w:rFonts w:ascii="Arial" w:cs="Arial" w:eastAsia="Arial" w:hAnsi="Arial"/>
                <w:sz w:val="9"/>
                <w:szCs w:val="9"/>
                <w:color w:val="auto"/>
                <w:w w:val="78"/>
              </w:rPr>
              <w:t>$</w:t>
            </w:r>
          </w:p>
        </w:tc>
        <w:tc>
          <w:tcPr>
            <w:tcW w:w="560" w:type="dxa"/>
            <w:vAlign w:val="bottom"/>
            <w:tcBorders>
              <w:bottom w:val="single" w:sz="8" w:color="auto"/>
            </w:tcBorders>
            <w:shd w:val="clear" w:color="auto" w:fill="CCEEFF"/>
          </w:tcPr>
          <w:p>
            <w:pPr>
              <w:jc w:val="right"/>
              <w:spacing w:after="0" w:line="116" w:lineRule="exact"/>
              <w:rPr>
                <w:sz w:val="20"/>
                <w:szCs w:val="20"/>
                <w:color w:val="auto"/>
              </w:rPr>
            </w:pPr>
            <w:r>
              <w:rPr>
                <w:rFonts w:ascii="Arial" w:cs="Arial" w:eastAsia="Arial" w:hAnsi="Arial"/>
                <w:sz w:val="13"/>
                <w:szCs w:val="13"/>
                <w:color w:val="auto"/>
              </w:rPr>
              <w:t>326</w:t>
            </w:r>
          </w:p>
        </w:tc>
        <w:tc>
          <w:tcPr>
            <w:tcW w:w="140" w:type="dxa"/>
            <w:vAlign w:val="bottom"/>
            <w:tcBorders>
              <w:bottom w:val="single" w:sz="8" w:color="CCEEFF"/>
            </w:tcBorders>
            <w:shd w:val="clear" w:color="auto" w:fill="CCEEFF"/>
          </w:tcPr>
          <w:p>
            <w:pPr>
              <w:spacing w:after="0"/>
              <w:rPr>
                <w:sz w:val="10"/>
                <w:szCs w:val="10"/>
                <w:color w:val="auto"/>
              </w:rPr>
            </w:pPr>
          </w:p>
        </w:tc>
        <w:tc>
          <w:tcPr>
            <w:tcW w:w="100" w:type="dxa"/>
            <w:vAlign w:val="bottom"/>
            <w:tcBorders>
              <w:bottom w:val="single" w:sz="8" w:color="CCEEFF"/>
            </w:tcBorders>
            <w:shd w:val="clear" w:color="auto" w:fill="CCEEFF"/>
          </w:tcPr>
          <w:p>
            <w:pPr>
              <w:spacing w:after="0"/>
              <w:rPr>
                <w:sz w:val="10"/>
                <w:szCs w:val="10"/>
                <w:color w:val="auto"/>
              </w:rPr>
            </w:pPr>
          </w:p>
        </w:tc>
        <w:tc>
          <w:tcPr>
            <w:tcW w:w="18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9"/>
                <w:szCs w:val="9"/>
                <w:color w:val="auto"/>
                <w:w w:val="78"/>
              </w:rPr>
              <w:t>$</w:t>
            </w:r>
          </w:p>
        </w:tc>
        <w:tc>
          <w:tcPr>
            <w:tcW w:w="620" w:type="dxa"/>
            <w:vAlign w:val="bottom"/>
            <w:tcBorders>
              <w:bottom w:val="single" w:sz="8" w:color="auto"/>
            </w:tcBorders>
            <w:shd w:val="clear" w:color="auto" w:fill="CCEEFF"/>
          </w:tcPr>
          <w:p>
            <w:pPr>
              <w:jc w:val="right"/>
              <w:spacing w:after="0" w:line="116" w:lineRule="exact"/>
              <w:rPr>
                <w:sz w:val="20"/>
                <w:szCs w:val="20"/>
                <w:color w:val="auto"/>
              </w:rPr>
            </w:pPr>
            <w:r>
              <w:rPr>
                <w:rFonts w:ascii="Arial" w:cs="Arial" w:eastAsia="Arial" w:hAnsi="Arial"/>
                <w:sz w:val="13"/>
                <w:szCs w:val="13"/>
                <w:color w:val="auto"/>
              </w:rPr>
              <w:t>367</w:t>
            </w:r>
          </w:p>
        </w:tc>
        <w:tc>
          <w:tcPr>
            <w:tcW w:w="240" w:type="dxa"/>
            <w:vAlign w:val="bottom"/>
            <w:tcBorders>
              <w:bottom w:val="single" w:sz="8" w:color="CCEEFF"/>
            </w:tcBorders>
            <w:shd w:val="clear" w:color="auto" w:fill="CCEEFF"/>
          </w:tcPr>
          <w:p>
            <w:pPr>
              <w:spacing w:after="0"/>
              <w:rPr>
                <w:sz w:val="10"/>
                <w:szCs w:val="10"/>
                <w:color w:val="auto"/>
              </w:rPr>
            </w:pPr>
          </w:p>
        </w:tc>
        <w:tc>
          <w:tcPr>
            <w:tcW w:w="240" w:type="dxa"/>
            <w:vAlign w:val="bottom"/>
            <w:tcBorders>
              <w:bottom w:val="single" w:sz="8" w:color="auto"/>
            </w:tcBorders>
            <w:shd w:val="clear" w:color="auto" w:fill="CCEEFF"/>
          </w:tcPr>
          <w:p>
            <w:pPr>
              <w:jc w:val="right"/>
              <w:ind w:right="133"/>
              <w:spacing w:after="0"/>
              <w:rPr>
                <w:sz w:val="20"/>
                <w:szCs w:val="20"/>
                <w:color w:val="auto"/>
              </w:rPr>
            </w:pPr>
            <w:r>
              <w:rPr>
                <w:rFonts w:ascii="Arial" w:cs="Arial" w:eastAsia="Arial" w:hAnsi="Arial"/>
                <w:sz w:val="9"/>
                <w:szCs w:val="9"/>
                <w:color w:val="auto"/>
                <w:w w:val="78"/>
              </w:rPr>
              <w:t>$</w:t>
            </w:r>
          </w:p>
        </w:tc>
        <w:tc>
          <w:tcPr>
            <w:tcW w:w="560" w:type="dxa"/>
            <w:vAlign w:val="bottom"/>
            <w:tcBorders>
              <w:bottom w:val="single" w:sz="8" w:color="auto"/>
            </w:tcBorders>
            <w:shd w:val="clear" w:color="auto" w:fill="CCEEFF"/>
          </w:tcPr>
          <w:p>
            <w:pPr>
              <w:jc w:val="right"/>
              <w:spacing w:after="0" w:line="116" w:lineRule="exact"/>
              <w:rPr>
                <w:sz w:val="20"/>
                <w:szCs w:val="20"/>
                <w:color w:val="auto"/>
              </w:rPr>
            </w:pPr>
            <w:r>
              <w:rPr>
                <w:rFonts w:ascii="Arial" w:cs="Arial" w:eastAsia="Arial" w:hAnsi="Arial"/>
                <w:sz w:val="13"/>
                <w:szCs w:val="13"/>
                <w:color w:val="auto"/>
              </w:rPr>
              <w:t>429</w:t>
            </w:r>
          </w:p>
        </w:tc>
        <w:tc>
          <w:tcPr>
            <w:tcW w:w="120" w:type="dxa"/>
            <w:vAlign w:val="bottom"/>
            <w:tcBorders>
              <w:bottom w:val="single" w:sz="8" w:color="CCEEFF"/>
            </w:tcBorders>
            <w:shd w:val="clear" w:color="auto" w:fill="CCEEFF"/>
          </w:tcPr>
          <w:p>
            <w:pPr>
              <w:spacing w:after="0"/>
              <w:rPr>
                <w:sz w:val="10"/>
                <w:szCs w:val="10"/>
                <w:color w:val="auto"/>
              </w:rPr>
            </w:pPr>
          </w:p>
        </w:tc>
        <w:tc>
          <w:tcPr>
            <w:tcW w:w="80" w:type="dxa"/>
            <w:vAlign w:val="bottom"/>
            <w:tcBorders>
              <w:bottom w:val="single" w:sz="8" w:color="CCEEFF"/>
            </w:tcBorders>
            <w:shd w:val="clear" w:color="auto" w:fill="CCEEFF"/>
          </w:tcPr>
          <w:p>
            <w:pPr>
              <w:spacing w:after="0"/>
              <w:rPr>
                <w:sz w:val="10"/>
                <w:szCs w:val="10"/>
                <w:color w:val="auto"/>
              </w:rPr>
            </w:pPr>
          </w:p>
        </w:tc>
        <w:tc>
          <w:tcPr>
            <w:tcW w:w="180" w:type="dxa"/>
            <w:vAlign w:val="bottom"/>
            <w:tcBorders>
              <w:bottom w:val="single" w:sz="8" w:color="auto"/>
            </w:tcBorders>
            <w:shd w:val="clear" w:color="auto" w:fill="CCEEFF"/>
          </w:tcPr>
          <w:p>
            <w:pPr>
              <w:jc w:val="right"/>
              <w:ind w:right="37"/>
              <w:spacing w:after="0" w:line="116" w:lineRule="exact"/>
              <w:rPr>
                <w:sz w:val="20"/>
                <w:szCs w:val="20"/>
                <w:color w:val="auto"/>
              </w:rPr>
            </w:pPr>
            <w:r>
              <w:rPr>
                <w:rFonts w:ascii="Arial" w:cs="Arial" w:eastAsia="Arial" w:hAnsi="Arial"/>
                <w:sz w:val="13"/>
                <w:szCs w:val="13"/>
                <w:color w:val="auto"/>
                <w:w w:val="82"/>
              </w:rPr>
              <w:t>$</w:t>
            </w:r>
          </w:p>
        </w:tc>
        <w:tc>
          <w:tcPr>
            <w:tcW w:w="620" w:type="dxa"/>
            <w:vAlign w:val="bottom"/>
            <w:tcBorders>
              <w:bottom w:val="single" w:sz="8" w:color="auto"/>
            </w:tcBorders>
            <w:shd w:val="clear" w:color="auto" w:fill="CCEEFF"/>
          </w:tcPr>
          <w:p>
            <w:pPr>
              <w:jc w:val="right"/>
              <w:spacing w:after="0" w:line="116" w:lineRule="exact"/>
              <w:rPr>
                <w:sz w:val="20"/>
                <w:szCs w:val="20"/>
                <w:color w:val="auto"/>
              </w:rPr>
            </w:pPr>
            <w:r>
              <w:rPr>
                <w:rFonts w:ascii="Arial" w:cs="Arial" w:eastAsia="Arial" w:hAnsi="Arial"/>
                <w:sz w:val="13"/>
                <w:szCs w:val="13"/>
                <w:color w:val="auto"/>
              </w:rPr>
              <w:t>1,291</w:t>
            </w:r>
          </w:p>
        </w:tc>
        <w:tc>
          <w:tcPr>
            <w:tcW w:w="120" w:type="dxa"/>
            <w:vAlign w:val="bottom"/>
            <w:tcBorders>
              <w:bottom w:val="single" w:sz="8" w:color="CCEEFF"/>
            </w:tcBorders>
            <w:shd w:val="clear" w:color="auto" w:fill="CCEEFF"/>
          </w:tcPr>
          <w:p>
            <w:pPr>
              <w:spacing w:after="0"/>
              <w:rPr>
                <w:sz w:val="10"/>
                <w:szCs w:val="10"/>
                <w:color w:val="auto"/>
              </w:rPr>
            </w:pPr>
          </w:p>
        </w:tc>
        <w:tc>
          <w:tcPr>
            <w:tcW w:w="80" w:type="dxa"/>
            <w:vAlign w:val="bottom"/>
            <w:tcBorders>
              <w:bottom w:val="single" w:sz="8" w:color="CCEEFF"/>
            </w:tcBorders>
            <w:shd w:val="clear" w:color="auto" w:fill="CCEEFF"/>
          </w:tcPr>
          <w:p>
            <w:pPr>
              <w:spacing w:after="0"/>
              <w:rPr>
                <w:sz w:val="10"/>
                <w:szCs w:val="10"/>
                <w:color w:val="auto"/>
              </w:rPr>
            </w:pPr>
          </w:p>
        </w:tc>
        <w:tc>
          <w:tcPr>
            <w:tcW w:w="260" w:type="dxa"/>
            <w:vAlign w:val="bottom"/>
            <w:tcBorders>
              <w:bottom w:val="single" w:sz="8" w:color="auto"/>
            </w:tcBorders>
            <w:shd w:val="clear" w:color="auto" w:fill="CCEEFF"/>
          </w:tcPr>
          <w:p>
            <w:pPr>
              <w:jc w:val="right"/>
              <w:ind w:right="117"/>
              <w:spacing w:after="0" w:line="116" w:lineRule="exact"/>
              <w:rPr>
                <w:sz w:val="20"/>
                <w:szCs w:val="20"/>
                <w:color w:val="auto"/>
              </w:rPr>
            </w:pPr>
            <w:r>
              <w:rPr>
                <w:rFonts w:ascii="Arial" w:cs="Arial" w:eastAsia="Arial" w:hAnsi="Arial"/>
                <w:sz w:val="13"/>
                <w:szCs w:val="13"/>
                <w:color w:val="auto"/>
                <w:w w:val="82"/>
              </w:rPr>
              <w:t>$</w:t>
            </w:r>
          </w:p>
        </w:tc>
        <w:tc>
          <w:tcPr>
            <w:tcW w:w="540" w:type="dxa"/>
            <w:vAlign w:val="bottom"/>
            <w:tcBorders>
              <w:bottom w:val="single" w:sz="8" w:color="auto"/>
            </w:tcBorders>
            <w:shd w:val="clear" w:color="auto" w:fill="CCEEFF"/>
          </w:tcPr>
          <w:p>
            <w:pPr>
              <w:jc w:val="right"/>
              <w:spacing w:after="0" w:line="116" w:lineRule="exact"/>
              <w:rPr>
                <w:sz w:val="20"/>
                <w:szCs w:val="20"/>
                <w:color w:val="auto"/>
              </w:rPr>
            </w:pPr>
            <w:r>
              <w:rPr>
                <w:rFonts w:ascii="Arial" w:cs="Arial" w:eastAsia="Arial" w:hAnsi="Arial"/>
                <w:sz w:val="13"/>
                <w:szCs w:val="13"/>
                <w:color w:val="auto"/>
              </w:rPr>
              <w:t>1,415</w:t>
            </w:r>
          </w:p>
        </w:tc>
        <w:tc>
          <w:tcPr>
            <w:tcW w:w="120" w:type="dxa"/>
            <w:vAlign w:val="bottom"/>
            <w:tcBorders>
              <w:bottom w:val="single" w:sz="8" w:color="CCEEFF"/>
              <w:right w:val="single" w:sz="8" w:color="auto"/>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4120" w:type="dxa"/>
            <w:vAlign w:val="bottom"/>
            <w:tcBorders>
              <w:left w:val="single" w:sz="8" w:color="auto"/>
            </w:tcBorders>
            <w:vMerge w:val="restart"/>
          </w:tcPr>
          <w:p>
            <w:pPr>
              <w:ind w:left="80"/>
              <w:spacing w:after="0" w:line="155" w:lineRule="exact"/>
              <w:rPr>
                <w:sz w:val="20"/>
                <w:szCs w:val="20"/>
                <w:color w:val="auto"/>
              </w:rPr>
            </w:pPr>
            <w:r>
              <w:rPr>
                <w:rFonts w:ascii="Arial" w:cs="Arial" w:eastAsia="Arial" w:hAnsi="Arial"/>
                <w:sz w:val="13"/>
                <w:szCs w:val="13"/>
                <w:color w:val="auto"/>
              </w:rPr>
              <w:t xml:space="preserve">Basic Adjusted Net Income Per Limited Partner Unit </w:t>
            </w:r>
            <w:r>
              <w:rPr>
                <w:rFonts w:ascii="Arial" w:cs="Arial" w:eastAsia="Arial" w:hAnsi="Arial"/>
                <w:sz w:val="16"/>
                <w:szCs w:val="16"/>
                <w:color w:val="auto"/>
                <w:vertAlign w:val="superscript"/>
              </w:rPr>
              <w:t>(b)</w:t>
            </w:r>
          </w:p>
        </w:tc>
        <w:tc>
          <w:tcPr>
            <w:tcW w:w="240" w:type="dxa"/>
            <w:vAlign w:val="bottom"/>
            <w:vMerge w:val="restart"/>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Borders>
              <w:right w:val="single" w:sz="8" w:color="auto"/>
            </w:tcBorders>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4120" w:type="dxa"/>
            <w:vAlign w:val="bottom"/>
            <w:tcBorders>
              <w:left w:val="single" w:sz="8" w:color="auto"/>
              <w:bottom w:val="single" w:sz="8" w:color="CCEEFF"/>
            </w:tcBorders>
            <w:vMerge w:val="continue"/>
          </w:tcPr>
          <w:p>
            <w:pPr>
              <w:spacing w:after="0"/>
              <w:rPr>
                <w:sz w:val="13"/>
                <w:szCs w:val="13"/>
                <w:color w:val="auto"/>
              </w:rPr>
            </w:pPr>
          </w:p>
        </w:tc>
        <w:tc>
          <w:tcPr>
            <w:tcW w:w="240" w:type="dxa"/>
            <w:vAlign w:val="bottom"/>
            <w:tcBorders>
              <w:bottom w:val="single" w:sz="8" w:color="CCEEFF"/>
            </w:tcBorders>
            <w:vMerge w:val="continue"/>
          </w:tcPr>
          <w:p>
            <w:pPr>
              <w:spacing w:after="0"/>
              <w:rPr>
                <w:sz w:val="13"/>
                <w:szCs w:val="13"/>
                <w:color w:val="auto"/>
              </w:rPr>
            </w:pPr>
          </w:p>
        </w:tc>
        <w:tc>
          <w:tcPr>
            <w:tcW w:w="60" w:type="dxa"/>
            <w:vAlign w:val="bottom"/>
            <w:tcBorders>
              <w:bottom w:val="single" w:sz="8" w:color="auto"/>
            </w:tcBorders>
          </w:tcPr>
          <w:p>
            <w:pPr>
              <w:jc w:val="right"/>
              <w:spacing w:after="0"/>
              <w:rPr>
                <w:sz w:val="20"/>
                <w:szCs w:val="20"/>
                <w:color w:val="auto"/>
              </w:rPr>
            </w:pPr>
            <w:r>
              <w:rPr>
                <w:rFonts w:ascii="Arial" w:cs="Arial" w:eastAsia="Arial" w:hAnsi="Arial"/>
                <w:sz w:val="9"/>
                <w:szCs w:val="9"/>
                <w:color w:val="auto"/>
                <w:w w:val="78"/>
              </w:rPr>
              <w:t>$</w:t>
            </w:r>
          </w:p>
        </w:tc>
        <w:tc>
          <w:tcPr>
            <w:tcW w:w="740" w:type="dxa"/>
            <w:vAlign w:val="bottom"/>
            <w:tcBorders>
              <w:bottom w:val="single" w:sz="8" w:color="auto"/>
            </w:tcBorders>
          </w:tcPr>
          <w:p>
            <w:pPr>
              <w:jc w:val="right"/>
              <w:spacing w:after="0" w:line="116" w:lineRule="exact"/>
              <w:rPr>
                <w:sz w:val="20"/>
                <w:szCs w:val="20"/>
                <w:color w:val="auto"/>
              </w:rPr>
            </w:pPr>
            <w:r>
              <w:rPr>
                <w:rFonts w:ascii="Arial" w:cs="Arial" w:eastAsia="Arial" w:hAnsi="Arial"/>
                <w:sz w:val="13"/>
                <w:szCs w:val="13"/>
                <w:color w:val="auto"/>
              </w:rPr>
              <w:t>1.16</w:t>
            </w:r>
          </w:p>
        </w:tc>
        <w:tc>
          <w:tcPr>
            <w:tcW w:w="140" w:type="dxa"/>
            <w:vAlign w:val="bottom"/>
            <w:tcBorders>
              <w:bottom w:val="single" w:sz="8" w:color="CCEEFF"/>
            </w:tcBorders>
            <w:vMerge w:val="continue"/>
          </w:tcPr>
          <w:p>
            <w:pPr>
              <w:spacing w:after="0"/>
              <w:rPr>
                <w:sz w:val="13"/>
                <w:szCs w:val="13"/>
                <w:color w:val="auto"/>
              </w:rPr>
            </w:pPr>
          </w:p>
        </w:tc>
        <w:tc>
          <w:tcPr>
            <w:tcW w:w="100" w:type="dxa"/>
            <w:vAlign w:val="bottom"/>
            <w:tcBorders>
              <w:bottom w:val="single" w:sz="8" w:color="CCEEFF"/>
            </w:tcBorders>
            <w:vMerge w:val="continue"/>
          </w:tcPr>
          <w:p>
            <w:pPr>
              <w:spacing w:after="0"/>
              <w:rPr>
                <w:sz w:val="13"/>
                <w:szCs w:val="13"/>
                <w:color w:val="auto"/>
              </w:rPr>
            </w:pPr>
          </w:p>
        </w:tc>
        <w:tc>
          <w:tcPr>
            <w:tcW w:w="180" w:type="dxa"/>
            <w:vAlign w:val="bottom"/>
            <w:tcBorders>
              <w:bottom w:val="single" w:sz="8" w:color="auto"/>
            </w:tcBorders>
          </w:tcPr>
          <w:p>
            <w:pPr>
              <w:jc w:val="right"/>
              <w:ind w:right="73"/>
              <w:spacing w:after="0"/>
              <w:rPr>
                <w:sz w:val="20"/>
                <w:szCs w:val="20"/>
                <w:color w:val="auto"/>
              </w:rPr>
            </w:pPr>
            <w:r>
              <w:rPr>
                <w:rFonts w:ascii="Arial" w:cs="Arial" w:eastAsia="Arial" w:hAnsi="Arial"/>
                <w:sz w:val="9"/>
                <w:szCs w:val="9"/>
                <w:color w:val="auto"/>
                <w:w w:val="78"/>
              </w:rPr>
              <w:t>$</w:t>
            </w:r>
          </w:p>
        </w:tc>
        <w:tc>
          <w:tcPr>
            <w:tcW w:w="620" w:type="dxa"/>
            <w:vAlign w:val="bottom"/>
            <w:tcBorders>
              <w:bottom w:val="single" w:sz="8" w:color="auto"/>
            </w:tcBorders>
          </w:tcPr>
          <w:p>
            <w:pPr>
              <w:jc w:val="right"/>
              <w:spacing w:after="0" w:line="116" w:lineRule="exact"/>
              <w:rPr>
                <w:sz w:val="20"/>
                <w:szCs w:val="20"/>
                <w:color w:val="auto"/>
              </w:rPr>
            </w:pPr>
            <w:r>
              <w:rPr>
                <w:rFonts w:ascii="Arial" w:cs="Arial" w:eastAsia="Arial" w:hAnsi="Arial"/>
                <w:sz w:val="13"/>
                <w:szCs w:val="13"/>
                <w:color w:val="auto"/>
              </w:rPr>
              <w:t>0.36</w:t>
            </w:r>
          </w:p>
        </w:tc>
        <w:tc>
          <w:tcPr>
            <w:tcW w:w="240" w:type="dxa"/>
            <w:vAlign w:val="bottom"/>
            <w:tcBorders>
              <w:bottom w:val="single" w:sz="8" w:color="CCEEFF"/>
            </w:tcBorders>
            <w:vMerge w:val="continue"/>
          </w:tcPr>
          <w:p>
            <w:pPr>
              <w:spacing w:after="0"/>
              <w:rPr>
                <w:sz w:val="13"/>
                <w:szCs w:val="13"/>
                <w:color w:val="auto"/>
              </w:rPr>
            </w:pPr>
          </w:p>
        </w:tc>
        <w:tc>
          <w:tcPr>
            <w:tcW w:w="240" w:type="dxa"/>
            <w:vAlign w:val="bottom"/>
            <w:tcBorders>
              <w:bottom w:val="single" w:sz="8" w:color="auto"/>
            </w:tcBorders>
          </w:tcPr>
          <w:p>
            <w:pPr>
              <w:jc w:val="right"/>
              <w:ind w:right="133"/>
              <w:spacing w:after="0"/>
              <w:rPr>
                <w:sz w:val="20"/>
                <w:szCs w:val="20"/>
                <w:color w:val="auto"/>
              </w:rPr>
            </w:pPr>
            <w:r>
              <w:rPr>
                <w:rFonts w:ascii="Arial" w:cs="Arial" w:eastAsia="Arial" w:hAnsi="Arial"/>
                <w:sz w:val="9"/>
                <w:szCs w:val="9"/>
                <w:color w:val="auto"/>
                <w:w w:val="78"/>
              </w:rPr>
              <w:t>$</w:t>
            </w:r>
          </w:p>
        </w:tc>
        <w:tc>
          <w:tcPr>
            <w:tcW w:w="560" w:type="dxa"/>
            <w:vAlign w:val="bottom"/>
            <w:tcBorders>
              <w:bottom w:val="single" w:sz="8" w:color="auto"/>
            </w:tcBorders>
          </w:tcPr>
          <w:p>
            <w:pPr>
              <w:jc w:val="right"/>
              <w:spacing w:after="0" w:line="116" w:lineRule="exact"/>
              <w:rPr>
                <w:sz w:val="20"/>
                <w:szCs w:val="20"/>
                <w:color w:val="auto"/>
              </w:rPr>
            </w:pPr>
            <w:r>
              <w:rPr>
                <w:rFonts w:ascii="Arial" w:cs="Arial" w:eastAsia="Arial" w:hAnsi="Arial"/>
                <w:sz w:val="13"/>
                <w:szCs w:val="13"/>
                <w:color w:val="auto"/>
              </w:rPr>
              <w:t>0.53</w:t>
            </w:r>
          </w:p>
        </w:tc>
        <w:tc>
          <w:tcPr>
            <w:tcW w:w="140" w:type="dxa"/>
            <w:vAlign w:val="bottom"/>
            <w:tcBorders>
              <w:bottom w:val="single" w:sz="8" w:color="CCEEFF"/>
            </w:tcBorders>
            <w:vMerge w:val="continue"/>
          </w:tcPr>
          <w:p>
            <w:pPr>
              <w:spacing w:after="0"/>
              <w:rPr>
                <w:sz w:val="13"/>
                <w:szCs w:val="13"/>
                <w:color w:val="auto"/>
              </w:rPr>
            </w:pPr>
          </w:p>
        </w:tc>
        <w:tc>
          <w:tcPr>
            <w:tcW w:w="100" w:type="dxa"/>
            <w:vAlign w:val="bottom"/>
            <w:tcBorders>
              <w:bottom w:val="single" w:sz="8" w:color="CCEEFF"/>
            </w:tcBorders>
            <w:vMerge w:val="continue"/>
          </w:tcPr>
          <w:p>
            <w:pPr>
              <w:spacing w:after="0"/>
              <w:rPr>
                <w:sz w:val="13"/>
                <w:szCs w:val="13"/>
                <w:color w:val="auto"/>
              </w:rPr>
            </w:pPr>
          </w:p>
        </w:tc>
        <w:tc>
          <w:tcPr>
            <w:tcW w:w="180" w:type="dxa"/>
            <w:vAlign w:val="bottom"/>
            <w:tcBorders>
              <w:bottom w:val="single" w:sz="8" w:color="auto"/>
            </w:tcBorders>
          </w:tcPr>
          <w:p>
            <w:pPr>
              <w:jc w:val="right"/>
              <w:ind w:right="73"/>
              <w:spacing w:after="0"/>
              <w:rPr>
                <w:sz w:val="20"/>
                <w:szCs w:val="20"/>
                <w:color w:val="auto"/>
              </w:rPr>
            </w:pPr>
            <w:r>
              <w:rPr>
                <w:rFonts w:ascii="Arial" w:cs="Arial" w:eastAsia="Arial" w:hAnsi="Arial"/>
                <w:sz w:val="9"/>
                <w:szCs w:val="9"/>
                <w:color w:val="auto"/>
                <w:w w:val="78"/>
              </w:rPr>
              <w:t>$</w:t>
            </w:r>
          </w:p>
        </w:tc>
        <w:tc>
          <w:tcPr>
            <w:tcW w:w="620" w:type="dxa"/>
            <w:vAlign w:val="bottom"/>
            <w:tcBorders>
              <w:bottom w:val="single" w:sz="8" w:color="auto"/>
            </w:tcBorders>
          </w:tcPr>
          <w:p>
            <w:pPr>
              <w:jc w:val="right"/>
              <w:spacing w:after="0" w:line="116" w:lineRule="exact"/>
              <w:rPr>
                <w:sz w:val="20"/>
                <w:szCs w:val="20"/>
                <w:color w:val="auto"/>
              </w:rPr>
            </w:pPr>
            <w:r>
              <w:rPr>
                <w:rFonts w:ascii="Arial" w:cs="Arial" w:eastAsia="Arial" w:hAnsi="Arial"/>
                <w:sz w:val="13"/>
                <w:szCs w:val="13"/>
                <w:color w:val="auto"/>
              </w:rPr>
              <w:t>0.62</w:t>
            </w:r>
          </w:p>
        </w:tc>
        <w:tc>
          <w:tcPr>
            <w:tcW w:w="240" w:type="dxa"/>
            <w:vAlign w:val="bottom"/>
            <w:tcBorders>
              <w:bottom w:val="single" w:sz="8" w:color="CCEEFF"/>
            </w:tcBorders>
            <w:vMerge w:val="continue"/>
          </w:tcPr>
          <w:p>
            <w:pPr>
              <w:spacing w:after="0"/>
              <w:rPr>
                <w:sz w:val="13"/>
                <w:szCs w:val="13"/>
                <w:color w:val="auto"/>
              </w:rPr>
            </w:pPr>
          </w:p>
        </w:tc>
        <w:tc>
          <w:tcPr>
            <w:tcW w:w="240" w:type="dxa"/>
            <w:vAlign w:val="bottom"/>
            <w:tcBorders>
              <w:bottom w:val="single" w:sz="8" w:color="auto"/>
            </w:tcBorders>
          </w:tcPr>
          <w:p>
            <w:pPr>
              <w:jc w:val="right"/>
              <w:ind w:right="133"/>
              <w:spacing w:after="0"/>
              <w:rPr>
                <w:sz w:val="20"/>
                <w:szCs w:val="20"/>
                <w:color w:val="auto"/>
              </w:rPr>
            </w:pPr>
            <w:r>
              <w:rPr>
                <w:rFonts w:ascii="Arial" w:cs="Arial" w:eastAsia="Arial" w:hAnsi="Arial"/>
                <w:sz w:val="9"/>
                <w:szCs w:val="9"/>
                <w:color w:val="auto"/>
                <w:w w:val="78"/>
              </w:rPr>
              <w:t>$</w:t>
            </w:r>
          </w:p>
        </w:tc>
        <w:tc>
          <w:tcPr>
            <w:tcW w:w="560" w:type="dxa"/>
            <w:vAlign w:val="bottom"/>
            <w:tcBorders>
              <w:bottom w:val="single" w:sz="8" w:color="auto"/>
            </w:tcBorders>
          </w:tcPr>
          <w:p>
            <w:pPr>
              <w:jc w:val="right"/>
              <w:spacing w:after="0" w:line="116" w:lineRule="exact"/>
              <w:rPr>
                <w:sz w:val="20"/>
                <w:szCs w:val="20"/>
                <w:color w:val="auto"/>
              </w:rPr>
            </w:pPr>
            <w:r>
              <w:rPr>
                <w:rFonts w:ascii="Arial" w:cs="Arial" w:eastAsia="Arial" w:hAnsi="Arial"/>
                <w:sz w:val="13"/>
                <w:szCs w:val="13"/>
                <w:color w:val="auto"/>
              </w:rPr>
              <w:t>0.78</w:t>
            </w:r>
          </w:p>
        </w:tc>
        <w:tc>
          <w:tcPr>
            <w:tcW w:w="120" w:type="dxa"/>
            <w:vAlign w:val="bottom"/>
            <w:tcBorders>
              <w:bottom w:val="single" w:sz="8" w:color="CCEEFF"/>
            </w:tcBorders>
            <w:vMerge w:val="continue"/>
          </w:tcPr>
          <w:p>
            <w:pPr>
              <w:spacing w:after="0"/>
              <w:rPr>
                <w:sz w:val="13"/>
                <w:szCs w:val="13"/>
                <w:color w:val="auto"/>
              </w:rPr>
            </w:pPr>
          </w:p>
        </w:tc>
        <w:tc>
          <w:tcPr>
            <w:tcW w:w="80" w:type="dxa"/>
            <w:vAlign w:val="bottom"/>
            <w:tcBorders>
              <w:bottom w:val="single" w:sz="8" w:color="CCEEFF"/>
            </w:tcBorders>
            <w:vMerge w:val="continue"/>
          </w:tcPr>
          <w:p>
            <w:pPr>
              <w:spacing w:after="0"/>
              <w:rPr>
                <w:sz w:val="13"/>
                <w:szCs w:val="13"/>
                <w:color w:val="auto"/>
              </w:rPr>
            </w:pPr>
          </w:p>
        </w:tc>
        <w:tc>
          <w:tcPr>
            <w:tcW w:w="180" w:type="dxa"/>
            <w:vAlign w:val="bottom"/>
            <w:tcBorders>
              <w:bottom w:val="single" w:sz="8" w:color="auto"/>
            </w:tcBorders>
          </w:tcPr>
          <w:p>
            <w:pPr>
              <w:jc w:val="right"/>
              <w:ind w:right="37"/>
              <w:spacing w:after="0" w:line="116" w:lineRule="exact"/>
              <w:rPr>
                <w:sz w:val="20"/>
                <w:szCs w:val="20"/>
                <w:color w:val="auto"/>
              </w:rPr>
            </w:pPr>
            <w:r>
              <w:rPr>
                <w:rFonts w:ascii="Arial" w:cs="Arial" w:eastAsia="Arial" w:hAnsi="Arial"/>
                <w:sz w:val="13"/>
                <w:szCs w:val="13"/>
                <w:color w:val="auto"/>
                <w:w w:val="82"/>
              </w:rPr>
              <w:t>$</w:t>
            </w:r>
          </w:p>
        </w:tc>
        <w:tc>
          <w:tcPr>
            <w:tcW w:w="620" w:type="dxa"/>
            <w:vAlign w:val="bottom"/>
            <w:tcBorders>
              <w:bottom w:val="single" w:sz="8" w:color="auto"/>
            </w:tcBorders>
          </w:tcPr>
          <w:p>
            <w:pPr>
              <w:jc w:val="right"/>
              <w:spacing w:after="0" w:line="116" w:lineRule="exact"/>
              <w:rPr>
                <w:sz w:val="20"/>
                <w:szCs w:val="20"/>
                <w:color w:val="auto"/>
              </w:rPr>
            </w:pPr>
            <w:r>
              <w:rPr>
                <w:rFonts w:ascii="Arial" w:cs="Arial" w:eastAsia="Arial" w:hAnsi="Arial"/>
                <w:sz w:val="13"/>
                <w:szCs w:val="13"/>
                <w:color w:val="auto"/>
              </w:rPr>
              <w:t>2.14</w:t>
            </w:r>
          </w:p>
        </w:tc>
        <w:tc>
          <w:tcPr>
            <w:tcW w:w="120" w:type="dxa"/>
            <w:vAlign w:val="bottom"/>
            <w:tcBorders>
              <w:bottom w:val="single" w:sz="8" w:color="CCEEFF"/>
            </w:tcBorders>
            <w:vMerge w:val="continue"/>
          </w:tcPr>
          <w:p>
            <w:pPr>
              <w:spacing w:after="0"/>
              <w:rPr>
                <w:sz w:val="13"/>
                <w:szCs w:val="13"/>
                <w:color w:val="auto"/>
              </w:rPr>
            </w:pPr>
          </w:p>
        </w:tc>
        <w:tc>
          <w:tcPr>
            <w:tcW w:w="80" w:type="dxa"/>
            <w:vAlign w:val="bottom"/>
            <w:tcBorders>
              <w:bottom w:val="single" w:sz="8" w:color="CCEEFF"/>
            </w:tcBorders>
            <w:vMerge w:val="continue"/>
          </w:tcPr>
          <w:p>
            <w:pPr>
              <w:spacing w:after="0"/>
              <w:rPr>
                <w:sz w:val="13"/>
                <w:szCs w:val="13"/>
                <w:color w:val="auto"/>
              </w:rPr>
            </w:pPr>
          </w:p>
        </w:tc>
        <w:tc>
          <w:tcPr>
            <w:tcW w:w="260" w:type="dxa"/>
            <w:vAlign w:val="bottom"/>
            <w:tcBorders>
              <w:bottom w:val="single" w:sz="8" w:color="auto"/>
            </w:tcBorders>
          </w:tcPr>
          <w:p>
            <w:pPr>
              <w:jc w:val="right"/>
              <w:ind w:right="117"/>
              <w:spacing w:after="0" w:line="116" w:lineRule="exact"/>
              <w:rPr>
                <w:sz w:val="20"/>
                <w:szCs w:val="20"/>
                <w:color w:val="auto"/>
              </w:rPr>
            </w:pPr>
            <w:r>
              <w:rPr>
                <w:rFonts w:ascii="Arial" w:cs="Arial" w:eastAsia="Arial" w:hAnsi="Arial"/>
                <w:sz w:val="13"/>
                <w:szCs w:val="13"/>
                <w:color w:val="auto"/>
                <w:w w:val="82"/>
              </w:rPr>
              <w:t>$</w:t>
            </w:r>
          </w:p>
        </w:tc>
        <w:tc>
          <w:tcPr>
            <w:tcW w:w="540" w:type="dxa"/>
            <w:vAlign w:val="bottom"/>
            <w:tcBorders>
              <w:bottom w:val="single" w:sz="8" w:color="auto"/>
            </w:tcBorders>
          </w:tcPr>
          <w:p>
            <w:pPr>
              <w:jc w:val="right"/>
              <w:spacing w:after="0" w:line="116" w:lineRule="exact"/>
              <w:rPr>
                <w:sz w:val="20"/>
                <w:szCs w:val="20"/>
                <w:color w:val="auto"/>
              </w:rPr>
            </w:pPr>
            <w:r>
              <w:rPr>
                <w:rFonts w:ascii="Arial" w:cs="Arial" w:eastAsia="Arial" w:hAnsi="Arial"/>
                <w:sz w:val="13"/>
                <w:szCs w:val="13"/>
                <w:color w:val="auto"/>
              </w:rPr>
              <w:t>2.47</w:t>
            </w:r>
          </w:p>
        </w:tc>
        <w:tc>
          <w:tcPr>
            <w:tcW w:w="120" w:type="dxa"/>
            <w:vAlign w:val="bottom"/>
            <w:tcBorders>
              <w:bottom w:val="single" w:sz="8" w:color="CCEEFF"/>
              <w:right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16"/>
        </w:trPr>
        <w:tc>
          <w:tcPr>
            <w:tcW w:w="4120" w:type="dxa"/>
            <w:vAlign w:val="bottom"/>
            <w:tcBorders>
              <w:left w:val="single" w:sz="8" w:color="auto"/>
              <w:bottom w:val="single" w:sz="8" w:color="CCEEFF"/>
            </w:tcBorders>
            <w:shd w:val="clear" w:color="auto" w:fill="CCEEFF"/>
          </w:tcPr>
          <w:p>
            <w:pPr>
              <w:ind w:left="80"/>
              <w:spacing w:after="0" w:line="116" w:lineRule="exact"/>
              <w:rPr>
                <w:sz w:val="20"/>
                <w:szCs w:val="20"/>
                <w:color w:val="auto"/>
              </w:rPr>
            </w:pPr>
            <w:r>
              <w:rPr>
                <w:rFonts w:ascii="Arial" w:cs="Arial" w:eastAsia="Arial" w:hAnsi="Arial"/>
                <w:sz w:val="10"/>
                <w:szCs w:val="10"/>
                <w:color w:val="auto"/>
              </w:rPr>
              <w:t xml:space="preserve">Diluted Adjusted Net Income Per Limited Partner Unit </w:t>
            </w:r>
            <w:r>
              <w:rPr>
                <w:rFonts w:ascii="Arial" w:cs="Arial" w:eastAsia="Arial" w:hAnsi="Arial"/>
                <w:sz w:val="13"/>
                <w:szCs w:val="13"/>
                <w:color w:val="auto"/>
                <w:vertAlign w:val="superscript"/>
              </w:rPr>
              <w:t>(b)</w:t>
            </w:r>
          </w:p>
        </w:tc>
        <w:tc>
          <w:tcPr>
            <w:tcW w:w="240" w:type="dxa"/>
            <w:vAlign w:val="bottom"/>
            <w:tcBorders>
              <w:bottom w:val="single" w:sz="8" w:color="CCEEFF"/>
            </w:tcBorders>
            <w:shd w:val="clear" w:color="auto" w:fill="CCEEFF"/>
          </w:tcPr>
          <w:p>
            <w:pPr>
              <w:spacing w:after="0"/>
              <w:rPr>
                <w:sz w:val="10"/>
                <w:szCs w:val="10"/>
                <w:color w:val="auto"/>
              </w:rPr>
            </w:pPr>
          </w:p>
        </w:tc>
        <w:tc>
          <w:tcPr>
            <w:tcW w:w="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740" w:type="dxa"/>
            <w:vAlign w:val="bottom"/>
            <w:tcBorders>
              <w:bottom w:val="single" w:sz="8" w:color="auto"/>
            </w:tcBorders>
            <w:shd w:val="clear" w:color="auto" w:fill="CCEEFF"/>
          </w:tcPr>
          <w:p>
            <w:pPr>
              <w:jc w:val="right"/>
              <w:spacing w:after="0" w:line="116" w:lineRule="exact"/>
              <w:rPr>
                <w:sz w:val="20"/>
                <w:szCs w:val="20"/>
                <w:color w:val="auto"/>
              </w:rPr>
            </w:pPr>
            <w:r>
              <w:rPr>
                <w:rFonts w:ascii="Arial" w:cs="Arial" w:eastAsia="Arial" w:hAnsi="Arial"/>
                <w:sz w:val="13"/>
                <w:szCs w:val="13"/>
                <w:color w:val="auto"/>
              </w:rPr>
              <w:t>1.15</w:t>
            </w:r>
          </w:p>
        </w:tc>
        <w:tc>
          <w:tcPr>
            <w:tcW w:w="140" w:type="dxa"/>
            <w:vAlign w:val="bottom"/>
            <w:tcBorders>
              <w:bottom w:val="single" w:sz="8" w:color="CCEEFF"/>
            </w:tcBorders>
            <w:shd w:val="clear" w:color="auto" w:fill="CCEEFF"/>
          </w:tcPr>
          <w:p>
            <w:pPr>
              <w:spacing w:after="0"/>
              <w:rPr>
                <w:sz w:val="10"/>
                <w:szCs w:val="10"/>
                <w:color w:val="auto"/>
              </w:rPr>
            </w:pPr>
          </w:p>
        </w:tc>
        <w:tc>
          <w:tcPr>
            <w:tcW w:w="100" w:type="dxa"/>
            <w:vAlign w:val="bottom"/>
            <w:tcBorders>
              <w:bottom w:val="single" w:sz="8" w:color="CCEEFF"/>
            </w:tcBorders>
            <w:shd w:val="clear" w:color="auto" w:fill="CCEEFF"/>
          </w:tcPr>
          <w:p>
            <w:pPr>
              <w:spacing w:after="0"/>
              <w:rPr>
                <w:sz w:val="10"/>
                <w:szCs w:val="10"/>
                <w:color w:val="auto"/>
              </w:rPr>
            </w:pPr>
          </w:p>
        </w:tc>
        <w:tc>
          <w:tcPr>
            <w:tcW w:w="18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9"/>
                <w:szCs w:val="9"/>
                <w:color w:val="auto"/>
                <w:w w:val="78"/>
              </w:rPr>
              <w:t>$</w:t>
            </w:r>
          </w:p>
        </w:tc>
        <w:tc>
          <w:tcPr>
            <w:tcW w:w="620" w:type="dxa"/>
            <w:vAlign w:val="bottom"/>
            <w:tcBorders>
              <w:bottom w:val="single" w:sz="8" w:color="auto"/>
            </w:tcBorders>
            <w:shd w:val="clear" w:color="auto" w:fill="CCEEFF"/>
          </w:tcPr>
          <w:p>
            <w:pPr>
              <w:jc w:val="right"/>
              <w:spacing w:after="0" w:line="116" w:lineRule="exact"/>
              <w:rPr>
                <w:sz w:val="20"/>
                <w:szCs w:val="20"/>
                <w:color w:val="auto"/>
              </w:rPr>
            </w:pPr>
            <w:r>
              <w:rPr>
                <w:rFonts w:ascii="Arial" w:cs="Arial" w:eastAsia="Arial" w:hAnsi="Arial"/>
                <w:sz w:val="13"/>
                <w:szCs w:val="13"/>
                <w:color w:val="auto"/>
              </w:rPr>
              <w:t>0.36</w:t>
            </w:r>
          </w:p>
        </w:tc>
        <w:tc>
          <w:tcPr>
            <w:tcW w:w="240" w:type="dxa"/>
            <w:vAlign w:val="bottom"/>
            <w:tcBorders>
              <w:bottom w:val="single" w:sz="8" w:color="CCEEFF"/>
            </w:tcBorders>
            <w:shd w:val="clear" w:color="auto" w:fill="CCEEFF"/>
          </w:tcPr>
          <w:p>
            <w:pPr>
              <w:spacing w:after="0"/>
              <w:rPr>
                <w:sz w:val="10"/>
                <w:szCs w:val="10"/>
                <w:color w:val="auto"/>
              </w:rPr>
            </w:pPr>
          </w:p>
        </w:tc>
        <w:tc>
          <w:tcPr>
            <w:tcW w:w="240" w:type="dxa"/>
            <w:vAlign w:val="bottom"/>
            <w:tcBorders>
              <w:bottom w:val="single" w:sz="8" w:color="auto"/>
            </w:tcBorders>
            <w:shd w:val="clear" w:color="auto" w:fill="CCEEFF"/>
          </w:tcPr>
          <w:p>
            <w:pPr>
              <w:jc w:val="right"/>
              <w:ind w:right="133"/>
              <w:spacing w:after="0"/>
              <w:rPr>
                <w:sz w:val="20"/>
                <w:szCs w:val="20"/>
                <w:color w:val="auto"/>
              </w:rPr>
            </w:pPr>
            <w:r>
              <w:rPr>
                <w:rFonts w:ascii="Arial" w:cs="Arial" w:eastAsia="Arial" w:hAnsi="Arial"/>
                <w:sz w:val="9"/>
                <w:szCs w:val="9"/>
                <w:color w:val="auto"/>
                <w:w w:val="78"/>
              </w:rPr>
              <w:t>$</w:t>
            </w:r>
          </w:p>
        </w:tc>
        <w:tc>
          <w:tcPr>
            <w:tcW w:w="560" w:type="dxa"/>
            <w:vAlign w:val="bottom"/>
            <w:tcBorders>
              <w:bottom w:val="single" w:sz="8" w:color="auto"/>
            </w:tcBorders>
            <w:shd w:val="clear" w:color="auto" w:fill="CCEEFF"/>
          </w:tcPr>
          <w:p>
            <w:pPr>
              <w:jc w:val="right"/>
              <w:spacing w:after="0" w:line="116" w:lineRule="exact"/>
              <w:rPr>
                <w:sz w:val="20"/>
                <w:szCs w:val="20"/>
                <w:color w:val="auto"/>
              </w:rPr>
            </w:pPr>
            <w:r>
              <w:rPr>
                <w:rFonts w:ascii="Arial" w:cs="Arial" w:eastAsia="Arial" w:hAnsi="Arial"/>
                <w:sz w:val="13"/>
                <w:szCs w:val="13"/>
                <w:color w:val="auto"/>
              </w:rPr>
              <w:t>0.53</w:t>
            </w:r>
          </w:p>
        </w:tc>
        <w:tc>
          <w:tcPr>
            <w:tcW w:w="140" w:type="dxa"/>
            <w:vAlign w:val="bottom"/>
            <w:tcBorders>
              <w:bottom w:val="single" w:sz="8" w:color="CCEEFF"/>
            </w:tcBorders>
            <w:shd w:val="clear" w:color="auto" w:fill="CCEEFF"/>
          </w:tcPr>
          <w:p>
            <w:pPr>
              <w:spacing w:after="0"/>
              <w:rPr>
                <w:sz w:val="10"/>
                <w:szCs w:val="10"/>
                <w:color w:val="auto"/>
              </w:rPr>
            </w:pPr>
          </w:p>
        </w:tc>
        <w:tc>
          <w:tcPr>
            <w:tcW w:w="100" w:type="dxa"/>
            <w:vAlign w:val="bottom"/>
            <w:tcBorders>
              <w:bottom w:val="single" w:sz="8" w:color="CCEEFF"/>
            </w:tcBorders>
            <w:shd w:val="clear" w:color="auto" w:fill="CCEEFF"/>
          </w:tcPr>
          <w:p>
            <w:pPr>
              <w:spacing w:after="0"/>
              <w:rPr>
                <w:sz w:val="10"/>
                <w:szCs w:val="10"/>
                <w:color w:val="auto"/>
              </w:rPr>
            </w:pPr>
          </w:p>
        </w:tc>
        <w:tc>
          <w:tcPr>
            <w:tcW w:w="18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9"/>
                <w:szCs w:val="9"/>
                <w:color w:val="auto"/>
                <w:w w:val="78"/>
              </w:rPr>
              <w:t>$</w:t>
            </w:r>
          </w:p>
        </w:tc>
        <w:tc>
          <w:tcPr>
            <w:tcW w:w="620" w:type="dxa"/>
            <w:vAlign w:val="bottom"/>
            <w:tcBorders>
              <w:bottom w:val="single" w:sz="8" w:color="auto"/>
            </w:tcBorders>
            <w:shd w:val="clear" w:color="auto" w:fill="CCEEFF"/>
          </w:tcPr>
          <w:p>
            <w:pPr>
              <w:jc w:val="right"/>
              <w:spacing w:after="0" w:line="116" w:lineRule="exact"/>
              <w:rPr>
                <w:sz w:val="20"/>
                <w:szCs w:val="20"/>
                <w:color w:val="auto"/>
              </w:rPr>
            </w:pPr>
            <w:r>
              <w:rPr>
                <w:rFonts w:ascii="Arial" w:cs="Arial" w:eastAsia="Arial" w:hAnsi="Arial"/>
                <w:sz w:val="13"/>
                <w:szCs w:val="13"/>
                <w:color w:val="auto"/>
              </w:rPr>
              <w:t>0.61</w:t>
            </w:r>
          </w:p>
        </w:tc>
        <w:tc>
          <w:tcPr>
            <w:tcW w:w="240" w:type="dxa"/>
            <w:vAlign w:val="bottom"/>
            <w:tcBorders>
              <w:bottom w:val="single" w:sz="8" w:color="CCEEFF"/>
            </w:tcBorders>
            <w:shd w:val="clear" w:color="auto" w:fill="CCEEFF"/>
          </w:tcPr>
          <w:p>
            <w:pPr>
              <w:spacing w:after="0"/>
              <w:rPr>
                <w:sz w:val="10"/>
                <w:szCs w:val="10"/>
                <w:color w:val="auto"/>
              </w:rPr>
            </w:pPr>
          </w:p>
        </w:tc>
        <w:tc>
          <w:tcPr>
            <w:tcW w:w="240" w:type="dxa"/>
            <w:vAlign w:val="bottom"/>
            <w:tcBorders>
              <w:bottom w:val="single" w:sz="8" w:color="auto"/>
            </w:tcBorders>
            <w:shd w:val="clear" w:color="auto" w:fill="CCEEFF"/>
          </w:tcPr>
          <w:p>
            <w:pPr>
              <w:jc w:val="right"/>
              <w:ind w:right="133"/>
              <w:spacing w:after="0"/>
              <w:rPr>
                <w:sz w:val="20"/>
                <w:szCs w:val="20"/>
                <w:color w:val="auto"/>
              </w:rPr>
            </w:pPr>
            <w:r>
              <w:rPr>
                <w:rFonts w:ascii="Arial" w:cs="Arial" w:eastAsia="Arial" w:hAnsi="Arial"/>
                <w:sz w:val="9"/>
                <w:szCs w:val="9"/>
                <w:color w:val="auto"/>
                <w:w w:val="78"/>
              </w:rPr>
              <w:t>$</w:t>
            </w:r>
          </w:p>
        </w:tc>
        <w:tc>
          <w:tcPr>
            <w:tcW w:w="560" w:type="dxa"/>
            <w:vAlign w:val="bottom"/>
            <w:tcBorders>
              <w:bottom w:val="single" w:sz="8" w:color="auto"/>
            </w:tcBorders>
            <w:shd w:val="clear" w:color="auto" w:fill="CCEEFF"/>
          </w:tcPr>
          <w:p>
            <w:pPr>
              <w:jc w:val="right"/>
              <w:spacing w:after="0" w:line="116" w:lineRule="exact"/>
              <w:rPr>
                <w:sz w:val="20"/>
                <w:szCs w:val="20"/>
                <w:color w:val="auto"/>
              </w:rPr>
            </w:pPr>
            <w:r>
              <w:rPr>
                <w:rFonts w:ascii="Arial" w:cs="Arial" w:eastAsia="Arial" w:hAnsi="Arial"/>
                <w:sz w:val="13"/>
                <w:szCs w:val="13"/>
                <w:color w:val="auto"/>
              </w:rPr>
              <w:t>0.78</w:t>
            </w:r>
          </w:p>
        </w:tc>
        <w:tc>
          <w:tcPr>
            <w:tcW w:w="120" w:type="dxa"/>
            <w:vAlign w:val="bottom"/>
            <w:tcBorders>
              <w:bottom w:val="single" w:sz="8" w:color="CCEEFF"/>
            </w:tcBorders>
            <w:shd w:val="clear" w:color="auto" w:fill="CCEEFF"/>
          </w:tcPr>
          <w:p>
            <w:pPr>
              <w:spacing w:after="0"/>
              <w:rPr>
                <w:sz w:val="10"/>
                <w:szCs w:val="10"/>
                <w:color w:val="auto"/>
              </w:rPr>
            </w:pPr>
          </w:p>
        </w:tc>
        <w:tc>
          <w:tcPr>
            <w:tcW w:w="80" w:type="dxa"/>
            <w:vAlign w:val="bottom"/>
            <w:tcBorders>
              <w:bottom w:val="single" w:sz="8" w:color="CCEEFF"/>
            </w:tcBorders>
            <w:shd w:val="clear" w:color="auto" w:fill="CCEEFF"/>
          </w:tcPr>
          <w:p>
            <w:pPr>
              <w:spacing w:after="0"/>
              <w:rPr>
                <w:sz w:val="10"/>
                <w:szCs w:val="10"/>
                <w:color w:val="auto"/>
              </w:rPr>
            </w:pPr>
          </w:p>
        </w:tc>
        <w:tc>
          <w:tcPr>
            <w:tcW w:w="180" w:type="dxa"/>
            <w:vAlign w:val="bottom"/>
            <w:tcBorders>
              <w:bottom w:val="single" w:sz="8" w:color="auto"/>
            </w:tcBorders>
            <w:shd w:val="clear" w:color="auto" w:fill="CCEEFF"/>
          </w:tcPr>
          <w:p>
            <w:pPr>
              <w:jc w:val="right"/>
              <w:ind w:right="37"/>
              <w:spacing w:after="0" w:line="116" w:lineRule="exact"/>
              <w:rPr>
                <w:sz w:val="20"/>
                <w:szCs w:val="20"/>
                <w:color w:val="auto"/>
              </w:rPr>
            </w:pPr>
            <w:r>
              <w:rPr>
                <w:rFonts w:ascii="Arial" w:cs="Arial" w:eastAsia="Arial" w:hAnsi="Arial"/>
                <w:sz w:val="13"/>
                <w:szCs w:val="13"/>
                <w:color w:val="auto"/>
                <w:w w:val="82"/>
              </w:rPr>
              <w:t>$</w:t>
            </w:r>
          </w:p>
        </w:tc>
        <w:tc>
          <w:tcPr>
            <w:tcW w:w="620" w:type="dxa"/>
            <w:vAlign w:val="bottom"/>
            <w:tcBorders>
              <w:bottom w:val="single" w:sz="8" w:color="auto"/>
            </w:tcBorders>
            <w:shd w:val="clear" w:color="auto" w:fill="CCEEFF"/>
          </w:tcPr>
          <w:p>
            <w:pPr>
              <w:jc w:val="right"/>
              <w:spacing w:after="0" w:line="116" w:lineRule="exact"/>
              <w:rPr>
                <w:sz w:val="20"/>
                <w:szCs w:val="20"/>
                <w:color w:val="auto"/>
              </w:rPr>
            </w:pPr>
            <w:r>
              <w:rPr>
                <w:rFonts w:ascii="Arial" w:cs="Arial" w:eastAsia="Arial" w:hAnsi="Arial"/>
                <w:sz w:val="13"/>
                <w:szCs w:val="13"/>
                <w:color w:val="auto"/>
              </w:rPr>
              <w:t>2.12</w:t>
            </w:r>
          </w:p>
        </w:tc>
        <w:tc>
          <w:tcPr>
            <w:tcW w:w="120" w:type="dxa"/>
            <w:vAlign w:val="bottom"/>
            <w:tcBorders>
              <w:bottom w:val="single" w:sz="8" w:color="CCEEFF"/>
            </w:tcBorders>
            <w:shd w:val="clear" w:color="auto" w:fill="CCEEFF"/>
          </w:tcPr>
          <w:p>
            <w:pPr>
              <w:spacing w:after="0"/>
              <w:rPr>
                <w:sz w:val="10"/>
                <w:szCs w:val="10"/>
                <w:color w:val="auto"/>
              </w:rPr>
            </w:pPr>
          </w:p>
        </w:tc>
        <w:tc>
          <w:tcPr>
            <w:tcW w:w="80" w:type="dxa"/>
            <w:vAlign w:val="bottom"/>
            <w:tcBorders>
              <w:bottom w:val="single" w:sz="8" w:color="CCEEFF"/>
            </w:tcBorders>
            <w:shd w:val="clear" w:color="auto" w:fill="CCEEFF"/>
          </w:tcPr>
          <w:p>
            <w:pPr>
              <w:spacing w:after="0"/>
              <w:rPr>
                <w:sz w:val="10"/>
                <w:szCs w:val="10"/>
                <w:color w:val="auto"/>
              </w:rPr>
            </w:pPr>
          </w:p>
        </w:tc>
        <w:tc>
          <w:tcPr>
            <w:tcW w:w="260" w:type="dxa"/>
            <w:vAlign w:val="bottom"/>
            <w:tcBorders>
              <w:bottom w:val="single" w:sz="8" w:color="auto"/>
            </w:tcBorders>
            <w:shd w:val="clear" w:color="auto" w:fill="CCEEFF"/>
          </w:tcPr>
          <w:p>
            <w:pPr>
              <w:jc w:val="right"/>
              <w:ind w:right="117"/>
              <w:spacing w:after="0" w:line="116" w:lineRule="exact"/>
              <w:rPr>
                <w:sz w:val="20"/>
                <w:szCs w:val="20"/>
                <w:color w:val="auto"/>
              </w:rPr>
            </w:pPr>
            <w:r>
              <w:rPr>
                <w:rFonts w:ascii="Arial" w:cs="Arial" w:eastAsia="Arial" w:hAnsi="Arial"/>
                <w:sz w:val="13"/>
                <w:szCs w:val="13"/>
                <w:color w:val="auto"/>
                <w:w w:val="82"/>
              </w:rPr>
              <w:t>$</w:t>
            </w:r>
          </w:p>
        </w:tc>
        <w:tc>
          <w:tcPr>
            <w:tcW w:w="540" w:type="dxa"/>
            <w:vAlign w:val="bottom"/>
            <w:tcBorders>
              <w:bottom w:val="single" w:sz="8" w:color="auto"/>
            </w:tcBorders>
            <w:shd w:val="clear" w:color="auto" w:fill="CCEEFF"/>
          </w:tcPr>
          <w:p>
            <w:pPr>
              <w:jc w:val="right"/>
              <w:spacing w:after="0" w:line="116" w:lineRule="exact"/>
              <w:rPr>
                <w:sz w:val="20"/>
                <w:szCs w:val="20"/>
                <w:color w:val="auto"/>
              </w:rPr>
            </w:pPr>
            <w:r>
              <w:rPr>
                <w:rFonts w:ascii="Arial" w:cs="Arial" w:eastAsia="Arial" w:hAnsi="Arial"/>
                <w:sz w:val="13"/>
                <w:szCs w:val="13"/>
                <w:color w:val="auto"/>
              </w:rPr>
              <w:t>2.46</w:t>
            </w:r>
          </w:p>
        </w:tc>
        <w:tc>
          <w:tcPr>
            <w:tcW w:w="120" w:type="dxa"/>
            <w:vAlign w:val="bottom"/>
            <w:tcBorders>
              <w:bottom w:val="single" w:sz="8" w:color="CCEEFF"/>
              <w:right w:val="single" w:sz="8" w:color="auto"/>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4120" w:type="dxa"/>
            <w:vAlign w:val="bottom"/>
            <w:tcBorders>
              <w:left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
        </w:trPr>
        <w:tc>
          <w:tcPr>
            <w:tcW w:w="4120" w:type="dxa"/>
            <w:vAlign w:val="bottom"/>
            <w:tcBorders>
              <w:left w:val="single" w:sz="8" w:color="auto"/>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660" w:right="120" w:hanging="652"/>
        <w:spacing w:after="0" w:line="201" w:lineRule="auto"/>
        <w:tabs>
          <w:tab w:leader="none" w:pos="655" w:val="left"/>
        </w:tabs>
        <w:numPr>
          <w:ilvl w:val="0"/>
          <w:numId w:val="2"/>
        </w:numPr>
        <w:rPr>
          <w:rFonts w:ascii="Arial" w:cs="Arial" w:eastAsia="Arial" w:hAnsi="Arial"/>
          <w:sz w:val="16"/>
          <w:szCs w:val="16"/>
          <w:color w:val="auto"/>
          <w:vertAlign w:val="superscript"/>
        </w:rPr>
      </w:pPr>
      <w:r>
        <w:rPr>
          <w:rFonts w:ascii="Arial" w:cs="Arial" w:eastAsia="Arial" w:hAnsi="Arial"/>
          <w:sz w:val="13"/>
          <w:szCs w:val="13"/>
          <w:color w:val="auto"/>
        </w:rPr>
        <w:t>The assumed average foreign exchange rate is $1.10 Canadian to $1.00 U.S. for the six-month period ending December 31, 2014. The rate as of August 5, 2014 was $1.10 Canadian to $1.00 U.S. A $0.05 change in the FX rate will impact adjusted EBITDA for the six months ending December 31, 2014 by approximately $12 million.</w:t>
      </w:r>
    </w:p>
    <w:p>
      <w:pPr>
        <w:jc w:val="both"/>
        <w:ind w:left="660" w:right="180" w:hanging="652"/>
        <w:spacing w:after="0" w:line="208" w:lineRule="auto"/>
        <w:tabs>
          <w:tab w:leader="none" w:pos="660" w:val="left"/>
        </w:tabs>
        <w:numPr>
          <w:ilvl w:val="0"/>
          <w:numId w:val="2"/>
        </w:numPr>
        <w:rPr>
          <w:rFonts w:ascii="Arial" w:cs="Arial" w:eastAsia="Arial" w:hAnsi="Arial"/>
          <w:sz w:val="16"/>
          <w:szCs w:val="16"/>
          <w:color w:val="auto"/>
          <w:vertAlign w:val="superscript"/>
        </w:rPr>
      </w:pPr>
      <w:r>
        <w:rPr>
          <w:rFonts w:ascii="Arial" w:cs="Arial" w:eastAsia="Arial" w:hAnsi="Arial"/>
          <w:sz w:val="13"/>
          <w:szCs w:val="13"/>
          <w:color w:val="auto"/>
        </w:rPr>
        <w:t>We calculate net income available to limited partners based on the distributions pertaining to the current period’s net income. After adjusting for the appropriate period’s distributions, the remaining undistributed earnings or excess distributions over earnings, if any, are allocated to the general partner, limited partners and participating securities in accordance with the contractual terms of the partnership agreement and as further prescribed under the two-class method.</w:t>
      </w:r>
    </w:p>
    <w:p>
      <w:pPr>
        <w:spacing w:after="0" w:line="19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Notes and Significant Assumptions: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1. </w:t>
      </w:r>
      <w:r>
        <w:rPr>
          <w:rFonts w:ascii="Arial" w:cs="Arial" w:eastAsia="Arial" w:hAnsi="Arial"/>
          <w:sz w:val="18"/>
          <w:szCs w:val="18"/>
          <w:i w:val="1"/>
          <w:iCs w:val="1"/>
          <w:color w:val="auto"/>
        </w:rPr>
        <w:t>Definitions.</w:t>
      </w:r>
    </w:p>
    <w:p>
      <w:pPr>
        <w:sectPr>
          <w:pgSz w:w="11900" w:h="16888" w:orient="portrait"/>
          <w:cols w:equalWidth="0" w:num="1">
            <w:col w:w="11440"/>
          </w:cols>
          <w:pgMar w:left="240" w:top="125" w:right="219" w:bottom="0" w:gutter="0" w:footer="0" w:header="0"/>
        </w:sectPr>
      </w:pP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EBIT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EBITDA</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Segment Profit</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DCF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FASB</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Bbls/d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Bcf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LTIP</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Earnings before interest and taxes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Earnings before interest, taxes and depreciation and amortization expense</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Net revenues (including equity earnings, as applicable) less field operating costs and segment general and administrative expenses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Distributable Cash Flow</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Financial Accounting Standards Board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Barrels per day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Billion cubic feet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Long-Term Incentive Plan</w:t>
      </w:r>
    </w:p>
    <w:p>
      <w:pPr>
        <w:sectPr>
          <w:pgSz w:w="11900" w:h="16888" w:orient="portrait"/>
          <w:cols w:equalWidth="0" w:num="2">
            <w:col w:w="1280" w:space="720"/>
            <w:col w:w="9440"/>
          </w:cols>
          <w:pgMar w:left="240" w:top="125" w:right="219" w:bottom="0" w:gutter="0" w:footer="0" w:header="0"/>
          <w:type w:val="continuous"/>
        </w:sectPr>
      </w:pPr>
    </w:p>
    <w:bookmarkStart w:id="2" w:name="page3"/>
    <w:bookmarkEnd w:id="2"/>
    <w:p>
      <w:pPr>
        <w:spacing w:after="0" w:line="11" w:lineRule="exact"/>
        <w:rPr>
          <w:sz w:val="20"/>
          <w:szCs w:val="20"/>
          <w:color w:val="auto"/>
        </w:rPr>
      </w:pPr>
    </w:p>
    <w:p>
      <w:pPr>
        <w:spacing w:after="0"/>
        <w:tabs>
          <w:tab w:leader="none" w:pos="1980" w:val="left"/>
        </w:tabs>
        <w:rPr>
          <w:sz w:val="20"/>
          <w:szCs w:val="20"/>
          <w:color w:val="auto"/>
        </w:rPr>
      </w:pPr>
      <w:r>
        <w:rPr>
          <w:rFonts w:ascii="Arial" w:cs="Arial" w:eastAsia="Arial" w:hAnsi="Arial"/>
          <w:sz w:val="16"/>
          <w:szCs w:val="16"/>
          <w:color w:val="auto"/>
        </w:rPr>
        <w:t>NGL</w:t>
      </w:r>
      <w:r>
        <w:rPr>
          <w:sz w:val="20"/>
          <w:szCs w:val="20"/>
          <w:color w:val="auto"/>
        </w:rPr>
        <w:tab/>
      </w:r>
      <w:r>
        <w:rPr>
          <w:rFonts w:ascii="Arial" w:cs="Arial" w:eastAsia="Arial" w:hAnsi="Arial"/>
          <w:sz w:val="16"/>
          <w:szCs w:val="16"/>
          <w:color w:val="auto"/>
        </w:rPr>
        <w:t>Natural gas liquids. Includes ethane and natural gasoline products as well as propane and butane, which are often referred to as</w:t>
      </w:r>
    </w:p>
    <w:p>
      <w:pPr>
        <w:spacing w:after="0" w:line="46" w:lineRule="exact"/>
        <w:rPr>
          <w:sz w:val="20"/>
          <w:szCs w:val="20"/>
          <w:color w:val="auto"/>
        </w:rPr>
      </w:pPr>
    </w:p>
    <w:p>
      <w:pPr>
        <w:ind w:left="2000"/>
        <w:spacing w:after="0"/>
        <w:rPr>
          <w:sz w:val="20"/>
          <w:szCs w:val="20"/>
          <w:color w:val="auto"/>
        </w:rPr>
      </w:pPr>
      <w:r>
        <w:rPr>
          <w:rFonts w:ascii="Arial" w:cs="Arial" w:eastAsia="Arial" w:hAnsi="Arial"/>
          <w:sz w:val="18"/>
          <w:szCs w:val="18"/>
          <w:color w:val="auto"/>
        </w:rPr>
        <w:t>liquefied petroleum gas (LPG). When used in this document NGL refers to all NGL products including LPG.</w:t>
      </w:r>
    </w:p>
    <w:p>
      <w:pPr>
        <w:spacing w:after="0" w:line="9" w:lineRule="exact"/>
        <w:rPr>
          <w:sz w:val="20"/>
          <w:szCs w:val="20"/>
          <w:color w:val="auto"/>
        </w:rPr>
      </w:pPr>
    </w:p>
    <w:p>
      <w:pPr>
        <w:spacing w:after="0"/>
        <w:tabs>
          <w:tab w:leader="none" w:pos="1980" w:val="left"/>
        </w:tabs>
        <w:rPr>
          <w:sz w:val="20"/>
          <w:szCs w:val="20"/>
          <w:color w:val="auto"/>
        </w:rPr>
      </w:pPr>
      <w:r>
        <w:rPr>
          <w:rFonts w:ascii="Arial" w:cs="Arial" w:eastAsia="Arial" w:hAnsi="Arial"/>
          <w:sz w:val="18"/>
          <w:szCs w:val="18"/>
          <w:color w:val="auto"/>
        </w:rPr>
        <w:t>FX</w:t>
      </w:r>
      <w:r>
        <w:rPr>
          <w:sz w:val="20"/>
          <w:szCs w:val="20"/>
          <w:color w:val="auto"/>
        </w:rPr>
        <w:tab/>
      </w:r>
      <w:r>
        <w:rPr>
          <w:rFonts w:ascii="Arial" w:cs="Arial" w:eastAsia="Arial" w:hAnsi="Arial"/>
          <w:sz w:val="18"/>
          <w:szCs w:val="18"/>
          <w:color w:val="auto"/>
        </w:rPr>
        <w:t>Foreign currency exchange</w:t>
      </w:r>
    </w:p>
    <w:p>
      <w:pPr>
        <w:spacing w:after="0" w:line="9" w:lineRule="exact"/>
        <w:rPr>
          <w:sz w:val="20"/>
          <w:szCs w:val="20"/>
          <w:color w:val="auto"/>
        </w:rPr>
      </w:pPr>
    </w:p>
    <w:p>
      <w:pPr>
        <w:spacing w:after="0"/>
        <w:tabs>
          <w:tab w:leader="none" w:pos="1980" w:val="left"/>
        </w:tabs>
        <w:rPr>
          <w:sz w:val="20"/>
          <w:szCs w:val="20"/>
          <w:color w:val="auto"/>
        </w:rPr>
      </w:pPr>
      <w:r>
        <w:rPr>
          <w:rFonts w:ascii="Arial" w:cs="Arial" w:eastAsia="Arial" w:hAnsi="Arial"/>
          <w:sz w:val="18"/>
          <w:szCs w:val="18"/>
          <w:color w:val="auto"/>
        </w:rPr>
        <w:t>G&amp;A</w:t>
      </w:r>
      <w:r>
        <w:rPr>
          <w:sz w:val="20"/>
          <w:szCs w:val="20"/>
          <w:color w:val="auto"/>
        </w:rPr>
        <w:tab/>
      </w:r>
      <w:r>
        <w:rPr>
          <w:rFonts w:ascii="Arial" w:cs="Arial" w:eastAsia="Arial" w:hAnsi="Arial"/>
          <w:sz w:val="18"/>
          <w:szCs w:val="18"/>
          <w:color w:val="auto"/>
        </w:rPr>
        <w:t>General and administrative</w:t>
      </w:r>
    </w:p>
    <w:p>
      <w:pPr>
        <w:spacing w:after="0" w:line="9" w:lineRule="exact"/>
        <w:rPr>
          <w:sz w:val="20"/>
          <w:szCs w:val="20"/>
          <w:color w:val="auto"/>
        </w:rPr>
      </w:pPr>
    </w:p>
    <w:p>
      <w:pPr>
        <w:spacing w:after="0"/>
        <w:tabs>
          <w:tab w:leader="none" w:pos="1980" w:val="left"/>
        </w:tabs>
        <w:rPr>
          <w:sz w:val="20"/>
          <w:szCs w:val="20"/>
          <w:color w:val="auto"/>
        </w:rPr>
      </w:pPr>
      <w:r>
        <w:rPr>
          <w:rFonts w:ascii="Arial" w:cs="Arial" w:eastAsia="Arial" w:hAnsi="Arial"/>
          <w:sz w:val="18"/>
          <w:szCs w:val="18"/>
          <w:color w:val="auto"/>
        </w:rPr>
        <w:t>General partner (GP)</w:t>
      </w:r>
      <w:r>
        <w:rPr>
          <w:sz w:val="20"/>
          <w:szCs w:val="20"/>
          <w:color w:val="auto"/>
        </w:rPr>
        <w:tab/>
      </w:r>
      <w:r>
        <w:rPr>
          <w:rFonts w:ascii="Arial" w:cs="Arial" w:eastAsia="Arial" w:hAnsi="Arial"/>
          <w:sz w:val="16"/>
          <w:szCs w:val="16"/>
          <w:color w:val="auto"/>
        </w:rPr>
        <w:t>As the context requires, “general partner” or “GP” refers to any or all of (i) PAA GP LLC, the owner of our 2% general partner</w:t>
      </w:r>
    </w:p>
    <w:p>
      <w:pPr>
        <w:spacing w:after="0" w:line="9" w:lineRule="exact"/>
        <w:rPr>
          <w:sz w:val="20"/>
          <w:szCs w:val="20"/>
          <w:color w:val="auto"/>
        </w:rPr>
      </w:pPr>
    </w:p>
    <w:p>
      <w:pPr>
        <w:ind w:left="2000" w:right="120"/>
        <w:spacing w:after="0" w:line="261" w:lineRule="auto"/>
        <w:rPr>
          <w:sz w:val="20"/>
          <w:szCs w:val="20"/>
          <w:color w:val="auto"/>
        </w:rPr>
      </w:pPr>
      <w:r>
        <w:rPr>
          <w:rFonts w:ascii="Arial" w:cs="Arial" w:eastAsia="Arial" w:hAnsi="Arial"/>
          <w:sz w:val="18"/>
          <w:szCs w:val="18"/>
          <w:color w:val="auto"/>
        </w:rPr>
        <w:t>interest, (ii) Plains AAP, L.P., the sole member of PAA GP LLC and owner of our incentive distribution rights and (iii) Plains All American GP LLC, the general partner of Plains AAP, L.P.</w:t>
      </w:r>
    </w:p>
    <w:p>
      <w:pPr>
        <w:spacing w:after="0" w:line="184" w:lineRule="exact"/>
        <w:rPr>
          <w:sz w:val="20"/>
          <w:szCs w:val="20"/>
          <w:color w:val="auto"/>
        </w:rPr>
      </w:pPr>
    </w:p>
    <w:p>
      <w:pPr>
        <w:ind w:left="660" w:right="240" w:hanging="328"/>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Operating Segments</w:t>
      </w:r>
      <w:r>
        <w:rPr>
          <w:rFonts w:ascii="Arial" w:cs="Arial" w:eastAsia="Arial" w:hAnsi="Arial"/>
          <w:sz w:val="18"/>
          <w:szCs w:val="18"/>
          <w:color w:val="auto"/>
        </w:rPr>
        <w:t>. We manage our operations through three operating segments: (i) Transportation, (ii) Facilities and (iii) Supply and Logistics.</w:t>
      </w:r>
      <w:r>
        <w:rPr>
          <w:rFonts w:ascii="Arial" w:cs="Arial" w:eastAsia="Arial" w:hAnsi="Arial"/>
          <w:sz w:val="18"/>
          <w:szCs w:val="18"/>
          <w:i w:val="1"/>
          <w:iCs w:val="1"/>
          <w:color w:val="auto"/>
        </w:rPr>
        <w:t xml:space="preserve"> </w:t>
      </w:r>
      <w:r>
        <w:rPr>
          <w:rFonts w:ascii="Arial" w:cs="Arial" w:eastAsia="Arial" w:hAnsi="Arial"/>
          <w:sz w:val="18"/>
          <w:szCs w:val="18"/>
          <w:color w:val="auto"/>
        </w:rPr>
        <w:t>The following is a brief explanation of the operating activities for each segment as well as key metrics.</w:t>
      </w:r>
    </w:p>
    <w:p>
      <w:pPr>
        <w:spacing w:after="0" w:line="170" w:lineRule="exact"/>
        <w:rPr>
          <w:rFonts w:ascii="Arial" w:cs="Arial" w:eastAsia="Arial" w:hAnsi="Arial"/>
          <w:sz w:val="18"/>
          <w:szCs w:val="18"/>
          <w:color w:val="auto"/>
        </w:rPr>
      </w:pPr>
    </w:p>
    <w:p>
      <w:pPr>
        <w:ind w:left="980" w:right="20" w:hanging="324"/>
        <w:spacing w:after="0" w:line="257" w:lineRule="auto"/>
        <w:rPr>
          <w:rFonts w:ascii="Arial" w:cs="Arial" w:eastAsia="Arial" w:hAnsi="Arial"/>
          <w:sz w:val="18"/>
          <w:szCs w:val="18"/>
          <w:color w:val="auto"/>
        </w:rPr>
      </w:pPr>
      <w:r>
        <w:rPr>
          <w:rFonts w:ascii="Arial" w:cs="Arial" w:eastAsia="Arial" w:hAnsi="Arial"/>
          <w:sz w:val="18"/>
          <w:szCs w:val="18"/>
          <w:color w:val="auto"/>
        </w:rPr>
        <w:t xml:space="preserve">a. </w:t>
      </w:r>
      <w:r>
        <w:rPr>
          <w:rFonts w:ascii="Arial" w:cs="Arial" w:eastAsia="Arial" w:hAnsi="Arial"/>
          <w:sz w:val="18"/>
          <w:szCs w:val="18"/>
          <w:i w:val="1"/>
          <w:iCs w:val="1"/>
          <w:color w:val="auto"/>
        </w:rPr>
        <w:t>Transportation.</w:t>
      </w:r>
      <w:r>
        <w:rPr>
          <w:rFonts w:ascii="Arial" w:cs="Arial" w:eastAsia="Arial" w:hAnsi="Arial"/>
          <w:sz w:val="18"/>
          <w:szCs w:val="18"/>
          <w:color w:val="auto"/>
        </w:rPr>
        <w:t xml:space="preserve"> Our Transportation segment operations generally consist of fee-based activities associated with transporting crude oil and NGL on pipelines, gathering systems, trucks and barges. The Transportation segment generates revenue through a combination of tariffs, third-party leases of pipeline capacity and transportation fees. Our transportation segment also includes our equity earnings from our investments in Settoon Towing and the White Cliffs, Butte, Frontier and Eagle Ford pipeline systems, in which we own interests ranging from 22% to 50% and account for these under the equity method of accounting.</w:t>
      </w:r>
    </w:p>
    <w:p>
      <w:pPr>
        <w:spacing w:after="0" w:line="188" w:lineRule="exact"/>
        <w:rPr>
          <w:rFonts w:ascii="Arial" w:cs="Arial" w:eastAsia="Arial" w:hAnsi="Arial"/>
          <w:sz w:val="18"/>
          <w:szCs w:val="18"/>
          <w:color w:val="auto"/>
        </w:rPr>
      </w:pPr>
    </w:p>
    <w:p>
      <w:pPr>
        <w:ind w:left="980" w:right="200"/>
        <w:spacing w:after="0" w:line="291" w:lineRule="auto"/>
        <w:rPr>
          <w:rFonts w:ascii="Arial" w:cs="Arial" w:eastAsia="Arial" w:hAnsi="Arial"/>
          <w:sz w:val="18"/>
          <w:szCs w:val="18"/>
          <w:color w:val="auto"/>
        </w:rPr>
      </w:pPr>
      <w:r>
        <w:rPr>
          <w:rFonts w:ascii="Arial" w:cs="Arial" w:eastAsia="Arial" w:hAnsi="Arial"/>
          <w:sz w:val="16"/>
          <w:szCs w:val="16"/>
          <w:color w:val="auto"/>
        </w:rPr>
        <w:t>Pipeline volume estimates are based on historical trends, anticipated future operating performance and assumed completion of internal growth projects. Actual volumes will be influenced by maintenance schedules at refineries, production trends, weather and other natural occurrences including hurricanes, changes in the quantity of inventory held in tanks, and other external factors beyond our control. We forecast adjusted segment profit using the volume assumptions in the table below, priced at forecasted tariff rates, less estimated field operating costs and G&amp;A expenses. Field operating costs do not include depreciation. Actual segment profit could vary materially depending on the level and mix of volumes transported or expenses incurred during the period. The following table summarizes our total transportation volumes and highlights major systems that are significant either in total volumes transported or in contribution to total Transportation segment profit.</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8"/>
              </w:rPr>
              <w:t>Actual</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4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93"/>
              </w:rPr>
              <w:t>Guidance</w:t>
            </w:r>
          </w:p>
        </w:tc>
        <w:tc>
          <w:tcPr>
            <w:tcW w:w="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510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1100" w:type="dxa"/>
            <w:vAlign w:val="bottom"/>
            <w:tcBorders>
              <w:top w:val="single" w:sz="8" w:color="auto"/>
            </w:tcBorders>
          </w:tcPr>
          <w:p>
            <w:pPr>
              <w:jc w:val="center"/>
              <w:ind w:right="73"/>
              <w:spacing w:after="0" w:line="119" w:lineRule="exact"/>
              <w:rPr>
                <w:sz w:val="20"/>
                <w:szCs w:val="20"/>
                <w:color w:val="auto"/>
              </w:rPr>
            </w:pPr>
            <w:r>
              <w:rPr>
                <w:rFonts w:ascii="Arial" w:cs="Arial" w:eastAsia="Arial" w:hAnsi="Arial"/>
                <w:sz w:val="13"/>
                <w:szCs w:val="13"/>
                <w:b w:val="1"/>
                <w:bCs w:val="1"/>
                <w:color w:val="auto"/>
              </w:rPr>
              <w:t>Six Months</w:t>
            </w:r>
          </w:p>
        </w:tc>
        <w:tc>
          <w:tcPr>
            <w:tcW w:w="1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1480" w:type="dxa"/>
            <w:vAlign w:val="bottom"/>
            <w:tcBorders>
              <w:top w:val="single" w:sz="8" w:color="auto"/>
            </w:tcBorders>
            <w:gridSpan w:val="2"/>
          </w:tcPr>
          <w:p>
            <w:pPr>
              <w:jc w:val="center"/>
              <w:ind w:right="480"/>
              <w:spacing w:after="0" w:line="119" w:lineRule="exact"/>
              <w:rPr>
                <w:sz w:val="20"/>
                <w:szCs w:val="20"/>
                <w:color w:val="auto"/>
              </w:rPr>
            </w:pPr>
            <w:r>
              <w:rPr>
                <w:rFonts w:ascii="Arial" w:cs="Arial" w:eastAsia="Arial" w:hAnsi="Arial"/>
                <w:sz w:val="13"/>
                <w:szCs w:val="13"/>
                <w:b w:val="1"/>
                <w:bCs w:val="1"/>
                <w:color w:val="auto"/>
              </w:rPr>
              <w:t>Three Months</w:t>
            </w:r>
          </w:p>
        </w:tc>
        <w:tc>
          <w:tcPr>
            <w:tcW w:w="140" w:type="dxa"/>
            <w:vAlign w:val="bottom"/>
            <w:tcBorders>
              <w:top w:val="single" w:sz="8" w:color="auto"/>
            </w:tcBorders>
          </w:tcPr>
          <w:p>
            <w:pPr>
              <w:spacing w:after="0"/>
              <w:rPr>
                <w:sz w:val="10"/>
                <w:szCs w:val="10"/>
                <w:color w:val="auto"/>
              </w:rPr>
            </w:pPr>
          </w:p>
        </w:tc>
        <w:tc>
          <w:tcPr>
            <w:tcW w:w="1440" w:type="dxa"/>
            <w:vAlign w:val="bottom"/>
            <w:tcBorders>
              <w:top w:val="single" w:sz="8" w:color="auto"/>
            </w:tcBorders>
            <w:gridSpan w:val="2"/>
          </w:tcPr>
          <w:p>
            <w:pPr>
              <w:jc w:val="center"/>
              <w:ind w:right="480"/>
              <w:spacing w:after="0" w:line="119" w:lineRule="exact"/>
              <w:rPr>
                <w:sz w:val="20"/>
                <w:szCs w:val="20"/>
                <w:color w:val="auto"/>
              </w:rPr>
            </w:pPr>
            <w:r>
              <w:rPr>
                <w:rFonts w:ascii="Arial" w:cs="Arial" w:eastAsia="Arial" w:hAnsi="Arial"/>
                <w:sz w:val="13"/>
                <w:szCs w:val="13"/>
                <w:b w:val="1"/>
                <w:bCs w:val="1"/>
                <w:color w:val="auto"/>
              </w:rPr>
              <w:t>Three Months</w:t>
            </w:r>
          </w:p>
        </w:tc>
        <w:tc>
          <w:tcPr>
            <w:tcW w:w="120" w:type="dxa"/>
            <w:vAlign w:val="bottom"/>
            <w:tcBorders>
              <w:top w:val="single" w:sz="8" w:color="auto"/>
            </w:tcBorders>
          </w:tcPr>
          <w:p>
            <w:pPr>
              <w:spacing w:after="0"/>
              <w:rPr>
                <w:sz w:val="10"/>
                <w:szCs w:val="10"/>
                <w:color w:val="auto"/>
              </w:rPr>
            </w:pPr>
          </w:p>
        </w:tc>
        <w:tc>
          <w:tcPr>
            <w:tcW w:w="1120" w:type="dxa"/>
            <w:vAlign w:val="bottom"/>
            <w:tcBorders>
              <w:top w:val="single" w:sz="8" w:color="auto"/>
            </w:tcBorders>
          </w:tcPr>
          <w:p>
            <w:pPr>
              <w:jc w:val="center"/>
              <w:ind w:right="12"/>
              <w:spacing w:after="0" w:line="119" w:lineRule="exact"/>
              <w:rPr>
                <w:sz w:val="20"/>
                <w:szCs w:val="20"/>
                <w:color w:val="auto"/>
              </w:rPr>
            </w:pPr>
            <w:r>
              <w:rPr>
                <w:rFonts w:ascii="Arial" w:cs="Arial" w:eastAsia="Arial" w:hAnsi="Arial"/>
                <w:sz w:val="13"/>
                <w:szCs w:val="13"/>
                <w:b w:val="1"/>
                <w:bCs w:val="1"/>
                <w:color w:val="auto"/>
              </w:rPr>
              <w:t>Twelve Months</w:t>
            </w:r>
          </w:p>
        </w:tc>
        <w:tc>
          <w:tcPr>
            <w:tcW w:w="2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5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8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3"/>
              </w:rPr>
              <w:t>Ended</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8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92"/>
              </w:rPr>
              <w:t>Ending</w:t>
            </w:r>
          </w:p>
        </w:tc>
        <w:tc>
          <w:tcPr>
            <w:tcW w:w="140" w:type="dxa"/>
            <w:vAlign w:val="bottom"/>
          </w:tcPr>
          <w:p>
            <w:pPr>
              <w:spacing w:after="0"/>
              <w:rPr>
                <w:sz w:val="12"/>
                <w:szCs w:val="12"/>
                <w:color w:val="auto"/>
              </w:rPr>
            </w:pPr>
          </w:p>
        </w:tc>
        <w:tc>
          <w:tcPr>
            <w:tcW w:w="144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92"/>
              </w:rPr>
              <w:t>Ending</w:t>
            </w:r>
          </w:p>
        </w:tc>
        <w:tc>
          <w:tcPr>
            <w:tcW w:w="120" w:type="dxa"/>
            <w:vAlign w:val="bottom"/>
          </w:tcPr>
          <w:p>
            <w:pPr>
              <w:spacing w:after="0"/>
              <w:rPr>
                <w:sz w:val="12"/>
                <w:szCs w:val="12"/>
                <w:color w:val="auto"/>
              </w:rPr>
            </w:pPr>
          </w:p>
        </w:tc>
        <w:tc>
          <w:tcPr>
            <w:tcW w:w="140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2"/>
              </w:rPr>
              <w:t>Ending</w:t>
            </w:r>
          </w:p>
        </w:tc>
        <w:tc>
          <w:tcPr>
            <w:tcW w:w="0" w:type="dxa"/>
            <w:vAlign w:val="bottom"/>
          </w:tcPr>
          <w:p>
            <w:pPr>
              <w:spacing w:after="0"/>
              <w:rPr>
                <w:sz w:val="1"/>
                <w:szCs w:val="1"/>
                <w:color w:val="auto"/>
              </w:rPr>
            </w:pPr>
          </w:p>
        </w:tc>
      </w:tr>
      <w:tr>
        <w:trPr>
          <w:trHeight w:val="171"/>
        </w:trPr>
        <w:tc>
          <w:tcPr>
            <w:tcW w:w="5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3"/>
              </w:rPr>
              <w:t>Jun 30, 2014</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8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0"/>
              </w:rPr>
              <w:t>Sep 30, 2014</w:t>
            </w:r>
          </w:p>
        </w:tc>
        <w:tc>
          <w:tcPr>
            <w:tcW w:w="140" w:type="dxa"/>
            <w:vAlign w:val="bottom"/>
          </w:tcPr>
          <w:p>
            <w:pPr>
              <w:spacing w:after="0"/>
              <w:rPr>
                <w:sz w:val="14"/>
                <w:szCs w:val="14"/>
                <w:color w:val="auto"/>
              </w:rPr>
            </w:pPr>
          </w:p>
        </w:tc>
        <w:tc>
          <w:tcPr>
            <w:tcW w:w="144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0"/>
              </w:rPr>
              <w:t>Dec 31, 2014</w:t>
            </w:r>
          </w:p>
        </w:tc>
        <w:tc>
          <w:tcPr>
            <w:tcW w:w="120" w:type="dxa"/>
            <w:vAlign w:val="bottom"/>
          </w:tcPr>
          <w:p>
            <w:pPr>
              <w:spacing w:after="0"/>
              <w:rPr>
                <w:sz w:val="14"/>
                <w:szCs w:val="14"/>
                <w:color w:val="auto"/>
              </w:rPr>
            </w:pPr>
          </w:p>
        </w:tc>
        <w:tc>
          <w:tcPr>
            <w:tcW w:w="140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0"/>
              </w:rPr>
              <w:t>Dec 31, 2014</w:t>
            </w:r>
          </w:p>
        </w:tc>
        <w:tc>
          <w:tcPr>
            <w:tcW w:w="0" w:type="dxa"/>
            <w:vAlign w:val="bottom"/>
          </w:tcPr>
          <w:p>
            <w:pPr>
              <w:spacing w:after="0"/>
              <w:rPr>
                <w:sz w:val="1"/>
                <w:szCs w:val="1"/>
                <w:color w:val="auto"/>
              </w:rPr>
            </w:pPr>
          </w:p>
        </w:tc>
      </w:tr>
      <w:tr>
        <w:trPr>
          <w:trHeight w:val="196"/>
        </w:trPr>
        <w:tc>
          <w:tcPr>
            <w:tcW w:w="51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Average Daily Volumes (MBbls/d)</w:t>
            </w:r>
          </w:p>
        </w:tc>
        <w:tc>
          <w:tcPr>
            <w:tcW w:w="160" w:type="dxa"/>
            <w:vAlign w:val="bottom"/>
            <w:tcBorders>
              <w:top w:val="single" w:sz="8" w:color="auto"/>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100" w:type="dxa"/>
            <w:vAlign w:val="bottom"/>
          </w:tcPr>
          <w:p>
            <w:pPr>
              <w:ind w:left="180"/>
              <w:spacing w:after="0"/>
              <w:rPr>
                <w:sz w:val="20"/>
                <w:szCs w:val="20"/>
                <w:color w:val="auto"/>
              </w:rPr>
            </w:pPr>
            <w:r>
              <w:rPr>
                <w:rFonts w:ascii="Arial" w:cs="Arial" w:eastAsia="Arial" w:hAnsi="Arial"/>
                <w:sz w:val="18"/>
                <w:szCs w:val="18"/>
                <w:color w:val="auto"/>
              </w:rPr>
              <w:t>Crude Oil Pipelines</w:t>
            </w: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All American</w:t>
            </w:r>
          </w:p>
        </w:tc>
        <w:tc>
          <w:tcPr>
            <w:tcW w:w="1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36</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35</w:t>
            </w:r>
          </w:p>
        </w:tc>
        <w:tc>
          <w:tcPr>
            <w:tcW w:w="1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16"/>
        </w:trPr>
        <w:tc>
          <w:tcPr>
            <w:tcW w:w="5100" w:type="dxa"/>
            <w:vAlign w:val="bottom"/>
          </w:tcPr>
          <w:p>
            <w:pPr>
              <w:ind w:left="360"/>
              <w:spacing w:after="0"/>
              <w:rPr>
                <w:sz w:val="20"/>
                <w:szCs w:val="20"/>
                <w:color w:val="auto"/>
              </w:rPr>
            </w:pPr>
            <w:r>
              <w:rPr>
                <w:rFonts w:ascii="Arial" w:cs="Arial" w:eastAsia="Arial" w:hAnsi="Arial"/>
                <w:sz w:val="18"/>
                <w:szCs w:val="18"/>
                <w:color w:val="auto"/>
              </w:rPr>
              <w:t>Bakken Area Systems</w:t>
            </w:r>
          </w:p>
        </w:tc>
        <w:tc>
          <w:tcPr>
            <w:tcW w:w="16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138</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gridSpan w:val="2"/>
          </w:tcPr>
          <w:p>
            <w:pPr>
              <w:jc w:val="right"/>
              <w:ind w:right="360"/>
              <w:spacing w:after="0"/>
              <w:rPr>
                <w:sz w:val="20"/>
                <w:szCs w:val="20"/>
                <w:color w:val="auto"/>
              </w:rPr>
            </w:pPr>
            <w:r>
              <w:rPr>
                <w:rFonts w:ascii="Arial" w:cs="Arial" w:eastAsia="Arial" w:hAnsi="Arial"/>
                <w:sz w:val="18"/>
                <w:szCs w:val="18"/>
                <w:color w:val="auto"/>
              </w:rPr>
              <w:t>155</w:t>
            </w:r>
          </w:p>
        </w:tc>
        <w:tc>
          <w:tcPr>
            <w:tcW w:w="140" w:type="dxa"/>
            <w:vAlign w:val="bottom"/>
          </w:tcPr>
          <w:p>
            <w:pPr>
              <w:spacing w:after="0"/>
              <w:rPr>
                <w:sz w:val="18"/>
                <w:szCs w:val="18"/>
                <w:color w:val="auto"/>
              </w:rPr>
            </w:pPr>
          </w:p>
        </w:tc>
        <w:tc>
          <w:tcPr>
            <w:tcW w:w="1440" w:type="dxa"/>
            <w:vAlign w:val="bottom"/>
            <w:gridSpan w:val="2"/>
          </w:tcPr>
          <w:p>
            <w:pPr>
              <w:jc w:val="right"/>
              <w:ind w:right="340"/>
              <w:spacing w:after="0"/>
              <w:rPr>
                <w:sz w:val="20"/>
                <w:szCs w:val="20"/>
                <w:color w:val="auto"/>
              </w:rPr>
            </w:pPr>
            <w:r>
              <w:rPr>
                <w:rFonts w:ascii="Arial" w:cs="Arial" w:eastAsia="Arial" w:hAnsi="Arial"/>
                <w:sz w:val="18"/>
                <w:szCs w:val="18"/>
                <w:color w:val="auto"/>
              </w:rPr>
              <w:t>160</w:t>
            </w:r>
          </w:p>
        </w:tc>
        <w:tc>
          <w:tcPr>
            <w:tcW w:w="120" w:type="dxa"/>
            <w:vAlign w:val="bottom"/>
          </w:tcPr>
          <w:p>
            <w:pPr>
              <w:spacing w:after="0"/>
              <w:rPr>
                <w:sz w:val="18"/>
                <w:szCs w:val="18"/>
                <w:color w:val="auto"/>
              </w:rPr>
            </w:pPr>
          </w:p>
        </w:tc>
        <w:tc>
          <w:tcPr>
            <w:tcW w:w="1400" w:type="dxa"/>
            <w:vAlign w:val="bottom"/>
            <w:gridSpan w:val="2"/>
          </w:tcPr>
          <w:p>
            <w:pPr>
              <w:jc w:val="right"/>
              <w:ind w:right="280"/>
              <w:spacing w:after="0"/>
              <w:rPr>
                <w:sz w:val="20"/>
                <w:szCs w:val="20"/>
                <w:color w:val="auto"/>
              </w:rPr>
            </w:pPr>
            <w:r>
              <w:rPr>
                <w:rFonts w:ascii="Arial" w:cs="Arial" w:eastAsia="Arial" w:hAnsi="Arial"/>
                <w:sz w:val="18"/>
                <w:szCs w:val="18"/>
                <w:color w:val="auto"/>
              </w:rPr>
              <w:t>148</w:t>
            </w:r>
          </w:p>
        </w:tc>
        <w:tc>
          <w:tcPr>
            <w:tcW w:w="0" w:type="dxa"/>
            <w:vAlign w:val="bottom"/>
          </w:tcPr>
          <w:p>
            <w:pPr>
              <w:spacing w:after="0"/>
              <w:rPr>
                <w:sz w:val="1"/>
                <w:szCs w:val="1"/>
                <w:color w:val="auto"/>
              </w:rPr>
            </w:pPr>
          </w:p>
        </w:tc>
      </w:tr>
      <w:tr>
        <w:trPr>
          <w:trHeight w:val="216"/>
        </w:trPr>
        <w:tc>
          <w:tcPr>
            <w:tcW w:w="51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Basin/Mesa</w:t>
            </w:r>
          </w:p>
        </w:tc>
        <w:tc>
          <w:tcPr>
            <w:tcW w:w="1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729</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735</w:t>
            </w: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740</w:t>
            </w:r>
          </w:p>
        </w:tc>
        <w:tc>
          <w:tcPr>
            <w:tcW w:w="1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733</w:t>
            </w:r>
          </w:p>
        </w:tc>
        <w:tc>
          <w:tcPr>
            <w:tcW w:w="0" w:type="dxa"/>
            <w:vAlign w:val="bottom"/>
          </w:tcPr>
          <w:p>
            <w:pPr>
              <w:spacing w:after="0"/>
              <w:rPr>
                <w:sz w:val="1"/>
                <w:szCs w:val="1"/>
                <w:color w:val="auto"/>
              </w:rPr>
            </w:pPr>
          </w:p>
        </w:tc>
      </w:tr>
      <w:tr>
        <w:trPr>
          <w:trHeight w:val="216"/>
        </w:trPr>
        <w:tc>
          <w:tcPr>
            <w:tcW w:w="5100" w:type="dxa"/>
            <w:vAlign w:val="bottom"/>
          </w:tcPr>
          <w:p>
            <w:pPr>
              <w:ind w:left="360"/>
              <w:spacing w:after="0"/>
              <w:rPr>
                <w:sz w:val="20"/>
                <w:szCs w:val="20"/>
                <w:color w:val="auto"/>
              </w:rPr>
            </w:pPr>
            <w:r>
              <w:rPr>
                <w:rFonts w:ascii="Arial" w:cs="Arial" w:eastAsia="Arial" w:hAnsi="Arial"/>
                <w:sz w:val="18"/>
                <w:szCs w:val="18"/>
                <w:color w:val="auto"/>
              </w:rPr>
              <w:t>Capline</w:t>
            </w:r>
          </w:p>
        </w:tc>
        <w:tc>
          <w:tcPr>
            <w:tcW w:w="16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123</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gridSpan w:val="2"/>
          </w:tcPr>
          <w:p>
            <w:pPr>
              <w:jc w:val="right"/>
              <w:ind w:right="360"/>
              <w:spacing w:after="0"/>
              <w:rPr>
                <w:sz w:val="20"/>
                <w:szCs w:val="20"/>
                <w:color w:val="auto"/>
              </w:rPr>
            </w:pPr>
            <w:r>
              <w:rPr>
                <w:rFonts w:ascii="Arial" w:cs="Arial" w:eastAsia="Arial" w:hAnsi="Arial"/>
                <w:sz w:val="18"/>
                <w:szCs w:val="18"/>
                <w:color w:val="auto"/>
              </w:rPr>
              <w:t>155</w:t>
            </w:r>
          </w:p>
        </w:tc>
        <w:tc>
          <w:tcPr>
            <w:tcW w:w="140" w:type="dxa"/>
            <w:vAlign w:val="bottom"/>
          </w:tcPr>
          <w:p>
            <w:pPr>
              <w:spacing w:after="0"/>
              <w:rPr>
                <w:sz w:val="18"/>
                <w:szCs w:val="18"/>
                <w:color w:val="auto"/>
              </w:rPr>
            </w:pPr>
          </w:p>
        </w:tc>
        <w:tc>
          <w:tcPr>
            <w:tcW w:w="1440" w:type="dxa"/>
            <w:vAlign w:val="bottom"/>
            <w:gridSpan w:val="2"/>
          </w:tcPr>
          <w:p>
            <w:pPr>
              <w:jc w:val="right"/>
              <w:ind w:right="340"/>
              <w:spacing w:after="0"/>
              <w:rPr>
                <w:sz w:val="20"/>
                <w:szCs w:val="20"/>
                <w:color w:val="auto"/>
              </w:rPr>
            </w:pPr>
            <w:r>
              <w:rPr>
                <w:rFonts w:ascii="Arial" w:cs="Arial" w:eastAsia="Arial" w:hAnsi="Arial"/>
                <w:sz w:val="18"/>
                <w:szCs w:val="18"/>
                <w:color w:val="auto"/>
              </w:rPr>
              <w:t>155</w:t>
            </w:r>
          </w:p>
        </w:tc>
        <w:tc>
          <w:tcPr>
            <w:tcW w:w="120" w:type="dxa"/>
            <w:vAlign w:val="bottom"/>
          </w:tcPr>
          <w:p>
            <w:pPr>
              <w:spacing w:after="0"/>
              <w:rPr>
                <w:sz w:val="18"/>
                <w:szCs w:val="18"/>
                <w:color w:val="auto"/>
              </w:rPr>
            </w:pPr>
          </w:p>
        </w:tc>
        <w:tc>
          <w:tcPr>
            <w:tcW w:w="1400" w:type="dxa"/>
            <w:vAlign w:val="bottom"/>
            <w:gridSpan w:val="2"/>
          </w:tcPr>
          <w:p>
            <w:pPr>
              <w:jc w:val="right"/>
              <w:ind w:right="280"/>
              <w:spacing w:after="0"/>
              <w:rPr>
                <w:sz w:val="20"/>
                <w:szCs w:val="20"/>
                <w:color w:val="auto"/>
              </w:rPr>
            </w:pPr>
            <w:r>
              <w:rPr>
                <w:rFonts w:ascii="Arial" w:cs="Arial" w:eastAsia="Arial" w:hAnsi="Arial"/>
                <w:sz w:val="18"/>
                <w:szCs w:val="18"/>
                <w:color w:val="auto"/>
              </w:rPr>
              <w:t>139</w:t>
            </w:r>
          </w:p>
        </w:tc>
        <w:tc>
          <w:tcPr>
            <w:tcW w:w="0" w:type="dxa"/>
            <w:vAlign w:val="bottom"/>
          </w:tcPr>
          <w:p>
            <w:pPr>
              <w:spacing w:after="0"/>
              <w:rPr>
                <w:sz w:val="1"/>
                <w:szCs w:val="1"/>
                <w:color w:val="auto"/>
              </w:rPr>
            </w:pPr>
          </w:p>
        </w:tc>
      </w:tr>
      <w:tr>
        <w:trPr>
          <w:trHeight w:val="216"/>
        </w:trPr>
        <w:tc>
          <w:tcPr>
            <w:tcW w:w="51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Eagle Ford Area Systems</w:t>
            </w:r>
          </w:p>
        </w:tc>
        <w:tc>
          <w:tcPr>
            <w:tcW w:w="1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199</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230</w:t>
            </w: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260</w:t>
            </w:r>
          </w:p>
        </w:tc>
        <w:tc>
          <w:tcPr>
            <w:tcW w:w="1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222</w:t>
            </w:r>
          </w:p>
        </w:tc>
        <w:tc>
          <w:tcPr>
            <w:tcW w:w="0" w:type="dxa"/>
            <w:vAlign w:val="bottom"/>
          </w:tcPr>
          <w:p>
            <w:pPr>
              <w:spacing w:after="0"/>
              <w:rPr>
                <w:sz w:val="1"/>
                <w:szCs w:val="1"/>
                <w:color w:val="auto"/>
              </w:rPr>
            </w:pPr>
          </w:p>
        </w:tc>
      </w:tr>
      <w:tr>
        <w:trPr>
          <w:trHeight w:val="216"/>
        </w:trPr>
        <w:tc>
          <w:tcPr>
            <w:tcW w:w="5100" w:type="dxa"/>
            <w:vAlign w:val="bottom"/>
          </w:tcPr>
          <w:p>
            <w:pPr>
              <w:ind w:left="360"/>
              <w:spacing w:after="0"/>
              <w:rPr>
                <w:sz w:val="20"/>
                <w:szCs w:val="20"/>
                <w:color w:val="auto"/>
              </w:rPr>
            </w:pPr>
            <w:r>
              <w:rPr>
                <w:rFonts w:ascii="Arial" w:cs="Arial" w:eastAsia="Arial" w:hAnsi="Arial"/>
                <w:sz w:val="18"/>
                <w:szCs w:val="18"/>
                <w:color w:val="auto"/>
              </w:rPr>
              <w:t>Line 63 / 2000</w:t>
            </w:r>
          </w:p>
        </w:tc>
        <w:tc>
          <w:tcPr>
            <w:tcW w:w="16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116</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gridSpan w:val="2"/>
          </w:tcPr>
          <w:p>
            <w:pPr>
              <w:jc w:val="right"/>
              <w:ind w:right="360"/>
              <w:spacing w:after="0"/>
              <w:rPr>
                <w:sz w:val="20"/>
                <w:szCs w:val="20"/>
                <w:color w:val="auto"/>
              </w:rPr>
            </w:pPr>
            <w:r>
              <w:rPr>
                <w:rFonts w:ascii="Arial" w:cs="Arial" w:eastAsia="Arial" w:hAnsi="Arial"/>
                <w:sz w:val="18"/>
                <w:szCs w:val="18"/>
                <w:color w:val="auto"/>
              </w:rPr>
              <w:t>120</w:t>
            </w:r>
          </w:p>
        </w:tc>
        <w:tc>
          <w:tcPr>
            <w:tcW w:w="140" w:type="dxa"/>
            <w:vAlign w:val="bottom"/>
          </w:tcPr>
          <w:p>
            <w:pPr>
              <w:spacing w:after="0"/>
              <w:rPr>
                <w:sz w:val="18"/>
                <w:szCs w:val="18"/>
                <w:color w:val="auto"/>
              </w:rPr>
            </w:pPr>
          </w:p>
        </w:tc>
        <w:tc>
          <w:tcPr>
            <w:tcW w:w="1440" w:type="dxa"/>
            <w:vAlign w:val="bottom"/>
            <w:gridSpan w:val="2"/>
          </w:tcPr>
          <w:p>
            <w:pPr>
              <w:jc w:val="right"/>
              <w:ind w:right="340"/>
              <w:spacing w:after="0"/>
              <w:rPr>
                <w:sz w:val="20"/>
                <w:szCs w:val="20"/>
                <w:color w:val="auto"/>
              </w:rPr>
            </w:pPr>
            <w:r>
              <w:rPr>
                <w:rFonts w:ascii="Arial" w:cs="Arial" w:eastAsia="Arial" w:hAnsi="Arial"/>
                <w:sz w:val="18"/>
                <w:szCs w:val="18"/>
                <w:color w:val="auto"/>
              </w:rPr>
              <w:t>145</w:t>
            </w:r>
          </w:p>
        </w:tc>
        <w:tc>
          <w:tcPr>
            <w:tcW w:w="120" w:type="dxa"/>
            <w:vAlign w:val="bottom"/>
          </w:tcPr>
          <w:p>
            <w:pPr>
              <w:spacing w:after="0"/>
              <w:rPr>
                <w:sz w:val="18"/>
                <w:szCs w:val="18"/>
                <w:color w:val="auto"/>
              </w:rPr>
            </w:pPr>
          </w:p>
        </w:tc>
        <w:tc>
          <w:tcPr>
            <w:tcW w:w="1400" w:type="dxa"/>
            <w:vAlign w:val="bottom"/>
            <w:gridSpan w:val="2"/>
          </w:tcPr>
          <w:p>
            <w:pPr>
              <w:jc w:val="right"/>
              <w:ind w:right="280"/>
              <w:spacing w:after="0"/>
              <w:rPr>
                <w:sz w:val="20"/>
                <w:szCs w:val="20"/>
                <w:color w:val="auto"/>
              </w:rPr>
            </w:pPr>
            <w:r>
              <w:rPr>
                <w:rFonts w:ascii="Arial" w:cs="Arial" w:eastAsia="Arial" w:hAnsi="Arial"/>
                <w:sz w:val="18"/>
                <w:szCs w:val="18"/>
                <w:color w:val="auto"/>
              </w:rPr>
              <w:t>124</w:t>
            </w:r>
          </w:p>
        </w:tc>
        <w:tc>
          <w:tcPr>
            <w:tcW w:w="0" w:type="dxa"/>
            <w:vAlign w:val="bottom"/>
          </w:tcPr>
          <w:p>
            <w:pPr>
              <w:spacing w:after="0"/>
              <w:rPr>
                <w:sz w:val="1"/>
                <w:szCs w:val="1"/>
                <w:color w:val="auto"/>
              </w:rPr>
            </w:pPr>
          </w:p>
        </w:tc>
      </w:tr>
      <w:tr>
        <w:trPr>
          <w:trHeight w:val="216"/>
        </w:trPr>
        <w:tc>
          <w:tcPr>
            <w:tcW w:w="51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Manito</w:t>
            </w:r>
          </w:p>
        </w:tc>
        <w:tc>
          <w:tcPr>
            <w:tcW w:w="1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44</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45</w:t>
            </w:r>
          </w:p>
        </w:tc>
        <w:tc>
          <w:tcPr>
            <w:tcW w:w="1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16"/>
        </w:trPr>
        <w:tc>
          <w:tcPr>
            <w:tcW w:w="5100" w:type="dxa"/>
            <w:vAlign w:val="bottom"/>
          </w:tcPr>
          <w:p>
            <w:pPr>
              <w:ind w:left="360"/>
              <w:spacing w:after="0"/>
              <w:rPr>
                <w:sz w:val="20"/>
                <w:szCs w:val="20"/>
                <w:color w:val="auto"/>
              </w:rPr>
            </w:pPr>
            <w:r>
              <w:rPr>
                <w:rFonts w:ascii="Arial" w:cs="Arial" w:eastAsia="Arial" w:hAnsi="Arial"/>
                <w:sz w:val="18"/>
                <w:szCs w:val="18"/>
                <w:color w:val="auto"/>
              </w:rPr>
              <w:t>Mid-Continent Area Systems</w:t>
            </w:r>
          </w:p>
        </w:tc>
        <w:tc>
          <w:tcPr>
            <w:tcW w:w="16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338</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gridSpan w:val="2"/>
          </w:tcPr>
          <w:p>
            <w:pPr>
              <w:jc w:val="right"/>
              <w:ind w:right="360"/>
              <w:spacing w:after="0"/>
              <w:rPr>
                <w:sz w:val="20"/>
                <w:szCs w:val="20"/>
                <w:color w:val="auto"/>
              </w:rPr>
            </w:pPr>
            <w:r>
              <w:rPr>
                <w:rFonts w:ascii="Arial" w:cs="Arial" w:eastAsia="Arial" w:hAnsi="Arial"/>
                <w:sz w:val="18"/>
                <w:szCs w:val="18"/>
                <w:color w:val="auto"/>
              </w:rPr>
              <w:t>380</w:t>
            </w:r>
          </w:p>
        </w:tc>
        <w:tc>
          <w:tcPr>
            <w:tcW w:w="140" w:type="dxa"/>
            <w:vAlign w:val="bottom"/>
          </w:tcPr>
          <w:p>
            <w:pPr>
              <w:spacing w:after="0"/>
              <w:rPr>
                <w:sz w:val="18"/>
                <w:szCs w:val="18"/>
                <w:color w:val="auto"/>
              </w:rPr>
            </w:pPr>
          </w:p>
        </w:tc>
        <w:tc>
          <w:tcPr>
            <w:tcW w:w="1440" w:type="dxa"/>
            <w:vAlign w:val="bottom"/>
            <w:gridSpan w:val="2"/>
          </w:tcPr>
          <w:p>
            <w:pPr>
              <w:jc w:val="right"/>
              <w:ind w:right="340"/>
              <w:spacing w:after="0"/>
              <w:rPr>
                <w:sz w:val="20"/>
                <w:szCs w:val="20"/>
                <w:color w:val="auto"/>
              </w:rPr>
            </w:pPr>
            <w:r>
              <w:rPr>
                <w:rFonts w:ascii="Arial" w:cs="Arial" w:eastAsia="Arial" w:hAnsi="Arial"/>
                <w:sz w:val="18"/>
                <w:szCs w:val="18"/>
                <w:color w:val="auto"/>
              </w:rPr>
              <w:t>395</w:t>
            </w:r>
          </w:p>
        </w:tc>
        <w:tc>
          <w:tcPr>
            <w:tcW w:w="120" w:type="dxa"/>
            <w:vAlign w:val="bottom"/>
          </w:tcPr>
          <w:p>
            <w:pPr>
              <w:spacing w:after="0"/>
              <w:rPr>
                <w:sz w:val="18"/>
                <w:szCs w:val="18"/>
                <w:color w:val="auto"/>
              </w:rPr>
            </w:pPr>
          </w:p>
        </w:tc>
        <w:tc>
          <w:tcPr>
            <w:tcW w:w="1400" w:type="dxa"/>
            <w:vAlign w:val="bottom"/>
            <w:gridSpan w:val="2"/>
          </w:tcPr>
          <w:p>
            <w:pPr>
              <w:jc w:val="right"/>
              <w:ind w:right="280"/>
              <w:spacing w:after="0"/>
              <w:rPr>
                <w:sz w:val="20"/>
                <w:szCs w:val="20"/>
                <w:color w:val="auto"/>
              </w:rPr>
            </w:pPr>
            <w:r>
              <w:rPr>
                <w:rFonts w:ascii="Arial" w:cs="Arial" w:eastAsia="Arial" w:hAnsi="Arial"/>
                <w:sz w:val="18"/>
                <w:szCs w:val="18"/>
                <w:color w:val="auto"/>
              </w:rPr>
              <w:t>363</w:t>
            </w:r>
          </w:p>
        </w:tc>
        <w:tc>
          <w:tcPr>
            <w:tcW w:w="0" w:type="dxa"/>
            <w:vAlign w:val="bottom"/>
          </w:tcPr>
          <w:p>
            <w:pPr>
              <w:spacing w:after="0"/>
              <w:rPr>
                <w:sz w:val="1"/>
                <w:szCs w:val="1"/>
                <w:color w:val="auto"/>
              </w:rPr>
            </w:pPr>
          </w:p>
        </w:tc>
      </w:tr>
      <w:tr>
        <w:trPr>
          <w:trHeight w:val="216"/>
        </w:trPr>
        <w:tc>
          <w:tcPr>
            <w:tcW w:w="51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Permian Basin Area Systems</w:t>
            </w:r>
          </w:p>
        </w:tc>
        <w:tc>
          <w:tcPr>
            <w:tcW w:w="1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759</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780</w:t>
            </w: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830</w:t>
            </w:r>
          </w:p>
        </w:tc>
        <w:tc>
          <w:tcPr>
            <w:tcW w:w="1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782</w:t>
            </w:r>
          </w:p>
        </w:tc>
        <w:tc>
          <w:tcPr>
            <w:tcW w:w="0" w:type="dxa"/>
            <w:vAlign w:val="bottom"/>
          </w:tcPr>
          <w:p>
            <w:pPr>
              <w:spacing w:after="0"/>
              <w:rPr>
                <w:sz w:val="1"/>
                <w:szCs w:val="1"/>
                <w:color w:val="auto"/>
              </w:rPr>
            </w:pPr>
          </w:p>
        </w:tc>
      </w:tr>
      <w:tr>
        <w:trPr>
          <w:trHeight w:val="216"/>
        </w:trPr>
        <w:tc>
          <w:tcPr>
            <w:tcW w:w="5100" w:type="dxa"/>
            <w:vAlign w:val="bottom"/>
          </w:tcPr>
          <w:p>
            <w:pPr>
              <w:ind w:left="360"/>
              <w:spacing w:after="0"/>
              <w:rPr>
                <w:sz w:val="20"/>
                <w:szCs w:val="20"/>
                <w:color w:val="auto"/>
              </w:rPr>
            </w:pPr>
            <w:r>
              <w:rPr>
                <w:rFonts w:ascii="Arial" w:cs="Arial" w:eastAsia="Arial" w:hAnsi="Arial"/>
                <w:sz w:val="18"/>
                <w:szCs w:val="18"/>
                <w:color w:val="auto"/>
              </w:rPr>
              <w:t>Rainbow</w:t>
            </w:r>
          </w:p>
        </w:tc>
        <w:tc>
          <w:tcPr>
            <w:tcW w:w="16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114</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gridSpan w:val="2"/>
          </w:tcPr>
          <w:p>
            <w:pPr>
              <w:jc w:val="right"/>
              <w:ind w:right="360"/>
              <w:spacing w:after="0"/>
              <w:rPr>
                <w:sz w:val="20"/>
                <w:szCs w:val="20"/>
                <w:color w:val="auto"/>
              </w:rPr>
            </w:pPr>
            <w:r>
              <w:rPr>
                <w:rFonts w:ascii="Arial" w:cs="Arial" w:eastAsia="Arial" w:hAnsi="Arial"/>
                <w:sz w:val="18"/>
                <w:szCs w:val="18"/>
                <w:color w:val="auto"/>
              </w:rPr>
              <w:t>120</w:t>
            </w:r>
          </w:p>
        </w:tc>
        <w:tc>
          <w:tcPr>
            <w:tcW w:w="140" w:type="dxa"/>
            <w:vAlign w:val="bottom"/>
          </w:tcPr>
          <w:p>
            <w:pPr>
              <w:spacing w:after="0"/>
              <w:rPr>
                <w:sz w:val="18"/>
                <w:szCs w:val="18"/>
                <w:color w:val="auto"/>
              </w:rPr>
            </w:pPr>
          </w:p>
        </w:tc>
        <w:tc>
          <w:tcPr>
            <w:tcW w:w="1440" w:type="dxa"/>
            <w:vAlign w:val="bottom"/>
            <w:gridSpan w:val="2"/>
          </w:tcPr>
          <w:p>
            <w:pPr>
              <w:jc w:val="right"/>
              <w:ind w:right="340"/>
              <w:spacing w:after="0"/>
              <w:rPr>
                <w:sz w:val="20"/>
                <w:szCs w:val="20"/>
                <w:color w:val="auto"/>
              </w:rPr>
            </w:pPr>
            <w:r>
              <w:rPr>
                <w:rFonts w:ascii="Arial" w:cs="Arial" w:eastAsia="Arial" w:hAnsi="Arial"/>
                <w:sz w:val="18"/>
                <w:szCs w:val="18"/>
                <w:color w:val="auto"/>
              </w:rPr>
              <w:t>120</w:t>
            </w:r>
          </w:p>
        </w:tc>
        <w:tc>
          <w:tcPr>
            <w:tcW w:w="120" w:type="dxa"/>
            <w:vAlign w:val="bottom"/>
          </w:tcPr>
          <w:p>
            <w:pPr>
              <w:spacing w:after="0"/>
              <w:rPr>
                <w:sz w:val="18"/>
                <w:szCs w:val="18"/>
                <w:color w:val="auto"/>
              </w:rPr>
            </w:pPr>
          </w:p>
        </w:tc>
        <w:tc>
          <w:tcPr>
            <w:tcW w:w="1400" w:type="dxa"/>
            <w:vAlign w:val="bottom"/>
            <w:gridSpan w:val="2"/>
          </w:tcPr>
          <w:p>
            <w:pPr>
              <w:jc w:val="right"/>
              <w:ind w:right="280"/>
              <w:spacing w:after="0"/>
              <w:rPr>
                <w:sz w:val="20"/>
                <w:szCs w:val="20"/>
                <w:color w:val="auto"/>
              </w:rPr>
            </w:pPr>
            <w:r>
              <w:rPr>
                <w:rFonts w:ascii="Arial" w:cs="Arial" w:eastAsia="Arial" w:hAnsi="Arial"/>
                <w:sz w:val="18"/>
                <w:szCs w:val="18"/>
                <w:color w:val="auto"/>
              </w:rPr>
              <w:t>117</w:t>
            </w:r>
          </w:p>
        </w:tc>
        <w:tc>
          <w:tcPr>
            <w:tcW w:w="0" w:type="dxa"/>
            <w:vAlign w:val="bottom"/>
          </w:tcPr>
          <w:p>
            <w:pPr>
              <w:spacing w:after="0"/>
              <w:rPr>
                <w:sz w:val="1"/>
                <w:szCs w:val="1"/>
                <w:color w:val="auto"/>
              </w:rPr>
            </w:pPr>
          </w:p>
        </w:tc>
      </w:tr>
      <w:tr>
        <w:trPr>
          <w:trHeight w:val="216"/>
        </w:trPr>
        <w:tc>
          <w:tcPr>
            <w:tcW w:w="51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Rangeland</w:t>
            </w:r>
          </w:p>
        </w:tc>
        <w:tc>
          <w:tcPr>
            <w:tcW w:w="1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67</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65</w:t>
            </w:r>
          </w:p>
        </w:tc>
        <w:tc>
          <w:tcPr>
            <w:tcW w:w="1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16"/>
        </w:trPr>
        <w:tc>
          <w:tcPr>
            <w:tcW w:w="5100" w:type="dxa"/>
            <w:vAlign w:val="bottom"/>
          </w:tcPr>
          <w:p>
            <w:pPr>
              <w:ind w:left="360"/>
              <w:spacing w:after="0"/>
              <w:rPr>
                <w:sz w:val="20"/>
                <w:szCs w:val="20"/>
                <w:color w:val="auto"/>
              </w:rPr>
            </w:pPr>
            <w:r>
              <w:rPr>
                <w:rFonts w:ascii="Arial" w:cs="Arial" w:eastAsia="Arial" w:hAnsi="Arial"/>
                <w:sz w:val="18"/>
                <w:szCs w:val="18"/>
                <w:color w:val="auto"/>
              </w:rPr>
              <w:t>Salt Lake City Area Systems</w:t>
            </w:r>
          </w:p>
        </w:tc>
        <w:tc>
          <w:tcPr>
            <w:tcW w:w="16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131</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gridSpan w:val="2"/>
          </w:tcPr>
          <w:p>
            <w:pPr>
              <w:jc w:val="right"/>
              <w:ind w:right="360"/>
              <w:spacing w:after="0"/>
              <w:rPr>
                <w:sz w:val="20"/>
                <w:szCs w:val="20"/>
                <w:color w:val="auto"/>
              </w:rPr>
            </w:pPr>
            <w:r>
              <w:rPr>
                <w:rFonts w:ascii="Arial" w:cs="Arial" w:eastAsia="Arial" w:hAnsi="Arial"/>
                <w:sz w:val="18"/>
                <w:szCs w:val="18"/>
                <w:color w:val="auto"/>
              </w:rPr>
              <w:t>140</w:t>
            </w:r>
          </w:p>
        </w:tc>
        <w:tc>
          <w:tcPr>
            <w:tcW w:w="140" w:type="dxa"/>
            <w:vAlign w:val="bottom"/>
          </w:tcPr>
          <w:p>
            <w:pPr>
              <w:spacing w:after="0"/>
              <w:rPr>
                <w:sz w:val="18"/>
                <w:szCs w:val="18"/>
                <w:color w:val="auto"/>
              </w:rPr>
            </w:pPr>
          </w:p>
        </w:tc>
        <w:tc>
          <w:tcPr>
            <w:tcW w:w="1440" w:type="dxa"/>
            <w:vAlign w:val="bottom"/>
            <w:gridSpan w:val="2"/>
          </w:tcPr>
          <w:p>
            <w:pPr>
              <w:jc w:val="right"/>
              <w:ind w:right="340"/>
              <w:spacing w:after="0"/>
              <w:rPr>
                <w:sz w:val="20"/>
                <w:szCs w:val="20"/>
                <w:color w:val="auto"/>
              </w:rPr>
            </w:pPr>
            <w:r>
              <w:rPr>
                <w:rFonts w:ascii="Arial" w:cs="Arial" w:eastAsia="Arial" w:hAnsi="Arial"/>
                <w:sz w:val="18"/>
                <w:szCs w:val="18"/>
                <w:color w:val="auto"/>
              </w:rPr>
              <w:t>130</w:t>
            </w:r>
          </w:p>
        </w:tc>
        <w:tc>
          <w:tcPr>
            <w:tcW w:w="120" w:type="dxa"/>
            <w:vAlign w:val="bottom"/>
          </w:tcPr>
          <w:p>
            <w:pPr>
              <w:spacing w:after="0"/>
              <w:rPr>
                <w:sz w:val="18"/>
                <w:szCs w:val="18"/>
                <w:color w:val="auto"/>
              </w:rPr>
            </w:pPr>
          </w:p>
        </w:tc>
        <w:tc>
          <w:tcPr>
            <w:tcW w:w="1400" w:type="dxa"/>
            <w:vAlign w:val="bottom"/>
            <w:gridSpan w:val="2"/>
          </w:tcPr>
          <w:p>
            <w:pPr>
              <w:jc w:val="right"/>
              <w:ind w:right="280"/>
              <w:spacing w:after="0"/>
              <w:rPr>
                <w:sz w:val="20"/>
                <w:szCs w:val="20"/>
                <w:color w:val="auto"/>
              </w:rPr>
            </w:pPr>
            <w:r>
              <w:rPr>
                <w:rFonts w:ascii="Arial" w:cs="Arial" w:eastAsia="Arial" w:hAnsi="Arial"/>
                <w:sz w:val="18"/>
                <w:szCs w:val="18"/>
                <w:color w:val="auto"/>
              </w:rPr>
              <w:t>133</w:t>
            </w:r>
          </w:p>
        </w:tc>
        <w:tc>
          <w:tcPr>
            <w:tcW w:w="0" w:type="dxa"/>
            <w:vAlign w:val="bottom"/>
          </w:tcPr>
          <w:p>
            <w:pPr>
              <w:spacing w:after="0"/>
              <w:rPr>
                <w:sz w:val="1"/>
                <w:szCs w:val="1"/>
                <w:color w:val="auto"/>
              </w:rPr>
            </w:pPr>
          </w:p>
        </w:tc>
      </w:tr>
      <w:tr>
        <w:trPr>
          <w:trHeight w:val="216"/>
        </w:trPr>
        <w:tc>
          <w:tcPr>
            <w:tcW w:w="51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South Saskatchewan</w:t>
            </w:r>
          </w:p>
        </w:tc>
        <w:tc>
          <w:tcPr>
            <w:tcW w:w="1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61</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55</w:t>
            </w:r>
          </w:p>
        </w:tc>
        <w:tc>
          <w:tcPr>
            <w:tcW w:w="1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16"/>
        </w:trPr>
        <w:tc>
          <w:tcPr>
            <w:tcW w:w="5100" w:type="dxa"/>
            <w:vAlign w:val="bottom"/>
          </w:tcPr>
          <w:p>
            <w:pPr>
              <w:ind w:left="360"/>
              <w:spacing w:after="0"/>
              <w:rPr>
                <w:sz w:val="20"/>
                <w:szCs w:val="20"/>
                <w:color w:val="auto"/>
              </w:rPr>
            </w:pPr>
            <w:r>
              <w:rPr>
                <w:rFonts w:ascii="Arial" w:cs="Arial" w:eastAsia="Arial" w:hAnsi="Arial"/>
                <w:sz w:val="18"/>
                <w:szCs w:val="18"/>
                <w:color w:val="auto"/>
              </w:rPr>
              <w:t>White Cliffs</w:t>
            </w:r>
          </w:p>
        </w:tc>
        <w:tc>
          <w:tcPr>
            <w:tcW w:w="16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24</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25</w:t>
            </w: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right"/>
              <w:ind w:right="340"/>
              <w:spacing w:after="0"/>
              <w:rPr>
                <w:sz w:val="20"/>
                <w:szCs w:val="20"/>
                <w:color w:val="auto"/>
              </w:rPr>
            </w:pPr>
            <w:r>
              <w:rPr>
                <w:rFonts w:ascii="Arial" w:cs="Arial" w:eastAsia="Arial" w:hAnsi="Arial"/>
                <w:sz w:val="18"/>
                <w:szCs w:val="18"/>
                <w:color w:val="auto"/>
              </w:rPr>
              <w:t>35</w:t>
            </w:r>
          </w:p>
        </w:tc>
        <w:tc>
          <w:tcPr>
            <w:tcW w:w="120" w:type="dxa"/>
            <w:vAlign w:val="bottom"/>
          </w:tcPr>
          <w:p>
            <w:pPr>
              <w:spacing w:after="0"/>
              <w:rPr>
                <w:sz w:val="18"/>
                <w:szCs w:val="18"/>
                <w:color w:val="auto"/>
              </w:rPr>
            </w:pPr>
          </w:p>
        </w:tc>
        <w:tc>
          <w:tcPr>
            <w:tcW w:w="1400" w:type="dxa"/>
            <w:vAlign w:val="bottom"/>
            <w:gridSpan w:val="2"/>
          </w:tcPr>
          <w:p>
            <w:pPr>
              <w:jc w:val="right"/>
              <w:ind w:right="28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16"/>
        </w:trPr>
        <w:tc>
          <w:tcPr>
            <w:tcW w:w="51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w:t>
            </w:r>
          </w:p>
        </w:tc>
        <w:tc>
          <w:tcPr>
            <w:tcW w:w="1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703</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790</w:t>
            </w: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785</w:t>
            </w:r>
          </w:p>
        </w:tc>
        <w:tc>
          <w:tcPr>
            <w:tcW w:w="1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746</w:t>
            </w:r>
          </w:p>
        </w:tc>
        <w:tc>
          <w:tcPr>
            <w:tcW w:w="0" w:type="dxa"/>
            <w:vAlign w:val="bottom"/>
          </w:tcPr>
          <w:p>
            <w:pPr>
              <w:spacing w:after="0"/>
              <w:rPr>
                <w:sz w:val="1"/>
                <w:szCs w:val="1"/>
                <w:color w:val="auto"/>
              </w:rPr>
            </w:pPr>
          </w:p>
        </w:tc>
      </w:tr>
      <w:tr>
        <w:trPr>
          <w:trHeight w:val="216"/>
        </w:trPr>
        <w:tc>
          <w:tcPr>
            <w:tcW w:w="5100" w:type="dxa"/>
            <w:vAlign w:val="bottom"/>
          </w:tcPr>
          <w:p>
            <w:pPr>
              <w:ind w:left="180"/>
              <w:spacing w:after="0"/>
              <w:rPr>
                <w:sz w:val="20"/>
                <w:szCs w:val="20"/>
                <w:color w:val="auto"/>
              </w:rPr>
            </w:pPr>
            <w:r>
              <w:rPr>
                <w:rFonts w:ascii="Arial" w:cs="Arial" w:eastAsia="Arial" w:hAnsi="Arial"/>
                <w:sz w:val="18"/>
                <w:szCs w:val="18"/>
                <w:color w:val="auto"/>
              </w:rPr>
              <w:t>NGL Pipelines</w:t>
            </w: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Co-Ed</w:t>
            </w:r>
          </w:p>
        </w:tc>
        <w:tc>
          <w:tcPr>
            <w:tcW w:w="1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56</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60</w:t>
            </w:r>
          </w:p>
        </w:tc>
        <w:tc>
          <w:tcPr>
            <w:tcW w:w="1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16"/>
        </w:trPr>
        <w:tc>
          <w:tcPr>
            <w:tcW w:w="5100" w:type="dxa"/>
            <w:vAlign w:val="bottom"/>
          </w:tcPr>
          <w:p>
            <w:pPr>
              <w:ind w:left="360"/>
              <w:spacing w:after="0"/>
              <w:rPr>
                <w:sz w:val="20"/>
                <w:szCs w:val="20"/>
                <w:color w:val="auto"/>
              </w:rPr>
            </w:pPr>
            <w:r>
              <w:rPr>
                <w:rFonts w:ascii="Arial" w:cs="Arial" w:eastAsia="Arial" w:hAnsi="Arial"/>
                <w:sz w:val="18"/>
                <w:szCs w:val="18"/>
                <w:color w:val="auto"/>
              </w:rPr>
              <w:t>Other</w:t>
            </w:r>
          </w:p>
        </w:tc>
        <w:tc>
          <w:tcPr>
            <w:tcW w:w="16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119</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gridSpan w:val="2"/>
          </w:tcPr>
          <w:p>
            <w:pPr>
              <w:jc w:val="right"/>
              <w:ind w:right="360"/>
              <w:spacing w:after="0"/>
              <w:rPr>
                <w:sz w:val="20"/>
                <w:szCs w:val="20"/>
                <w:color w:val="auto"/>
              </w:rPr>
            </w:pPr>
            <w:r>
              <w:rPr>
                <w:rFonts w:ascii="Arial" w:cs="Arial" w:eastAsia="Arial" w:hAnsi="Arial"/>
                <w:sz w:val="18"/>
                <w:szCs w:val="18"/>
                <w:color w:val="auto"/>
              </w:rPr>
              <w:t>120</w:t>
            </w:r>
          </w:p>
        </w:tc>
        <w:tc>
          <w:tcPr>
            <w:tcW w:w="140" w:type="dxa"/>
            <w:vAlign w:val="bottom"/>
          </w:tcPr>
          <w:p>
            <w:pPr>
              <w:spacing w:after="0"/>
              <w:rPr>
                <w:sz w:val="18"/>
                <w:szCs w:val="18"/>
                <w:color w:val="auto"/>
              </w:rPr>
            </w:pPr>
          </w:p>
        </w:tc>
        <w:tc>
          <w:tcPr>
            <w:tcW w:w="1440" w:type="dxa"/>
            <w:vAlign w:val="bottom"/>
            <w:gridSpan w:val="2"/>
          </w:tcPr>
          <w:p>
            <w:pPr>
              <w:jc w:val="right"/>
              <w:ind w:right="320"/>
              <w:spacing w:after="0"/>
              <w:rPr>
                <w:sz w:val="20"/>
                <w:szCs w:val="20"/>
                <w:color w:val="auto"/>
              </w:rPr>
            </w:pPr>
            <w:r>
              <w:rPr>
                <w:rFonts w:ascii="Arial" w:cs="Arial" w:eastAsia="Arial" w:hAnsi="Arial"/>
                <w:sz w:val="18"/>
                <w:szCs w:val="18"/>
                <w:color w:val="auto"/>
              </w:rPr>
              <w:t>110</w:t>
            </w:r>
          </w:p>
        </w:tc>
        <w:tc>
          <w:tcPr>
            <w:tcW w:w="120" w:type="dxa"/>
            <w:vAlign w:val="bottom"/>
          </w:tcPr>
          <w:p>
            <w:pPr>
              <w:spacing w:after="0"/>
              <w:rPr>
                <w:sz w:val="18"/>
                <w:szCs w:val="18"/>
                <w:color w:val="auto"/>
              </w:rPr>
            </w:pPr>
          </w:p>
        </w:tc>
        <w:tc>
          <w:tcPr>
            <w:tcW w:w="1400" w:type="dxa"/>
            <w:vAlign w:val="bottom"/>
            <w:gridSpan w:val="2"/>
          </w:tcPr>
          <w:p>
            <w:pPr>
              <w:jc w:val="right"/>
              <w:ind w:right="280"/>
              <w:spacing w:after="0"/>
              <w:rPr>
                <w:sz w:val="20"/>
                <w:szCs w:val="20"/>
                <w:color w:val="auto"/>
              </w:rPr>
            </w:pPr>
            <w:r>
              <w:rPr>
                <w:rFonts w:ascii="Arial" w:cs="Arial" w:eastAsia="Arial" w:hAnsi="Arial"/>
                <w:sz w:val="18"/>
                <w:szCs w:val="18"/>
                <w:color w:val="auto"/>
              </w:rPr>
              <w:t>117</w:t>
            </w:r>
          </w:p>
        </w:tc>
        <w:tc>
          <w:tcPr>
            <w:tcW w:w="0" w:type="dxa"/>
            <w:vAlign w:val="bottom"/>
          </w:tcPr>
          <w:p>
            <w:pPr>
              <w:spacing w:after="0"/>
              <w:rPr>
                <w:sz w:val="1"/>
                <w:szCs w:val="1"/>
                <w:color w:val="auto"/>
              </w:rPr>
            </w:pPr>
          </w:p>
        </w:tc>
      </w:tr>
      <w:tr>
        <w:trPr>
          <w:trHeight w:val="210"/>
        </w:trPr>
        <w:tc>
          <w:tcPr>
            <w:tcW w:w="5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3,757</w:t>
            </w:r>
          </w:p>
        </w:tc>
        <w:tc>
          <w:tcPr>
            <w:tcW w:w="1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4,000</w:t>
            </w:r>
          </w:p>
        </w:tc>
        <w:tc>
          <w:tcPr>
            <w:tcW w:w="3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4,125</w:t>
            </w:r>
          </w:p>
        </w:tc>
        <w:tc>
          <w:tcPr>
            <w:tcW w:w="3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3,911</w:t>
            </w:r>
          </w:p>
        </w:tc>
        <w:tc>
          <w:tcPr>
            <w:tcW w:w="2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00" w:type="dxa"/>
            <w:vAlign w:val="bottom"/>
          </w:tcPr>
          <w:p>
            <w:pPr>
              <w:ind w:left="180"/>
              <w:spacing w:after="0"/>
              <w:rPr>
                <w:sz w:val="20"/>
                <w:szCs w:val="20"/>
                <w:color w:val="auto"/>
              </w:rPr>
            </w:pPr>
            <w:r>
              <w:rPr>
                <w:rFonts w:ascii="Arial" w:cs="Arial" w:eastAsia="Arial" w:hAnsi="Arial"/>
                <w:sz w:val="18"/>
                <w:szCs w:val="18"/>
                <w:color w:val="auto"/>
              </w:rPr>
              <w:t>Trucking</w:t>
            </w:r>
          </w:p>
        </w:tc>
        <w:tc>
          <w:tcPr>
            <w:tcW w:w="16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129</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gridSpan w:val="2"/>
          </w:tcPr>
          <w:p>
            <w:pPr>
              <w:jc w:val="right"/>
              <w:ind w:right="360"/>
              <w:spacing w:after="0"/>
              <w:rPr>
                <w:sz w:val="20"/>
                <w:szCs w:val="20"/>
                <w:color w:val="auto"/>
              </w:rPr>
            </w:pPr>
            <w:r>
              <w:rPr>
                <w:rFonts w:ascii="Arial" w:cs="Arial" w:eastAsia="Arial" w:hAnsi="Arial"/>
                <w:sz w:val="18"/>
                <w:szCs w:val="18"/>
                <w:color w:val="auto"/>
              </w:rPr>
              <w:t>135</w:t>
            </w:r>
          </w:p>
        </w:tc>
        <w:tc>
          <w:tcPr>
            <w:tcW w:w="140" w:type="dxa"/>
            <w:vAlign w:val="bottom"/>
          </w:tcPr>
          <w:p>
            <w:pPr>
              <w:spacing w:after="0"/>
              <w:rPr>
                <w:sz w:val="18"/>
                <w:szCs w:val="18"/>
                <w:color w:val="auto"/>
              </w:rPr>
            </w:pPr>
          </w:p>
        </w:tc>
        <w:tc>
          <w:tcPr>
            <w:tcW w:w="1440" w:type="dxa"/>
            <w:vAlign w:val="bottom"/>
            <w:gridSpan w:val="2"/>
          </w:tcPr>
          <w:p>
            <w:pPr>
              <w:jc w:val="right"/>
              <w:ind w:right="340"/>
              <w:spacing w:after="0"/>
              <w:rPr>
                <w:sz w:val="20"/>
                <w:szCs w:val="20"/>
                <w:color w:val="auto"/>
              </w:rPr>
            </w:pPr>
            <w:r>
              <w:rPr>
                <w:rFonts w:ascii="Arial" w:cs="Arial" w:eastAsia="Arial" w:hAnsi="Arial"/>
                <w:sz w:val="18"/>
                <w:szCs w:val="18"/>
                <w:color w:val="auto"/>
              </w:rPr>
              <w:t>145</w:t>
            </w:r>
          </w:p>
        </w:tc>
        <w:tc>
          <w:tcPr>
            <w:tcW w:w="120" w:type="dxa"/>
            <w:vAlign w:val="bottom"/>
          </w:tcPr>
          <w:p>
            <w:pPr>
              <w:spacing w:after="0"/>
              <w:rPr>
                <w:sz w:val="18"/>
                <w:szCs w:val="18"/>
                <w:color w:val="auto"/>
              </w:rPr>
            </w:pPr>
          </w:p>
        </w:tc>
        <w:tc>
          <w:tcPr>
            <w:tcW w:w="1400" w:type="dxa"/>
            <w:vAlign w:val="bottom"/>
            <w:gridSpan w:val="2"/>
          </w:tcPr>
          <w:p>
            <w:pPr>
              <w:jc w:val="right"/>
              <w:ind w:right="280"/>
              <w:spacing w:after="0"/>
              <w:rPr>
                <w:sz w:val="20"/>
                <w:szCs w:val="20"/>
                <w:color w:val="auto"/>
              </w:rPr>
            </w:pPr>
            <w:r>
              <w:rPr>
                <w:rFonts w:ascii="Arial" w:cs="Arial" w:eastAsia="Arial" w:hAnsi="Arial"/>
                <w:sz w:val="18"/>
                <w:szCs w:val="18"/>
                <w:color w:val="auto"/>
              </w:rPr>
              <w:t>135</w:t>
            </w:r>
          </w:p>
        </w:tc>
        <w:tc>
          <w:tcPr>
            <w:tcW w:w="0" w:type="dxa"/>
            <w:vAlign w:val="bottom"/>
          </w:tcPr>
          <w:p>
            <w:pPr>
              <w:spacing w:after="0"/>
              <w:rPr>
                <w:sz w:val="1"/>
                <w:szCs w:val="1"/>
                <w:color w:val="auto"/>
              </w:rPr>
            </w:pPr>
          </w:p>
        </w:tc>
      </w:tr>
      <w:tr>
        <w:trPr>
          <w:trHeight w:val="210"/>
        </w:trPr>
        <w:tc>
          <w:tcPr>
            <w:tcW w:w="510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3,886</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4,135</w:t>
            </w:r>
          </w:p>
        </w:tc>
        <w:tc>
          <w:tcPr>
            <w:tcW w:w="36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4,270</w:t>
            </w:r>
          </w:p>
        </w:tc>
        <w:tc>
          <w:tcPr>
            <w:tcW w:w="34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4,046</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100" w:type="dxa"/>
            <w:vAlign w:val="bottom"/>
            <w:vMerge w:val="restart"/>
          </w:tcPr>
          <w:p>
            <w:pPr>
              <w:spacing w:after="0"/>
              <w:rPr>
                <w:sz w:val="20"/>
                <w:szCs w:val="20"/>
                <w:color w:val="auto"/>
              </w:rPr>
            </w:pPr>
            <w:r>
              <w:rPr>
                <w:rFonts w:ascii="Arial" w:cs="Arial" w:eastAsia="Arial" w:hAnsi="Arial"/>
                <w:sz w:val="18"/>
                <w:szCs w:val="18"/>
                <w:color w:val="auto"/>
              </w:rPr>
              <w:t>Segment Profit per Barrel ($/Bbl)</w:t>
            </w: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510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51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Excluding Selected Items Impacting Comparability</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0.63</w:t>
            </w:r>
          </w:p>
        </w:tc>
        <w:tc>
          <w:tcPr>
            <w:tcW w:w="3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0.60</w:t>
            </w:r>
            <w:r>
              <w:rPr>
                <w:rFonts w:ascii="Arial" w:cs="Arial" w:eastAsia="Arial" w:hAnsi="Arial"/>
                <w:sz w:val="11"/>
                <w:szCs w:val="11"/>
                <w:color w:val="auto"/>
              </w:rPr>
              <w:t>(1)</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0.68</w:t>
            </w:r>
            <w:r>
              <w:rPr>
                <w:rFonts w:ascii="Arial" w:cs="Arial" w:eastAsia="Arial" w:hAnsi="Arial"/>
                <w:sz w:val="11"/>
                <w:szCs w:val="11"/>
                <w:color w:val="auto"/>
              </w:rPr>
              <w:t>(1)</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0.64</w:t>
            </w:r>
            <w:r>
              <w:rPr>
                <w:rFonts w:ascii="Arial" w:cs="Arial" w:eastAsia="Arial" w:hAnsi="Arial"/>
                <w:sz w:val="11"/>
                <w:szCs w:val="11"/>
                <w:color w:val="auto"/>
              </w:rPr>
              <w:t>(1)</w:t>
            </w:r>
          </w:p>
        </w:tc>
        <w:tc>
          <w:tcPr>
            <w:tcW w:w="0" w:type="dxa"/>
            <w:vAlign w:val="bottom"/>
          </w:tcPr>
          <w:p>
            <w:pPr>
              <w:spacing w:after="0"/>
              <w:rPr>
                <w:sz w:val="1"/>
                <w:szCs w:val="1"/>
                <w:color w:val="auto"/>
              </w:rPr>
            </w:pPr>
          </w:p>
        </w:tc>
      </w:tr>
      <w:tr>
        <w:trPr>
          <w:trHeight w:val="20"/>
        </w:trPr>
        <w:tc>
          <w:tcPr>
            <w:tcW w:w="5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77" w:lineRule="exact"/>
        <w:rPr>
          <w:sz w:val="20"/>
          <w:szCs w:val="20"/>
          <w:color w:val="auto"/>
        </w:rPr>
      </w:pPr>
    </w:p>
    <w:p>
      <w:pPr>
        <w:ind w:left="1300" w:hanging="320"/>
        <w:spacing w:after="0"/>
        <w:tabs>
          <w:tab w:leader="none" w:pos="1300" w:val="left"/>
        </w:tabs>
        <w:numPr>
          <w:ilvl w:val="1"/>
          <w:numId w:val="4"/>
        </w:numPr>
        <w:rPr>
          <w:rFonts w:ascii="Arial" w:cs="Arial" w:eastAsia="Arial" w:hAnsi="Arial"/>
          <w:sz w:val="23"/>
          <w:szCs w:val="23"/>
          <w:color w:val="auto"/>
          <w:vertAlign w:val="superscript"/>
        </w:rPr>
      </w:pPr>
      <w:r>
        <w:rPr>
          <w:rFonts w:ascii="Arial" w:cs="Arial" w:eastAsia="Arial" w:hAnsi="Arial"/>
          <w:sz w:val="18"/>
          <w:szCs w:val="18"/>
          <w:color w:val="auto"/>
        </w:rPr>
        <w:t>Mid-point of guidance.</w:t>
      </w:r>
    </w:p>
    <w:p>
      <w:pPr>
        <w:spacing w:after="0" w:line="201" w:lineRule="exact"/>
        <w:rPr>
          <w:rFonts w:ascii="Arial" w:cs="Arial" w:eastAsia="Arial" w:hAnsi="Arial"/>
          <w:sz w:val="23"/>
          <w:szCs w:val="23"/>
          <w:color w:val="auto"/>
          <w:vertAlign w:val="superscript"/>
        </w:rPr>
      </w:pPr>
    </w:p>
    <w:p>
      <w:pPr>
        <w:ind w:left="980" w:right="260" w:hanging="324"/>
        <w:spacing w:after="0" w:line="259" w:lineRule="auto"/>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Facilities</w:t>
      </w:r>
      <w:r>
        <w:rPr>
          <w:rFonts w:ascii="Arial" w:cs="Arial" w:eastAsia="Arial" w:hAnsi="Arial"/>
          <w:sz w:val="18"/>
          <w:szCs w:val="18"/>
          <w:color w:val="auto"/>
        </w:rPr>
        <w:t>. Our Facilities segment operations generally consist of fee-based activities associated with providing storage, terminalling and</w:t>
      </w:r>
      <w:r>
        <w:rPr>
          <w:rFonts w:ascii="Arial" w:cs="Arial" w:eastAsia="Arial" w:hAnsi="Arial"/>
          <w:sz w:val="18"/>
          <w:szCs w:val="18"/>
          <w:i w:val="1"/>
          <w:iCs w:val="1"/>
          <w:color w:val="auto"/>
        </w:rPr>
        <w:t xml:space="preserve"> </w:t>
      </w:r>
      <w:r>
        <w:rPr>
          <w:rFonts w:ascii="Arial" w:cs="Arial" w:eastAsia="Arial" w:hAnsi="Arial"/>
          <w:sz w:val="18"/>
          <w:szCs w:val="18"/>
          <w:color w:val="auto"/>
        </w:rPr>
        <w:t>throughput services for crude oil, refined products, NGL and natural gas, as well as NGL fractionation and isomerization services and natural gas and condensate processing services. The Facilities segment generates revenue through a combination of month-to-month and multi-year leases and processing arrangements.</w:t>
      </w:r>
    </w:p>
    <w:p>
      <w:pPr>
        <w:spacing w:after="0" w:line="186" w:lineRule="exact"/>
        <w:rPr>
          <w:rFonts w:ascii="Arial" w:cs="Arial" w:eastAsia="Arial" w:hAnsi="Arial"/>
          <w:sz w:val="18"/>
          <w:szCs w:val="18"/>
          <w:color w:val="auto"/>
        </w:rPr>
      </w:pPr>
    </w:p>
    <w:p>
      <w:pPr>
        <w:ind w:left="980" w:right="120"/>
        <w:spacing w:after="0" w:line="293" w:lineRule="auto"/>
        <w:rPr>
          <w:rFonts w:ascii="Arial" w:cs="Arial" w:eastAsia="Arial" w:hAnsi="Arial"/>
          <w:sz w:val="18"/>
          <w:szCs w:val="18"/>
          <w:color w:val="auto"/>
        </w:rPr>
      </w:pPr>
      <w:r>
        <w:rPr>
          <w:rFonts w:ascii="Arial" w:cs="Arial" w:eastAsia="Arial" w:hAnsi="Arial"/>
          <w:sz w:val="16"/>
          <w:szCs w:val="16"/>
          <w:color w:val="auto"/>
        </w:rPr>
        <w:t>Revenues generated in this segment include (i) storage fees that are generated when we lease storage capacity, (ii) terminal throughput fees that are generated when we receive crude oil, refined products or NGL from one connecting source and redeliver the applicable product to another connecting carrier, (iii) loading and unloading fees at our rail terminals, (iv) fees from NGL fractionation and isomerization, (v) fees from gas and condensate processing services and (vi) hub service fees associated with natural gas park and loan activities, interruptible storage services and wheeling and balancing services. Adjusted segment profit is forecasted using the volume assumptions in the table below, priced at forecasted rates, less estimated field operating costs and G&amp;A expenses. Field operating costs do not include depreciation.</w:t>
      </w:r>
    </w:p>
    <w:p>
      <w:pPr>
        <w:sectPr>
          <w:pgSz w:w="11900" w:h="16849" w:orient="portrait"/>
          <w:cols w:equalWidth="0" w:num="1">
            <w:col w:w="11420"/>
          </w:cols>
          <w:pgMar w:left="240" w:top="125" w:right="239" w:bottom="0" w:gutter="0" w:footer="0" w:header="0"/>
        </w:sectPr>
      </w:pP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w:t>
      </w:r>
    </w:p>
    <w:p>
      <w:pPr>
        <w:sectPr>
          <w:pgSz w:w="11900" w:h="16849" w:orient="portrait"/>
          <w:cols w:equalWidth="0" w:num="1">
            <w:col w:w="11420"/>
          </w:cols>
          <w:pgMar w:left="240" w:top="125" w:right="239" w:bottom="0" w:gutter="0" w:footer="0" w:header="0"/>
          <w:type w:val="continuous"/>
        </w:sectPr>
      </w:pPr>
    </w:p>
    <w:bookmarkStart w:id="3" w:name="page4"/>
    <w:bookmarkEnd w:id="3"/>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6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8"/>
              </w:rPr>
              <w:t>Actual</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6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90"/>
              </w:rPr>
              <w:t>Guidance</w:t>
            </w:r>
          </w:p>
        </w:tc>
        <w:tc>
          <w:tcPr>
            <w:tcW w:w="1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46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1080" w:type="dxa"/>
            <w:vAlign w:val="bottom"/>
            <w:tcBorders>
              <w:top w:val="single" w:sz="8" w:color="auto"/>
            </w:tcBorders>
          </w:tcPr>
          <w:p>
            <w:pPr>
              <w:jc w:val="center"/>
              <w:ind w:right="98"/>
              <w:spacing w:after="0" w:line="119" w:lineRule="exact"/>
              <w:rPr>
                <w:sz w:val="20"/>
                <w:szCs w:val="20"/>
                <w:color w:val="auto"/>
              </w:rPr>
            </w:pPr>
            <w:r>
              <w:rPr>
                <w:rFonts w:ascii="Arial" w:cs="Arial" w:eastAsia="Arial" w:hAnsi="Arial"/>
                <w:sz w:val="13"/>
                <w:szCs w:val="13"/>
                <w:b w:val="1"/>
                <w:bCs w:val="1"/>
                <w:color w:val="auto"/>
              </w:rPr>
              <w:t>Six Months</w:t>
            </w:r>
          </w:p>
        </w:tc>
        <w:tc>
          <w:tcPr>
            <w:tcW w:w="1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1460" w:type="dxa"/>
            <w:vAlign w:val="bottom"/>
            <w:tcBorders>
              <w:top w:val="single" w:sz="8" w:color="auto"/>
            </w:tcBorders>
            <w:gridSpan w:val="2"/>
          </w:tcPr>
          <w:p>
            <w:pPr>
              <w:jc w:val="center"/>
              <w:ind w:right="500"/>
              <w:spacing w:after="0" w:line="119" w:lineRule="exact"/>
              <w:rPr>
                <w:sz w:val="20"/>
                <w:szCs w:val="20"/>
                <w:color w:val="auto"/>
              </w:rPr>
            </w:pPr>
            <w:r>
              <w:rPr>
                <w:rFonts w:ascii="Arial" w:cs="Arial" w:eastAsia="Arial" w:hAnsi="Arial"/>
                <w:sz w:val="13"/>
                <w:szCs w:val="13"/>
                <w:b w:val="1"/>
                <w:bCs w:val="1"/>
                <w:color w:val="auto"/>
              </w:rPr>
              <w:t>Three Months</w:t>
            </w:r>
          </w:p>
        </w:tc>
        <w:tc>
          <w:tcPr>
            <w:tcW w:w="140" w:type="dxa"/>
            <w:vAlign w:val="bottom"/>
            <w:tcBorders>
              <w:top w:val="single" w:sz="8" w:color="auto"/>
            </w:tcBorders>
          </w:tcPr>
          <w:p>
            <w:pPr>
              <w:spacing w:after="0"/>
              <w:rPr>
                <w:sz w:val="10"/>
                <w:szCs w:val="10"/>
                <w:color w:val="auto"/>
              </w:rPr>
            </w:pPr>
          </w:p>
        </w:tc>
        <w:tc>
          <w:tcPr>
            <w:tcW w:w="1460" w:type="dxa"/>
            <w:vAlign w:val="bottom"/>
            <w:tcBorders>
              <w:top w:val="single" w:sz="8" w:color="auto"/>
            </w:tcBorders>
            <w:gridSpan w:val="2"/>
          </w:tcPr>
          <w:p>
            <w:pPr>
              <w:jc w:val="center"/>
              <w:ind w:right="480"/>
              <w:spacing w:after="0" w:line="119" w:lineRule="exact"/>
              <w:rPr>
                <w:sz w:val="20"/>
                <w:szCs w:val="20"/>
                <w:color w:val="auto"/>
              </w:rPr>
            </w:pPr>
            <w:r>
              <w:rPr>
                <w:rFonts w:ascii="Arial" w:cs="Arial" w:eastAsia="Arial" w:hAnsi="Arial"/>
                <w:sz w:val="13"/>
                <w:szCs w:val="13"/>
                <w:b w:val="1"/>
                <w:bCs w:val="1"/>
                <w:color w:val="auto"/>
              </w:rPr>
              <w:t>Three Months</w:t>
            </w:r>
          </w:p>
        </w:tc>
        <w:tc>
          <w:tcPr>
            <w:tcW w:w="120" w:type="dxa"/>
            <w:vAlign w:val="bottom"/>
            <w:tcBorders>
              <w:top w:val="single" w:sz="8" w:color="auto"/>
            </w:tcBorders>
          </w:tcPr>
          <w:p>
            <w:pPr>
              <w:spacing w:after="0"/>
              <w:rPr>
                <w:sz w:val="10"/>
                <w:szCs w:val="10"/>
                <w:color w:val="auto"/>
              </w:rPr>
            </w:pPr>
          </w:p>
        </w:tc>
        <w:tc>
          <w:tcPr>
            <w:tcW w:w="1100" w:type="dxa"/>
            <w:vAlign w:val="bottom"/>
            <w:tcBorders>
              <w:top w:val="single" w:sz="8" w:color="auto"/>
            </w:tcBorders>
          </w:tcPr>
          <w:p>
            <w:pPr>
              <w:jc w:val="center"/>
              <w:ind w:right="37"/>
              <w:spacing w:after="0" w:line="119" w:lineRule="exact"/>
              <w:rPr>
                <w:sz w:val="20"/>
                <w:szCs w:val="20"/>
                <w:color w:val="auto"/>
              </w:rPr>
            </w:pPr>
            <w:r>
              <w:rPr>
                <w:rFonts w:ascii="Arial" w:cs="Arial" w:eastAsia="Arial" w:hAnsi="Arial"/>
                <w:sz w:val="13"/>
                <w:szCs w:val="13"/>
                <w:b w:val="1"/>
                <w:bCs w:val="1"/>
                <w:color w:val="auto"/>
              </w:rPr>
              <w:t>Twelve Months</w:t>
            </w:r>
          </w:p>
        </w:tc>
        <w:tc>
          <w:tcPr>
            <w:tcW w:w="340" w:type="dxa"/>
            <w:vAlign w:val="bottom"/>
            <w:gridSpan w:val="2"/>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6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3"/>
              </w:rPr>
              <w:t>Ended</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6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92"/>
              </w:rPr>
              <w:t>Ending</w:t>
            </w:r>
          </w:p>
        </w:tc>
        <w:tc>
          <w:tcPr>
            <w:tcW w:w="140" w:type="dxa"/>
            <w:vAlign w:val="bottom"/>
          </w:tcPr>
          <w:p>
            <w:pPr>
              <w:spacing w:after="0"/>
              <w:rPr>
                <w:sz w:val="12"/>
                <w:szCs w:val="12"/>
                <w:color w:val="auto"/>
              </w:rPr>
            </w:pPr>
          </w:p>
        </w:tc>
        <w:tc>
          <w:tcPr>
            <w:tcW w:w="146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96"/>
              </w:rPr>
              <w:t>Ending</w:t>
            </w:r>
          </w:p>
        </w:tc>
        <w:tc>
          <w:tcPr>
            <w:tcW w:w="120" w:type="dxa"/>
            <w:vAlign w:val="bottom"/>
          </w:tcPr>
          <w:p>
            <w:pPr>
              <w:spacing w:after="0"/>
              <w:rPr>
                <w:sz w:val="12"/>
                <w:szCs w:val="12"/>
                <w:color w:val="auto"/>
              </w:rPr>
            </w:pPr>
          </w:p>
        </w:tc>
        <w:tc>
          <w:tcPr>
            <w:tcW w:w="1440" w:type="dxa"/>
            <w:vAlign w:val="bottom"/>
            <w:gridSpan w:val="3"/>
          </w:tcPr>
          <w:p>
            <w:pPr>
              <w:jc w:val="center"/>
              <w:ind w:right="460"/>
              <w:spacing w:after="0" w:line="149" w:lineRule="exact"/>
              <w:rPr>
                <w:sz w:val="20"/>
                <w:szCs w:val="20"/>
                <w:color w:val="auto"/>
              </w:rPr>
            </w:pPr>
            <w:r>
              <w:rPr>
                <w:rFonts w:ascii="Arial" w:cs="Arial" w:eastAsia="Arial" w:hAnsi="Arial"/>
                <w:sz w:val="14"/>
                <w:szCs w:val="14"/>
                <w:b w:val="1"/>
                <w:bCs w:val="1"/>
                <w:color w:val="auto"/>
                <w:w w:val="96"/>
              </w:rPr>
              <w:t>Ending</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6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3"/>
              </w:rPr>
              <w:t>Jun 30, 2014</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6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90"/>
              </w:rPr>
              <w:t>Sep 30, 2014</w:t>
            </w:r>
          </w:p>
        </w:tc>
        <w:tc>
          <w:tcPr>
            <w:tcW w:w="140" w:type="dxa"/>
            <w:vAlign w:val="bottom"/>
          </w:tcPr>
          <w:p>
            <w:pPr>
              <w:spacing w:after="0"/>
              <w:rPr>
                <w:sz w:val="14"/>
                <w:szCs w:val="14"/>
                <w:color w:val="auto"/>
              </w:rPr>
            </w:pPr>
          </w:p>
        </w:tc>
        <w:tc>
          <w:tcPr>
            <w:tcW w:w="146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2"/>
              </w:rPr>
              <w:t>Dec 31, 2014</w:t>
            </w:r>
          </w:p>
        </w:tc>
        <w:tc>
          <w:tcPr>
            <w:tcW w:w="120" w:type="dxa"/>
            <w:vAlign w:val="bottom"/>
          </w:tcPr>
          <w:p>
            <w:pPr>
              <w:spacing w:after="0"/>
              <w:rPr>
                <w:sz w:val="14"/>
                <w:szCs w:val="14"/>
                <w:color w:val="auto"/>
              </w:rPr>
            </w:pPr>
          </w:p>
        </w:tc>
        <w:tc>
          <w:tcPr>
            <w:tcW w:w="1440" w:type="dxa"/>
            <w:vAlign w:val="bottom"/>
            <w:gridSpan w:val="3"/>
          </w:tcPr>
          <w:p>
            <w:pPr>
              <w:jc w:val="center"/>
              <w:ind w:right="460"/>
              <w:spacing w:after="0"/>
              <w:rPr>
                <w:sz w:val="20"/>
                <w:szCs w:val="20"/>
                <w:color w:val="auto"/>
              </w:rPr>
            </w:pPr>
            <w:r>
              <w:rPr>
                <w:rFonts w:ascii="Arial" w:cs="Arial" w:eastAsia="Arial" w:hAnsi="Arial"/>
                <w:sz w:val="14"/>
                <w:szCs w:val="14"/>
                <w:b w:val="1"/>
                <w:bCs w:val="1"/>
                <w:color w:val="auto"/>
                <w:w w:val="92"/>
              </w:rPr>
              <w:t>Dec 31, 2014</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6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Operating Data</w:t>
            </w:r>
          </w:p>
        </w:tc>
        <w:tc>
          <w:tcPr>
            <w:tcW w:w="3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640" w:type="dxa"/>
            <w:vAlign w:val="bottom"/>
          </w:tcPr>
          <w:p>
            <w:pPr>
              <w:ind w:left="160"/>
              <w:spacing w:after="0" w:line="201" w:lineRule="exact"/>
              <w:rPr>
                <w:sz w:val="20"/>
                <w:szCs w:val="20"/>
                <w:color w:val="auto"/>
              </w:rPr>
            </w:pPr>
            <w:r>
              <w:rPr>
                <w:rFonts w:ascii="Arial" w:cs="Arial" w:eastAsia="Arial" w:hAnsi="Arial"/>
                <w:sz w:val="18"/>
                <w:szCs w:val="18"/>
                <w:color w:val="auto"/>
              </w:rPr>
              <w:t>Crude Oil, Refined Products, and NGL Terminalling and</w:t>
            </w:r>
          </w:p>
        </w:tc>
        <w:tc>
          <w:tcPr>
            <w:tcW w:w="3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vMerge w:val="restart"/>
          </w:tcPr>
          <w:p>
            <w:pPr>
              <w:jc w:val="right"/>
              <w:spacing w:after="0"/>
              <w:rPr>
                <w:sz w:val="20"/>
                <w:szCs w:val="20"/>
                <w:color w:val="auto"/>
              </w:rPr>
            </w:pPr>
            <w:r>
              <w:rPr>
                <w:rFonts w:ascii="Arial" w:cs="Arial" w:eastAsia="Arial" w:hAnsi="Arial"/>
                <w:sz w:val="18"/>
                <w:szCs w:val="18"/>
                <w:color w:val="auto"/>
              </w:rPr>
              <w:t>95</w:t>
            </w: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60" w:type="dxa"/>
            <w:vAlign w:val="bottom"/>
            <w:gridSpan w:val="2"/>
            <w:vMerge w:val="restart"/>
          </w:tcPr>
          <w:p>
            <w:pPr>
              <w:jc w:val="right"/>
              <w:ind w:right="360"/>
              <w:spacing w:after="0"/>
              <w:rPr>
                <w:sz w:val="20"/>
                <w:szCs w:val="20"/>
                <w:color w:val="auto"/>
              </w:rPr>
            </w:pPr>
            <w:r>
              <w:rPr>
                <w:rFonts w:ascii="Arial" w:cs="Arial" w:eastAsia="Arial" w:hAnsi="Arial"/>
                <w:sz w:val="18"/>
                <w:szCs w:val="18"/>
                <w:color w:val="auto"/>
              </w:rPr>
              <w:t>95</w:t>
            </w:r>
          </w:p>
        </w:tc>
        <w:tc>
          <w:tcPr>
            <w:tcW w:w="140" w:type="dxa"/>
            <w:vAlign w:val="bottom"/>
          </w:tcPr>
          <w:p>
            <w:pPr>
              <w:spacing w:after="0"/>
              <w:rPr>
                <w:sz w:val="17"/>
                <w:szCs w:val="17"/>
                <w:color w:val="auto"/>
              </w:rPr>
            </w:pPr>
          </w:p>
        </w:tc>
        <w:tc>
          <w:tcPr>
            <w:tcW w:w="1460" w:type="dxa"/>
            <w:vAlign w:val="bottom"/>
            <w:gridSpan w:val="2"/>
            <w:vMerge w:val="restart"/>
          </w:tcPr>
          <w:p>
            <w:pPr>
              <w:jc w:val="right"/>
              <w:ind w:right="340"/>
              <w:spacing w:after="0"/>
              <w:rPr>
                <w:sz w:val="20"/>
                <w:szCs w:val="20"/>
                <w:color w:val="auto"/>
              </w:rPr>
            </w:pPr>
            <w:r>
              <w:rPr>
                <w:rFonts w:ascii="Arial" w:cs="Arial" w:eastAsia="Arial" w:hAnsi="Arial"/>
                <w:sz w:val="18"/>
                <w:szCs w:val="18"/>
                <w:color w:val="auto"/>
              </w:rPr>
              <w:t>95</w:t>
            </w:r>
          </w:p>
        </w:tc>
        <w:tc>
          <w:tcPr>
            <w:tcW w:w="120" w:type="dxa"/>
            <w:vAlign w:val="bottom"/>
          </w:tcPr>
          <w:p>
            <w:pPr>
              <w:spacing w:after="0"/>
              <w:rPr>
                <w:sz w:val="17"/>
                <w:szCs w:val="17"/>
                <w:color w:val="auto"/>
              </w:rPr>
            </w:pPr>
          </w:p>
        </w:tc>
        <w:tc>
          <w:tcPr>
            <w:tcW w:w="1120" w:type="dxa"/>
            <w:vAlign w:val="bottom"/>
            <w:gridSpan w:val="2"/>
            <w:vMerge w:val="restart"/>
          </w:tcPr>
          <w:p>
            <w:pPr>
              <w:jc w:val="right"/>
              <w:ind w:right="20"/>
              <w:spacing w:after="0"/>
              <w:rPr>
                <w:sz w:val="20"/>
                <w:szCs w:val="20"/>
                <w:color w:val="auto"/>
              </w:rPr>
            </w:pPr>
            <w:r>
              <w:rPr>
                <w:rFonts w:ascii="Arial" w:cs="Arial" w:eastAsia="Arial" w:hAnsi="Arial"/>
                <w:sz w:val="18"/>
                <w:szCs w:val="18"/>
                <w:color w:val="auto"/>
              </w:rPr>
              <w:t>95</w:t>
            </w:r>
          </w:p>
        </w:tc>
        <w:tc>
          <w:tcPr>
            <w:tcW w:w="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640" w:type="dxa"/>
            <w:vAlign w:val="bottom"/>
          </w:tcPr>
          <w:p>
            <w:pPr>
              <w:ind w:left="340"/>
              <w:spacing w:after="0"/>
              <w:rPr>
                <w:sz w:val="20"/>
                <w:szCs w:val="20"/>
                <w:color w:val="auto"/>
              </w:rPr>
            </w:pPr>
            <w:r>
              <w:rPr>
                <w:rFonts w:ascii="Arial" w:cs="Arial" w:eastAsia="Arial" w:hAnsi="Arial"/>
                <w:sz w:val="18"/>
                <w:szCs w:val="18"/>
                <w:color w:val="auto"/>
              </w:rPr>
              <w:t>Storage (MMBbls/Mo.)</w:t>
            </w:r>
          </w:p>
        </w:tc>
        <w:tc>
          <w:tcPr>
            <w:tcW w:w="3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vMerge w:val="continue"/>
          </w:tcPr>
          <w:p>
            <w:pPr>
              <w:spacing w:after="0"/>
              <w:rPr>
                <w:sz w:val="22"/>
                <w:szCs w:val="22"/>
                <w:color w:val="auto"/>
              </w:rPr>
            </w:pPr>
          </w:p>
        </w:tc>
        <w:tc>
          <w:tcPr>
            <w:tcW w:w="1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60" w:type="dxa"/>
            <w:vAlign w:val="bottom"/>
            <w:gridSpan w:val="2"/>
            <w:vMerge w:val="continue"/>
          </w:tcPr>
          <w:p>
            <w:pPr>
              <w:spacing w:after="0"/>
              <w:rPr>
                <w:sz w:val="22"/>
                <w:szCs w:val="22"/>
                <w:color w:val="auto"/>
              </w:rPr>
            </w:pPr>
          </w:p>
        </w:tc>
        <w:tc>
          <w:tcPr>
            <w:tcW w:w="140" w:type="dxa"/>
            <w:vAlign w:val="bottom"/>
          </w:tcPr>
          <w:p>
            <w:pPr>
              <w:spacing w:after="0"/>
              <w:rPr>
                <w:sz w:val="22"/>
                <w:szCs w:val="22"/>
                <w:color w:val="auto"/>
              </w:rPr>
            </w:pPr>
          </w:p>
        </w:tc>
        <w:tc>
          <w:tcPr>
            <w:tcW w:w="1460" w:type="dxa"/>
            <w:vAlign w:val="bottom"/>
            <w:gridSpan w:val="2"/>
            <w:vMerge w:val="continue"/>
          </w:tcPr>
          <w:p>
            <w:pPr>
              <w:spacing w:after="0"/>
              <w:rPr>
                <w:sz w:val="22"/>
                <w:szCs w:val="22"/>
                <w:color w:val="auto"/>
              </w:rPr>
            </w:pPr>
          </w:p>
        </w:tc>
        <w:tc>
          <w:tcPr>
            <w:tcW w:w="120" w:type="dxa"/>
            <w:vAlign w:val="bottom"/>
          </w:tcPr>
          <w:p>
            <w:pPr>
              <w:spacing w:after="0"/>
              <w:rPr>
                <w:sz w:val="22"/>
                <w:szCs w:val="22"/>
                <w:color w:val="auto"/>
              </w:rPr>
            </w:pPr>
          </w:p>
        </w:tc>
        <w:tc>
          <w:tcPr>
            <w:tcW w:w="1120" w:type="dxa"/>
            <w:vAlign w:val="bottom"/>
            <w:gridSpan w:val="2"/>
            <w:vMerge w:val="continue"/>
          </w:tcPr>
          <w:p>
            <w:pPr>
              <w:spacing w:after="0"/>
              <w:rPr>
                <w:sz w:val="22"/>
                <w:szCs w:val="22"/>
                <w:color w:val="auto"/>
              </w:rPr>
            </w:pPr>
          </w:p>
        </w:tc>
        <w:tc>
          <w:tcPr>
            <w:tcW w:w="3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4640" w:type="dxa"/>
            <w:vAlign w:val="bottom"/>
            <w:tcBorders>
              <w:top w:val="single" w:sz="8" w:color="CCEEFF"/>
              <w:bottom w:val="single" w:sz="8" w:color="CCEEFF"/>
            </w:tcBorders>
            <w:shd w:val="clear" w:color="auto" w:fill="CCEEFF"/>
          </w:tcPr>
          <w:p>
            <w:pPr>
              <w:ind w:left="160"/>
              <w:spacing w:after="0" w:line="196" w:lineRule="exact"/>
              <w:rPr>
                <w:sz w:val="20"/>
                <w:szCs w:val="20"/>
                <w:color w:val="auto"/>
              </w:rPr>
            </w:pPr>
            <w:r>
              <w:rPr>
                <w:rFonts w:ascii="Arial" w:cs="Arial" w:eastAsia="Arial" w:hAnsi="Arial"/>
                <w:sz w:val="18"/>
                <w:szCs w:val="18"/>
                <w:color w:val="auto"/>
              </w:rPr>
              <w:t>Rail Load / Unload Volumes (MBbls/d)</w:t>
            </w:r>
          </w:p>
        </w:tc>
        <w:tc>
          <w:tcPr>
            <w:tcW w:w="380" w:type="dxa"/>
            <w:vAlign w:val="bottom"/>
            <w:tcBorders>
              <w:top w:val="single" w:sz="8" w:color="CCEEFF"/>
              <w:bottom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spacing w:after="0"/>
              <w:rPr>
                <w:sz w:val="17"/>
                <w:szCs w:val="17"/>
                <w:color w:val="auto"/>
              </w:rPr>
            </w:pPr>
          </w:p>
        </w:tc>
        <w:tc>
          <w:tcPr>
            <w:tcW w:w="10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227</w:t>
            </w:r>
          </w:p>
        </w:tc>
        <w:tc>
          <w:tcPr>
            <w:tcW w:w="180" w:type="dxa"/>
            <w:vAlign w:val="bottom"/>
            <w:tcBorders>
              <w:top w:val="single" w:sz="8" w:color="CCEEFF"/>
              <w:bottom w:val="single" w:sz="8" w:color="CCEEFF"/>
            </w:tcBorders>
            <w:shd w:val="clear" w:color="auto" w:fill="CCEEFF"/>
          </w:tcPr>
          <w:p>
            <w:pPr>
              <w:spacing w:after="0"/>
              <w:rPr>
                <w:sz w:val="17"/>
                <w:szCs w:val="17"/>
                <w:color w:val="auto"/>
              </w:rPr>
            </w:pPr>
          </w:p>
        </w:tc>
        <w:tc>
          <w:tcPr>
            <w:tcW w:w="18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spacing w:after="0"/>
              <w:rPr>
                <w:sz w:val="17"/>
                <w:szCs w:val="17"/>
                <w:color w:val="auto"/>
              </w:rPr>
            </w:pPr>
          </w:p>
        </w:tc>
        <w:tc>
          <w:tcPr>
            <w:tcW w:w="11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250</w:t>
            </w:r>
          </w:p>
        </w:tc>
        <w:tc>
          <w:tcPr>
            <w:tcW w:w="36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spacing w:after="0"/>
              <w:rPr>
                <w:sz w:val="17"/>
                <w:szCs w:val="17"/>
                <w:color w:val="auto"/>
              </w:rPr>
            </w:pPr>
          </w:p>
        </w:tc>
        <w:tc>
          <w:tcPr>
            <w:tcW w:w="11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275</w:t>
            </w:r>
          </w:p>
        </w:tc>
        <w:tc>
          <w:tcPr>
            <w:tcW w:w="34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spacing w:after="0"/>
              <w:rPr>
                <w:sz w:val="17"/>
                <w:szCs w:val="17"/>
                <w:color w:val="auto"/>
              </w:rPr>
            </w:pPr>
          </w:p>
        </w:tc>
        <w:tc>
          <w:tcPr>
            <w:tcW w:w="11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245</w:t>
            </w: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320" w:type="dxa"/>
            <w:vAlign w:val="bottom"/>
            <w:tcBorders>
              <w:top w:val="single" w:sz="8" w:color="CCEEFF"/>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40" w:type="dxa"/>
            <w:vAlign w:val="bottom"/>
            <w:vMerge w:val="restart"/>
          </w:tcPr>
          <w:p>
            <w:pPr>
              <w:ind w:left="160"/>
              <w:spacing w:after="0"/>
              <w:rPr>
                <w:sz w:val="20"/>
                <w:szCs w:val="20"/>
                <w:color w:val="auto"/>
              </w:rPr>
            </w:pPr>
            <w:r>
              <w:rPr>
                <w:rFonts w:ascii="Arial" w:cs="Arial" w:eastAsia="Arial" w:hAnsi="Arial"/>
                <w:sz w:val="18"/>
                <w:szCs w:val="18"/>
                <w:color w:val="auto"/>
              </w:rPr>
              <w:t>Natural Gas Storage (Bcf/Mo.)</w:t>
            </w:r>
          </w:p>
        </w:tc>
        <w:tc>
          <w:tcPr>
            <w:tcW w:w="3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60" w:type="dxa"/>
            <w:vAlign w:val="bottom"/>
            <w:vMerge w:val="restart"/>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40" w:type="dxa"/>
            <w:vAlign w:val="bottom"/>
            <w:vMerge w:val="restart"/>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4640" w:type="dxa"/>
            <w:vAlign w:val="bottom"/>
            <w:tcBorders>
              <w:bottom w:val="single" w:sz="8" w:color="CCEEFF"/>
            </w:tcBorders>
            <w:vMerge w:val="continue"/>
          </w:tcPr>
          <w:p>
            <w:pPr>
              <w:spacing w:after="0"/>
              <w:rPr>
                <w:sz w:val="20"/>
                <w:szCs w:val="20"/>
                <w:color w:val="auto"/>
              </w:rPr>
            </w:pPr>
          </w:p>
        </w:tc>
        <w:tc>
          <w:tcPr>
            <w:tcW w:w="38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97</w:t>
            </w:r>
          </w:p>
        </w:tc>
        <w:tc>
          <w:tcPr>
            <w:tcW w:w="180" w:type="dxa"/>
            <w:vAlign w:val="bottom"/>
            <w:tcBorders>
              <w:bottom w:val="single" w:sz="8" w:color="CCEEFF"/>
            </w:tcBorders>
          </w:tcPr>
          <w:p>
            <w:pPr>
              <w:spacing w:after="0"/>
              <w:rPr>
                <w:sz w:val="20"/>
                <w:szCs w:val="20"/>
                <w:color w:val="auto"/>
              </w:rPr>
            </w:pPr>
          </w:p>
        </w:tc>
        <w:tc>
          <w:tcPr>
            <w:tcW w:w="18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97</w:t>
            </w:r>
          </w:p>
        </w:tc>
        <w:tc>
          <w:tcPr>
            <w:tcW w:w="360" w:type="dxa"/>
            <w:vAlign w:val="bottom"/>
            <w:tcBorders>
              <w:bottom w:val="single" w:sz="8" w:color="CCEEFF"/>
            </w:tcBorders>
            <w:vMerge w:val="continue"/>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97</w:t>
            </w:r>
          </w:p>
        </w:tc>
        <w:tc>
          <w:tcPr>
            <w:tcW w:w="340" w:type="dxa"/>
            <w:vAlign w:val="bottom"/>
            <w:tcBorders>
              <w:bottom w:val="single" w:sz="8" w:color="CCEEFF"/>
            </w:tcBorders>
            <w:vMerge w:val="continue"/>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97</w:t>
            </w:r>
          </w:p>
        </w:tc>
        <w:tc>
          <w:tcPr>
            <w:tcW w:w="20" w:type="dxa"/>
            <w:vAlign w:val="bottom"/>
            <w:tcBorders>
              <w:bottom w:val="single" w:sz="8" w:color="CCEEFF"/>
            </w:tcBorders>
            <w:vMerge w:val="continue"/>
          </w:tcPr>
          <w:p>
            <w:pPr>
              <w:spacing w:after="0"/>
              <w:rPr>
                <w:sz w:val="20"/>
                <w:szCs w:val="20"/>
                <w:color w:val="auto"/>
              </w:rPr>
            </w:pPr>
          </w:p>
        </w:tc>
        <w:tc>
          <w:tcPr>
            <w:tcW w:w="32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4640" w:type="dxa"/>
            <w:vAlign w:val="bottom"/>
            <w:tcBorders>
              <w:bottom w:val="single" w:sz="8" w:color="CCEEFF"/>
            </w:tcBorders>
            <w:shd w:val="clear" w:color="auto" w:fill="CCEEFF"/>
          </w:tcPr>
          <w:p>
            <w:pPr>
              <w:ind w:left="160"/>
              <w:spacing w:after="0" w:line="196" w:lineRule="exact"/>
              <w:rPr>
                <w:sz w:val="20"/>
                <w:szCs w:val="20"/>
                <w:color w:val="auto"/>
              </w:rPr>
            </w:pPr>
            <w:r>
              <w:rPr>
                <w:rFonts w:ascii="Arial" w:cs="Arial" w:eastAsia="Arial" w:hAnsi="Arial"/>
                <w:sz w:val="18"/>
                <w:szCs w:val="18"/>
                <w:color w:val="auto"/>
              </w:rPr>
              <w:t>NGL Fractionation (MBbls/d)</w:t>
            </w:r>
          </w:p>
        </w:tc>
        <w:tc>
          <w:tcPr>
            <w:tcW w:w="3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89</w:t>
            </w:r>
          </w:p>
        </w:tc>
        <w:tc>
          <w:tcPr>
            <w:tcW w:w="1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95</w:t>
            </w:r>
          </w:p>
        </w:tc>
        <w:tc>
          <w:tcPr>
            <w:tcW w:w="36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95</w:t>
            </w:r>
          </w:p>
        </w:tc>
        <w:tc>
          <w:tcPr>
            <w:tcW w:w="34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92</w:t>
            </w:r>
          </w:p>
        </w:tc>
        <w:tc>
          <w:tcPr>
            <w:tcW w:w="2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40" w:type="dxa"/>
            <w:vAlign w:val="bottom"/>
            <w:vMerge w:val="restart"/>
          </w:tcPr>
          <w:p>
            <w:pPr>
              <w:ind w:left="160"/>
              <w:spacing w:after="0"/>
              <w:rPr>
                <w:sz w:val="20"/>
                <w:szCs w:val="20"/>
                <w:color w:val="auto"/>
              </w:rPr>
            </w:pPr>
            <w:r>
              <w:rPr>
                <w:rFonts w:ascii="Arial" w:cs="Arial" w:eastAsia="Arial" w:hAnsi="Arial"/>
                <w:sz w:val="18"/>
                <w:szCs w:val="18"/>
                <w:color w:val="auto"/>
              </w:rPr>
              <w:t>Facilities Activities Total</w:t>
            </w:r>
          </w:p>
        </w:tc>
        <w:tc>
          <w:tcPr>
            <w:tcW w:w="3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20" w:type="dxa"/>
            <w:vAlign w:val="bottom"/>
          </w:tcPr>
          <w:p>
            <w:pPr>
              <w:spacing w:after="0"/>
              <w:rPr>
                <w:sz w:val="14"/>
                <w:szCs w:val="14"/>
                <w:color w:val="auto"/>
              </w:rPr>
            </w:pPr>
          </w:p>
        </w:tc>
        <w:tc>
          <w:tcPr>
            <w:tcW w:w="4640" w:type="dxa"/>
            <w:vAlign w:val="bottom"/>
            <w:vMerge w:val="continue"/>
          </w:tcPr>
          <w:p>
            <w:pPr>
              <w:spacing w:after="0"/>
              <w:rPr>
                <w:sz w:val="14"/>
                <w:szCs w:val="14"/>
                <w:color w:val="auto"/>
              </w:rPr>
            </w:pPr>
          </w:p>
        </w:tc>
        <w:tc>
          <w:tcPr>
            <w:tcW w:w="3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shd w:val="clear" w:color="auto" w:fill="CCEEFF"/>
          </w:tcPr>
          <w:p>
            <w:pPr>
              <w:ind w:left="160"/>
              <w:spacing w:after="0" w:line="216" w:lineRule="exact"/>
              <w:rPr>
                <w:sz w:val="20"/>
                <w:szCs w:val="20"/>
                <w:color w:val="auto"/>
              </w:rPr>
            </w:pPr>
            <w:r>
              <w:rPr>
                <w:rFonts w:ascii="Arial" w:cs="Arial" w:eastAsia="Arial" w:hAnsi="Arial"/>
                <w:sz w:val="18"/>
                <w:szCs w:val="18"/>
                <w:color w:val="auto"/>
              </w:rPr>
              <w:t xml:space="preserve">Avg. Capacity (MMBbls/Mo.) </w:t>
            </w:r>
            <w:r>
              <w:rPr>
                <w:rFonts w:ascii="Arial" w:cs="Arial" w:eastAsia="Arial" w:hAnsi="Arial"/>
                <w:sz w:val="23"/>
                <w:szCs w:val="23"/>
                <w:color w:val="auto"/>
                <w:vertAlign w:val="superscript"/>
              </w:rPr>
              <w:t>(1)</w:t>
            </w: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121</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122</w:t>
            </w:r>
          </w:p>
        </w:tc>
        <w:tc>
          <w:tcPr>
            <w:tcW w:w="1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123</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121</w:t>
            </w:r>
          </w:p>
        </w:tc>
        <w:tc>
          <w:tcPr>
            <w:tcW w:w="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46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Segment Profit per Barrel ($/Bbl)</w:t>
            </w: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tcPr>
          <w:p>
            <w:pPr>
              <w:ind w:left="160"/>
              <w:spacing w:after="0"/>
              <w:rPr>
                <w:sz w:val="20"/>
                <w:szCs w:val="20"/>
                <w:color w:val="auto"/>
              </w:rPr>
            </w:pPr>
            <w:r>
              <w:rPr>
                <w:rFonts w:ascii="Arial" w:cs="Arial" w:eastAsia="Arial" w:hAnsi="Arial"/>
                <w:sz w:val="18"/>
                <w:szCs w:val="18"/>
                <w:color w:val="auto"/>
              </w:rPr>
              <w:t>Excluding Selected Items Impacting Comparability</w:t>
            </w:r>
          </w:p>
        </w:tc>
        <w:tc>
          <w:tcPr>
            <w:tcW w:w="5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0.41</w:t>
            </w:r>
          </w:p>
        </w:tc>
        <w:tc>
          <w:tcPr>
            <w:tcW w:w="3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0.37</w:t>
            </w:r>
            <w:r>
              <w:rPr>
                <w:rFonts w:ascii="Arial" w:cs="Arial" w:eastAsia="Arial" w:hAnsi="Arial"/>
                <w:sz w:val="11"/>
                <w:szCs w:val="11"/>
                <w:color w:val="auto"/>
              </w:rPr>
              <w:t>(2)</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460" w:type="dxa"/>
            <w:vAlign w:val="bottom"/>
            <w:gridSpan w:val="2"/>
          </w:tcPr>
          <w:p>
            <w:pPr>
              <w:jc w:val="right"/>
              <w:ind w:right="200"/>
              <w:spacing w:after="0"/>
              <w:rPr>
                <w:sz w:val="20"/>
                <w:szCs w:val="20"/>
                <w:color w:val="auto"/>
              </w:rPr>
            </w:pPr>
            <w:r>
              <w:rPr>
                <w:rFonts w:ascii="Arial" w:cs="Arial" w:eastAsia="Arial" w:hAnsi="Arial"/>
                <w:sz w:val="18"/>
                <w:szCs w:val="18"/>
                <w:color w:val="auto"/>
              </w:rPr>
              <w:t>0.41</w:t>
            </w:r>
            <w:r>
              <w:rPr>
                <w:rFonts w:ascii="Arial" w:cs="Arial" w:eastAsia="Arial" w:hAnsi="Arial"/>
                <w:sz w:val="11"/>
                <w:szCs w:val="11"/>
                <w:color w:val="auto"/>
              </w:rPr>
              <w:t>(2)</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440" w:type="dxa"/>
            <w:vAlign w:val="bottom"/>
            <w:gridSpan w:val="3"/>
          </w:tcPr>
          <w:p>
            <w:pPr>
              <w:jc w:val="right"/>
              <w:ind w:right="200"/>
              <w:spacing w:after="0"/>
              <w:rPr>
                <w:sz w:val="20"/>
                <w:szCs w:val="20"/>
                <w:color w:val="auto"/>
              </w:rPr>
            </w:pPr>
            <w:r>
              <w:rPr>
                <w:rFonts w:ascii="Arial" w:cs="Arial" w:eastAsia="Arial" w:hAnsi="Arial"/>
                <w:sz w:val="18"/>
                <w:szCs w:val="18"/>
                <w:color w:val="auto"/>
              </w:rPr>
              <w:t>0.40</w:t>
            </w:r>
            <w:r>
              <w:rPr>
                <w:rFonts w:ascii="Arial" w:cs="Arial" w:eastAsia="Arial" w:hAnsi="Arial"/>
                <w:sz w:val="11"/>
                <w:szCs w:val="11"/>
                <w:color w:val="auto"/>
              </w:rPr>
              <w:t>(2)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794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1300" w:right="80" w:hanging="320"/>
        <w:spacing w:after="0" w:line="265" w:lineRule="auto"/>
        <w:tabs>
          <w:tab w:leader="none" w:pos="1287" w:val="left"/>
        </w:tabs>
        <w:numPr>
          <w:ilvl w:val="1"/>
          <w:numId w:val="6"/>
        </w:numPr>
        <w:rPr>
          <w:rFonts w:ascii="Arial" w:cs="Arial" w:eastAsia="Arial" w:hAnsi="Arial"/>
          <w:sz w:val="21"/>
          <w:szCs w:val="21"/>
          <w:color w:val="auto"/>
          <w:vertAlign w:val="superscript"/>
        </w:rPr>
      </w:pPr>
      <w:r>
        <w:rPr>
          <w:rFonts w:ascii="Arial" w:cs="Arial" w:eastAsia="Arial" w:hAnsi="Arial"/>
          <w:sz w:val="16"/>
          <w:szCs w:val="16"/>
          <w:color w:val="auto"/>
        </w:rPr>
        <w:t>Calculated as the sum of: (i) crude oil, refined products and NGL terminalling and storage capacity; (ii) rail load and unload volumes, multiplied by the number of days in the period and divided by the number of months in the period; (iii) natural gas storage capacity divided by 6 to account for the 6:1 mcf of gas to crude Btu equivalent ratio and further divided by 1,000 to convert to monthly volumes in millions; and (iv) NGL fractionation volumes, multiplied by the number of days in the period and divided by the number of months in the period.</w:t>
      </w:r>
    </w:p>
    <w:p>
      <w:pPr>
        <w:spacing w:after="0" w:line="2" w:lineRule="exact"/>
        <w:rPr>
          <w:rFonts w:ascii="Arial" w:cs="Arial" w:eastAsia="Arial" w:hAnsi="Arial"/>
          <w:sz w:val="21"/>
          <w:szCs w:val="21"/>
          <w:color w:val="auto"/>
          <w:vertAlign w:val="superscript"/>
        </w:rPr>
      </w:pPr>
    </w:p>
    <w:p>
      <w:pPr>
        <w:ind w:left="1300" w:hanging="320"/>
        <w:spacing w:after="0" w:line="196" w:lineRule="auto"/>
        <w:tabs>
          <w:tab w:leader="none" w:pos="1300" w:val="left"/>
        </w:tabs>
        <w:numPr>
          <w:ilvl w:val="1"/>
          <w:numId w:val="6"/>
        </w:numPr>
        <w:rPr>
          <w:rFonts w:ascii="Arial" w:cs="Arial" w:eastAsia="Arial" w:hAnsi="Arial"/>
          <w:sz w:val="23"/>
          <w:szCs w:val="23"/>
          <w:color w:val="auto"/>
          <w:vertAlign w:val="superscript"/>
        </w:rPr>
      </w:pPr>
      <w:r>
        <w:rPr>
          <w:rFonts w:ascii="Arial" w:cs="Arial" w:eastAsia="Arial" w:hAnsi="Arial"/>
          <w:sz w:val="18"/>
          <w:szCs w:val="18"/>
          <w:color w:val="auto"/>
        </w:rPr>
        <w:t>Mid-point of guidance.</w:t>
      </w:r>
    </w:p>
    <w:p>
      <w:pPr>
        <w:spacing w:after="0" w:line="201" w:lineRule="exact"/>
        <w:rPr>
          <w:rFonts w:ascii="Arial" w:cs="Arial" w:eastAsia="Arial" w:hAnsi="Arial"/>
          <w:sz w:val="23"/>
          <w:szCs w:val="23"/>
          <w:color w:val="auto"/>
          <w:vertAlign w:val="superscript"/>
        </w:rPr>
      </w:pPr>
    </w:p>
    <w:p>
      <w:pPr>
        <w:ind w:left="980" w:hanging="324"/>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Supply and Logistics</w:t>
      </w:r>
      <w:r>
        <w:rPr>
          <w:rFonts w:ascii="Arial" w:cs="Arial" w:eastAsia="Arial" w:hAnsi="Arial"/>
          <w:sz w:val="18"/>
          <w:szCs w:val="18"/>
          <w:color w:val="auto"/>
        </w:rPr>
        <w:t>. Our Supply and Logistics segment operations generally consist of the following merchant-related activities:</w:t>
      </w:r>
    </w:p>
    <w:p>
      <w:pPr>
        <w:spacing w:after="0" w:line="225" w:lineRule="exact"/>
        <w:rPr>
          <w:rFonts w:ascii="Arial" w:cs="Arial" w:eastAsia="Arial" w:hAnsi="Arial"/>
          <w:sz w:val="18"/>
          <w:szCs w:val="18"/>
          <w:color w:val="auto"/>
        </w:rPr>
      </w:pPr>
    </w:p>
    <w:p>
      <w:pPr>
        <w:ind w:left="1300" w:right="240" w:hanging="324"/>
        <w:spacing w:after="0" w:line="277" w:lineRule="auto"/>
        <w:rPr>
          <w:rFonts w:ascii="Arial" w:cs="Arial" w:eastAsia="Arial" w:hAnsi="Arial"/>
          <w:sz w:val="18"/>
          <w:szCs w:val="18"/>
          <w:color w:val="auto"/>
        </w:rPr>
      </w:pPr>
      <w:r>
        <w:rPr>
          <w:rFonts w:ascii="Arial" w:cs="Arial" w:eastAsia="Arial" w:hAnsi="Arial"/>
          <w:sz w:val="18"/>
          <w:szCs w:val="18"/>
          <w:color w:val="auto"/>
        </w:rPr>
        <w:t>· the purchase of U.S. and Canadian crude oil at the wellhead, the bulk purchase of crude oil at pipeline, terminal and rail facilities, and the purchase of cargos at their load port and various other locations in transit;</w:t>
      </w:r>
    </w:p>
    <w:p>
      <w:pPr>
        <w:spacing w:after="0" w:line="170" w:lineRule="exact"/>
        <w:rPr>
          <w:rFonts w:ascii="Arial" w:cs="Arial" w:eastAsia="Arial" w:hAnsi="Arial"/>
          <w:sz w:val="18"/>
          <w:szCs w:val="18"/>
          <w:color w:val="auto"/>
        </w:rPr>
      </w:pPr>
    </w:p>
    <w:p>
      <w:pPr>
        <w:ind w:left="980" w:right="2300"/>
        <w:spacing w:after="0" w:line="501" w:lineRule="auto"/>
        <w:rPr>
          <w:rFonts w:ascii="Arial" w:cs="Arial" w:eastAsia="Arial" w:hAnsi="Arial"/>
          <w:sz w:val="18"/>
          <w:szCs w:val="18"/>
          <w:color w:val="auto"/>
        </w:rPr>
      </w:pPr>
      <w:r>
        <w:rPr>
          <w:rFonts w:ascii="Arial" w:cs="Arial" w:eastAsia="Arial" w:hAnsi="Arial"/>
          <w:sz w:val="18"/>
          <w:szCs w:val="18"/>
          <w:color w:val="auto"/>
        </w:rPr>
        <w:t>· the storage of inventory during contango market conditions and the seasonal storage of NGL and natural gas; · the purchase of NGL from producers, refiners, processors and other marketers;</w:t>
      </w:r>
    </w:p>
    <w:p>
      <w:pPr>
        <w:ind w:left="980"/>
        <w:spacing w:after="0"/>
        <w:rPr>
          <w:rFonts w:ascii="Arial" w:cs="Arial" w:eastAsia="Arial" w:hAnsi="Arial"/>
          <w:sz w:val="18"/>
          <w:szCs w:val="18"/>
          <w:color w:val="auto"/>
        </w:rPr>
      </w:pPr>
      <w:r>
        <w:rPr>
          <w:rFonts w:ascii="Arial" w:cs="Arial" w:eastAsia="Arial" w:hAnsi="Arial"/>
          <w:sz w:val="16"/>
          <w:szCs w:val="16"/>
          <w:color w:val="auto"/>
        </w:rPr>
        <w:t>·   the resale or exchange of crude oil and NGL at various points along the distribution chain to refiners or other resellers to maximize profits;</w:t>
      </w:r>
    </w:p>
    <w:p>
      <w:pPr>
        <w:spacing w:after="0" w:line="248" w:lineRule="exact"/>
        <w:rPr>
          <w:rFonts w:ascii="Arial" w:cs="Arial" w:eastAsia="Arial" w:hAnsi="Arial"/>
          <w:sz w:val="18"/>
          <w:szCs w:val="18"/>
          <w:color w:val="auto"/>
        </w:rPr>
      </w:pPr>
    </w:p>
    <w:p>
      <w:pPr>
        <w:ind w:left="1300" w:right="200" w:hanging="324"/>
        <w:spacing w:after="0" w:line="277" w:lineRule="auto"/>
        <w:rPr>
          <w:rFonts w:ascii="Arial" w:cs="Arial" w:eastAsia="Arial" w:hAnsi="Arial"/>
          <w:sz w:val="18"/>
          <w:szCs w:val="18"/>
          <w:color w:val="auto"/>
        </w:rPr>
      </w:pPr>
      <w:r>
        <w:rPr>
          <w:rFonts w:ascii="Arial" w:cs="Arial" w:eastAsia="Arial" w:hAnsi="Arial"/>
          <w:sz w:val="18"/>
          <w:szCs w:val="18"/>
          <w:color w:val="auto"/>
        </w:rPr>
        <w:t>· the transportation of crude oil and NGL on trucks, barges, railcars, pipelines and ocean-going vessels from various delivery points, market hub locations or directly to end users such as refineries, processors and fractionation facilities; and</w:t>
      </w:r>
    </w:p>
    <w:p>
      <w:pPr>
        <w:spacing w:after="0" w:line="170" w:lineRule="exact"/>
        <w:rPr>
          <w:rFonts w:ascii="Arial" w:cs="Arial" w:eastAsia="Arial" w:hAnsi="Arial"/>
          <w:sz w:val="18"/>
          <w:szCs w:val="18"/>
          <w:color w:val="auto"/>
        </w:rPr>
      </w:pPr>
    </w:p>
    <w:p>
      <w:pPr>
        <w:ind w:left="980"/>
        <w:spacing w:after="0"/>
        <w:rPr>
          <w:rFonts w:ascii="Arial" w:cs="Arial" w:eastAsia="Arial" w:hAnsi="Arial"/>
          <w:sz w:val="18"/>
          <w:szCs w:val="18"/>
          <w:color w:val="auto"/>
        </w:rPr>
      </w:pPr>
      <w:r>
        <w:rPr>
          <w:rFonts w:ascii="Arial" w:cs="Arial" w:eastAsia="Arial" w:hAnsi="Arial"/>
          <w:sz w:val="18"/>
          <w:szCs w:val="18"/>
          <w:color w:val="auto"/>
        </w:rPr>
        <w:t>·   the purchase and sale of natural gas.</w:t>
      </w:r>
    </w:p>
    <w:p>
      <w:pPr>
        <w:spacing w:after="0" w:line="225" w:lineRule="exact"/>
        <w:rPr>
          <w:rFonts w:ascii="Arial" w:cs="Arial" w:eastAsia="Arial" w:hAnsi="Arial"/>
          <w:sz w:val="18"/>
          <w:szCs w:val="18"/>
          <w:color w:val="auto"/>
        </w:rPr>
      </w:pPr>
    </w:p>
    <w:p>
      <w:pPr>
        <w:ind w:left="980" w:right="40"/>
        <w:spacing w:after="0" w:line="253" w:lineRule="auto"/>
        <w:rPr>
          <w:rFonts w:ascii="Arial" w:cs="Arial" w:eastAsia="Arial" w:hAnsi="Arial"/>
          <w:sz w:val="18"/>
          <w:szCs w:val="18"/>
          <w:color w:val="auto"/>
        </w:rPr>
      </w:pPr>
      <w:r>
        <w:rPr>
          <w:rFonts w:ascii="Arial" w:cs="Arial" w:eastAsia="Arial" w:hAnsi="Arial"/>
          <w:sz w:val="18"/>
          <w:szCs w:val="18"/>
          <w:color w:val="auto"/>
        </w:rPr>
        <w:t>We characterize a substantial portion of our baseline profit generated by our Supply and Logistics segment as fee equivalent. This portion of the segment profit is generated by the purchase and resale of crude oil on an index-related basis, which results in us generating a gross margin for such activities. This gross margin is reduced by the transportation, facilities and other logistical costs associated with delivering the crude oil to market as well as any operating and G&amp;A expenses. The level of profit associated with a portion of the other activities we conduct in the Supply and Logistics segment is influenced by overall market structure and the degree of market volatility as well as variable operating expenses. Forecasted operating results for the three-month period ending September 30, 2014 reflect the current market structure and forecasted operating results for the three and six month periods ending December 31, 2014 reflect seasonal and weather-related variations in NGL and natural gas sales. Our guidance is also based on an expectation that domestic crude oil production will continue to increase in line with increases over the last couple of years. Variations in weather, market structure or volatility could cause actual results to differ materially from forecasted results.</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980" w:right="20"/>
        <w:spacing w:after="0" w:line="293" w:lineRule="auto"/>
        <w:rPr>
          <w:sz w:val="20"/>
          <w:szCs w:val="20"/>
          <w:color w:val="auto"/>
        </w:rPr>
      </w:pPr>
      <w:r>
        <w:rPr>
          <w:rFonts w:ascii="Arial" w:cs="Arial" w:eastAsia="Arial" w:hAnsi="Arial"/>
          <w:sz w:val="16"/>
          <w:szCs w:val="16"/>
          <w:color w:val="auto"/>
        </w:rPr>
        <w:t>We forecast adjusted segment profit using the volume assumptions stated below, as well as estimates of unit margins, field operating costs, G&amp;A expenses and carrying costs for contango inventory, based on current and anticipated market conditions. Actual volumes are influenced by temporary market-driven storage and withdrawal of crude oil, maintenance schedules at refineries, actual production levels, weather, and other external factors beyond our control. Field operating costs do not include depreciation. Realized unit margins for any given lease-gathered barrel could vary significantly based on a variety of factors including location and quality differentials as well as contract structure. Accordingly, the projected segment profit per barrel can vary significantly even if aggregate volumes are in line with the forecasted levels.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28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8"/>
              </w:rPr>
              <w:t>Actual</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6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90"/>
              </w:rPr>
              <w:t>Guidance</w:t>
            </w:r>
          </w:p>
        </w:tc>
        <w:tc>
          <w:tcPr>
            <w:tcW w:w="1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2860" w:type="dxa"/>
            <w:vAlign w:val="bottom"/>
          </w:tcPr>
          <w:p>
            <w:pPr>
              <w:spacing w:after="0"/>
              <w:rPr>
                <w:sz w:val="10"/>
                <w:szCs w:val="10"/>
                <w:color w:val="auto"/>
              </w:rPr>
            </w:pPr>
          </w:p>
        </w:tc>
        <w:tc>
          <w:tcPr>
            <w:tcW w:w="15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1080" w:type="dxa"/>
            <w:vAlign w:val="bottom"/>
            <w:tcBorders>
              <w:top w:val="single" w:sz="8" w:color="auto"/>
            </w:tcBorders>
          </w:tcPr>
          <w:p>
            <w:pPr>
              <w:jc w:val="center"/>
              <w:ind w:right="100"/>
              <w:spacing w:after="0" w:line="119" w:lineRule="exact"/>
              <w:rPr>
                <w:sz w:val="20"/>
                <w:szCs w:val="20"/>
                <w:color w:val="auto"/>
              </w:rPr>
            </w:pPr>
            <w:r>
              <w:rPr>
                <w:rFonts w:ascii="Arial" w:cs="Arial" w:eastAsia="Arial" w:hAnsi="Arial"/>
                <w:sz w:val="13"/>
                <w:szCs w:val="13"/>
                <w:b w:val="1"/>
                <w:bCs w:val="1"/>
                <w:color w:val="auto"/>
              </w:rPr>
              <w:t>Six Months</w:t>
            </w:r>
          </w:p>
        </w:tc>
        <w:tc>
          <w:tcPr>
            <w:tcW w:w="1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1460" w:type="dxa"/>
            <w:vAlign w:val="bottom"/>
            <w:tcBorders>
              <w:top w:val="single" w:sz="8" w:color="auto"/>
            </w:tcBorders>
            <w:gridSpan w:val="2"/>
          </w:tcPr>
          <w:p>
            <w:pPr>
              <w:jc w:val="center"/>
              <w:ind w:right="500"/>
              <w:spacing w:after="0" w:line="119" w:lineRule="exact"/>
              <w:rPr>
                <w:sz w:val="20"/>
                <w:szCs w:val="20"/>
                <w:color w:val="auto"/>
              </w:rPr>
            </w:pPr>
            <w:r>
              <w:rPr>
                <w:rFonts w:ascii="Arial" w:cs="Arial" w:eastAsia="Arial" w:hAnsi="Arial"/>
                <w:sz w:val="13"/>
                <w:szCs w:val="13"/>
                <w:b w:val="1"/>
                <w:bCs w:val="1"/>
                <w:color w:val="auto"/>
              </w:rPr>
              <w:t>Three Months</w:t>
            </w:r>
          </w:p>
        </w:tc>
        <w:tc>
          <w:tcPr>
            <w:tcW w:w="140" w:type="dxa"/>
            <w:vAlign w:val="bottom"/>
            <w:tcBorders>
              <w:top w:val="single" w:sz="8" w:color="auto"/>
            </w:tcBorders>
          </w:tcPr>
          <w:p>
            <w:pPr>
              <w:spacing w:after="0"/>
              <w:rPr>
                <w:sz w:val="10"/>
                <w:szCs w:val="10"/>
                <w:color w:val="auto"/>
              </w:rPr>
            </w:pPr>
          </w:p>
        </w:tc>
        <w:tc>
          <w:tcPr>
            <w:tcW w:w="1460" w:type="dxa"/>
            <w:vAlign w:val="bottom"/>
            <w:tcBorders>
              <w:top w:val="single" w:sz="8" w:color="auto"/>
            </w:tcBorders>
            <w:gridSpan w:val="2"/>
          </w:tcPr>
          <w:p>
            <w:pPr>
              <w:jc w:val="center"/>
              <w:ind w:right="480"/>
              <w:spacing w:after="0" w:line="119" w:lineRule="exact"/>
              <w:rPr>
                <w:sz w:val="20"/>
                <w:szCs w:val="20"/>
                <w:color w:val="auto"/>
              </w:rPr>
            </w:pPr>
            <w:r>
              <w:rPr>
                <w:rFonts w:ascii="Arial" w:cs="Arial" w:eastAsia="Arial" w:hAnsi="Arial"/>
                <w:sz w:val="13"/>
                <w:szCs w:val="13"/>
                <w:b w:val="1"/>
                <w:bCs w:val="1"/>
                <w:color w:val="auto"/>
              </w:rPr>
              <w:t>Three Months</w:t>
            </w:r>
          </w:p>
        </w:tc>
        <w:tc>
          <w:tcPr>
            <w:tcW w:w="120" w:type="dxa"/>
            <w:vAlign w:val="bottom"/>
            <w:tcBorders>
              <w:top w:val="single" w:sz="8" w:color="auto"/>
            </w:tcBorders>
          </w:tcPr>
          <w:p>
            <w:pPr>
              <w:spacing w:after="0"/>
              <w:rPr>
                <w:sz w:val="10"/>
                <w:szCs w:val="10"/>
                <w:color w:val="auto"/>
              </w:rPr>
            </w:pPr>
          </w:p>
        </w:tc>
        <w:tc>
          <w:tcPr>
            <w:tcW w:w="1100" w:type="dxa"/>
            <w:vAlign w:val="bottom"/>
            <w:tcBorders>
              <w:top w:val="single" w:sz="8" w:color="auto"/>
            </w:tcBorders>
          </w:tcPr>
          <w:p>
            <w:pPr>
              <w:jc w:val="center"/>
              <w:ind w:right="38"/>
              <w:spacing w:after="0" w:line="119" w:lineRule="exact"/>
              <w:rPr>
                <w:sz w:val="20"/>
                <w:szCs w:val="20"/>
                <w:color w:val="auto"/>
              </w:rPr>
            </w:pPr>
            <w:r>
              <w:rPr>
                <w:rFonts w:ascii="Arial" w:cs="Arial" w:eastAsia="Arial" w:hAnsi="Arial"/>
                <w:sz w:val="13"/>
                <w:szCs w:val="13"/>
                <w:b w:val="1"/>
                <w:bCs w:val="1"/>
                <w:color w:val="auto"/>
              </w:rPr>
              <w:t>Twelve Months</w:t>
            </w:r>
          </w:p>
        </w:tc>
        <w:tc>
          <w:tcPr>
            <w:tcW w:w="3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6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6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3"/>
              </w:rPr>
              <w:t>Ended</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6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92"/>
              </w:rPr>
              <w:t>Ending</w:t>
            </w:r>
          </w:p>
        </w:tc>
        <w:tc>
          <w:tcPr>
            <w:tcW w:w="140" w:type="dxa"/>
            <w:vAlign w:val="bottom"/>
          </w:tcPr>
          <w:p>
            <w:pPr>
              <w:spacing w:after="0"/>
              <w:rPr>
                <w:sz w:val="12"/>
                <w:szCs w:val="12"/>
                <w:color w:val="auto"/>
              </w:rPr>
            </w:pPr>
          </w:p>
        </w:tc>
        <w:tc>
          <w:tcPr>
            <w:tcW w:w="146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96"/>
              </w:rPr>
              <w:t>Ending</w:t>
            </w:r>
          </w:p>
        </w:tc>
        <w:tc>
          <w:tcPr>
            <w:tcW w:w="120" w:type="dxa"/>
            <w:vAlign w:val="bottom"/>
          </w:tcPr>
          <w:p>
            <w:pPr>
              <w:spacing w:after="0"/>
              <w:rPr>
                <w:sz w:val="12"/>
                <w:szCs w:val="12"/>
                <w:color w:val="auto"/>
              </w:rPr>
            </w:pPr>
          </w:p>
        </w:tc>
        <w:tc>
          <w:tcPr>
            <w:tcW w:w="144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96"/>
              </w:rPr>
              <w:t>Ending</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8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3"/>
              </w:rPr>
              <w:t>Jun 30, 2014</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6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90"/>
              </w:rPr>
              <w:t>Sep 30, 2014</w:t>
            </w:r>
          </w:p>
        </w:tc>
        <w:tc>
          <w:tcPr>
            <w:tcW w:w="140" w:type="dxa"/>
            <w:vAlign w:val="bottom"/>
          </w:tcPr>
          <w:p>
            <w:pPr>
              <w:spacing w:after="0"/>
              <w:rPr>
                <w:sz w:val="14"/>
                <w:szCs w:val="14"/>
                <w:color w:val="auto"/>
              </w:rPr>
            </w:pPr>
          </w:p>
        </w:tc>
        <w:tc>
          <w:tcPr>
            <w:tcW w:w="146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2"/>
              </w:rPr>
              <w:t>Dec 31, 2014</w:t>
            </w:r>
          </w:p>
        </w:tc>
        <w:tc>
          <w:tcPr>
            <w:tcW w:w="120" w:type="dxa"/>
            <w:vAlign w:val="bottom"/>
          </w:tcPr>
          <w:p>
            <w:pPr>
              <w:spacing w:after="0"/>
              <w:rPr>
                <w:sz w:val="14"/>
                <w:szCs w:val="14"/>
                <w:color w:val="auto"/>
              </w:rPr>
            </w:pPr>
          </w:p>
        </w:tc>
        <w:tc>
          <w:tcPr>
            <w:tcW w:w="144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2"/>
              </w:rPr>
              <w:t>Dec 31, 2014</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440" w:type="dxa"/>
            <w:vAlign w:val="bottom"/>
            <w:tcBorders>
              <w:top w:val="single" w:sz="8" w:color="CCEEFF"/>
            </w:tcBorders>
            <w:gridSpan w:val="2"/>
            <w:shd w:val="clear" w:color="auto" w:fill="CCEEFF"/>
          </w:tcPr>
          <w:p>
            <w:pPr>
              <w:spacing w:after="0" w:line="196" w:lineRule="exact"/>
              <w:rPr>
                <w:sz w:val="20"/>
                <w:szCs w:val="20"/>
                <w:color w:val="auto"/>
              </w:rPr>
            </w:pPr>
            <w:r>
              <w:rPr>
                <w:rFonts w:ascii="Arial" w:cs="Arial" w:eastAsia="Arial" w:hAnsi="Arial"/>
                <w:sz w:val="18"/>
                <w:szCs w:val="18"/>
                <w:color w:val="auto"/>
              </w:rPr>
              <w:t>Average Daily Volumes (MBbls/d)</w:t>
            </w:r>
          </w:p>
        </w:tc>
        <w:tc>
          <w:tcPr>
            <w:tcW w:w="5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gridSpan w:val="2"/>
          </w:tcPr>
          <w:p>
            <w:pPr>
              <w:ind w:left="160"/>
              <w:spacing w:after="0"/>
              <w:rPr>
                <w:sz w:val="20"/>
                <w:szCs w:val="20"/>
                <w:color w:val="auto"/>
              </w:rPr>
            </w:pPr>
            <w:r>
              <w:rPr>
                <w:rFonts w:ascii="Arial" w:cs="Arial" w:eastAsia="Arial" w:hAnsi="Arial"/>
                <w:sz w:val="18"/>
                <w:szCs w:val="18"/>
                <w:color w:val="auto"/>
              </w:rPr>
              <w:t>Crude Oil Lease Gathering Purchases</w:t>
            </w: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912</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gridSpan w:val="2"/>
          </w:tcPr>
          <w:p>
            <w:pPr>
              <w:jc w:val="right"/>
              <w:ind w:right="360"/>
              <w:spacing w:after="0"/>
              <w:rPr>
                <w:sz w:val="20"/>
                <w:szCs w:val="20"/>
                <w:color w:val="auto"/>
              </w:rPr>
            </w:pPr>
            <w:r>
              <w:rPr>
                <w:rFonts w:ascii="Arial" w:cs="Arial" w:eastAsia="Arial" w:hAnsi="Arial"/>
                <w:sz w:val="18"/>
                <w:szCs w:val="18"/>
                <w:color w:val="auto"/>
              </w:rPr>
              <w:t>965</w:t>
            </w:r>
          </w:p>
        </w:tc>
        <w:tc>
          <w:tcPr>
            <w:tcW w:w="140" w:type="dxa"/>
            <w:vAlign w:val="bottom"/>
          </w:tcPr>
          <w:p>
            <w:pPr>
              <w:spacing w:after="0"/>
              <w:rPr>
                <w:sz w:val="18"/>
                <w:szCs w:val="18"/>
                <w:color w:val="auto"/>
              </w:rPr>
            </w:pPr>
          </w:p>
        </w:tc>
        <w:tc>
          <w:tcPr>
            <w:tcW w:w="1460" w:type="dxa"/>
            <w:vAlign w:val="bottom"/>
            <w:gridSpan w:val="2"/>
          </w:tcPr>
          <w:p>
            <w:pPr>
              <w:jc w:val="right"/>
              <w:ind w:right="340"/>
              <w:spacing w:after="0"/>
              <w:rPr>
                <w:sz w:val="20"/>
                <w:szCs w:val="20"/>
                <w:color w:val="auto"/>
              </w:rPr>
            </w:pPr>
            <w:r>
              <w:rPr>
                <w:rFonts w:ascii="Arial" w:cs="Arial" w:eastAsia="Arial" w:hAnsi="Arial"/>
                <w:sz w:val="18"/>
                <w:szCs w:val="18"/>
                <w:color w:val="auto"/>
              </w:rPr>
              <w:t>995</w:t>
            </w:r>
          </w:p>
        </w:tc>
        <w:tc>
          <w:tcPr>
            <w:tcW w:w="120" w:type="dxa"/>
            <w:vAlign w:val="bottom"/>
          </w:tcPr>
          <w:p>
            <w:pPr>
              <w:spacing w:after="0"/>
              <w:rPr>
                <w:sz w:val="18"/>
                <w:szCs w:val="18"/>
                <w:color w:val="auto"/>
              </w:rPr>
            </w:pPr>
          </w:p>
        </w:tc>
        <w:tc>
          <w:tcPr>
            <w:tcW w:w="1440" w:type="dxa"/>
            <w:vAlign w:val="bottom"/>
            <w:gridSpan w:val="2"/>
          </w:tcPr>
          <w:p>
            <w:pPr>
              <w:jc w:val="right"/>
              <w:ind w:right="340"/>
              <w:spacing w:after="0"/>
              <w:rPr>
                <w:sz w:val="20"/>
                <w:szCs w:val="20"/>
                <w:color w:val="auto"/>
              </w:rPr>
            </w:pPr>
            <w:r>
              <w:rPr>
                <w:rFonts w:ascii="Arial" w:cs="Arial" w:eastAsia="Arial" w:hAnsi="Arial"/>
                <w:sz w:val="18"/>
                <w:szCs w:val="18"/>
                <w:color w:val="auto"/>
              </w:rPr>
              <w:t>946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NGL Sales</w:t>
            </w: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205</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135</w:t>
            </w:r>
          </w:p>
        </w:tc>
        <w:tc>
          <w:tcPr>
            <w:tcW w:w="1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255</w:t>
            </w:r>
          </w:p>
        </w:tc>
        <w:tc>
          <w:tcPr>
            <w:tcW w:w="1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200</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2860" w:type="dxa"/>
            <w:vAlign w:val="bottom"/>
            <w:tcBorders>
              <w:bottom w:val="single" w:sz="8" w:color="CCEEFF"/>
            </w:tcBorders>
          </w:tcPr>
          <w:p>
            <w:pPr>
              <w:spacing w:after="0"/>
              <w:rPr>
                <w:sz w:val="21"/>
                <w:szCs w:val="21"/>
                <w:color w:val="auto"/>
              </w:rPr>
            </w:pPr>
          </w:p>
        </w:tc>
        <w:tc>
          <w:tcPr>
            <w:tcW w:w="1580" w:type="dxa"/>
            <w:vAlign w:val="bottom"/>
            <w:tcBorders>
              <w:bottom w:val="single" w:sz="8" w:color="CCEEFF"/>
            </w:tcBorders>
          </w:tcPr>
          <w:p>
            <w:pPr>
              <w:spacing w:after="0"/>
              <w:rPr>
                <w:sz w:val="21"/>
                <w:szCs w:val="21"/>
                <w:color w:val="auto"/>
              </w:rPr>
            </w:pPr>
          </w:p>
        </w:tc>
        <w:tc>
          <w:tcPr>
            <w:tcW w:w="580" w:type="dxa"/>
            <w:vAlign w:val="bottom"/>
            <w:tcBorders>
              <w:bottom w:val="single" w:sz="8" w:color="CCEEFF"/>
            </w:tcBorders>
          </w:tcPr>
          <w:p>
            <w:pPr>
              <w:spacing w:after="0"/>
              <w:rPr>
                <w:sz w:val="21"/>
                <w:szCs w:val="21"/>
                <w:color w:val="auto"/>
              </w:rPr>
            </w:pPr>
          </w:p>
        </w:tc>
        <w:tc>
          <w:tcPr>
            <w:tcW w:w="180" w:type="dxa"/>
            <w:vAlign w:val="bottom"/>
            <w:tcBorders>
              <w:top w:val="single" w:sz="8" w:color="auto"/>
              <w:bottom w:val="single" w:sz="8" w:color="auto"/>
            </w:tcBorders>
          </w:tcPr>
          <w:p>
            <w:pPr>
              <w:spacing w:after="0"/>
              <w:rPr>
                <w:sz w:val="21"/>
                <w:szCs w:val="21"/>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1,117</w:t>
            </w:r>
          </w:p>
        </w:tc>
        <w:tc>
          <w:tcPr>
            <w:tcW w:w="180" w:type="dxa"/>
            <w:vAlign w:val="bottom"/>
            <w:tcBorders>
              <w:bottom w:val="single" w:sz="8" w:color="CCEEFF"/>
            </w:tcBorders>
          </w:tcPr>
          <w:p>
            <w:pPr>
              <w:spacing w:after="0"/>
              <w:rPr>
                <w:sz w:val="21"/>
                <w:szCs w:val="21"/>
                <w:color w:val="auto"/>
              </w:rPr>
            </w:pPr>
          </w:p>
        </w:tc>
        <w:tc>
          <w:tcPr>
            <w:tcW w:w="180" w:type="dxa"/>
            <w:vAlign w:val="bottom"/>
            <w:tcBorders>
              <w:bottom w:val="single" w:sz="8" w:color="CCEEFF"/>
            </w:tcBorders>
          </w:tcPr>
          <w:p>
            <w:pPr>
              <w:spacing w:after="0"/>
              <w:rPr>
                <w:sz w:val="21"/>
                <w:szCs w:val="21"/>
                <w:color w:val="auto"/>
              </w:rPr>
            </w:pPr>
          </w:p>
        </w:tc>
        <w:tc>
          <w:tcPr>
            <w:tcW w:w="140" w:type="dxa"/>
            <w:vAlign w:val="bottom"/>
            <w:tcBorders>
              <w:top w:val="single" w:sz="8" w:color="auto"/>
              <w:bottom w:val="single" w:sz="8" w:color="auto"/>
            </w:tcBorders>
          </w:tcPr>
          <w:p>
            <w:pPr>
              <w:spacing w:after="0"/>
              <w:rPr>
                <w:sz w:val="21"/>
                <w:szCs w:val="21"/>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1,100</w:t>
            </w:r>
          </w:p>
        </w:tc>
        <w:tc>
          <w:tcPr>
            <w:tcW w:w="360" w:type="dxa"/>
            <w:vAlign w:val="bottom"/>
            <w:tcBorders>
              <w:bottom w:val="single" w:sz="8" w:color="CCEEFF"/>
            </w:tcBorders>
          </w:tcPr>
          <w:p>
            <w:pPr>
              <w:spacing w:after="0"/>
              <w:rPr>
                <w:sz w:val="21"/>
                <w:szCs w:val="21"/>
                <w:color w:val="auto"/>
              </w:rPr>
            </w:pPr>
          </w:p>
        </w:tc>
        <w:tc>
          <w:tcPr>
            <w:tcW w:w="140" w:type="dxa"/>
            <w:vAlign w:val="bottom"/>
            <w:tcBorders>
              <w:top w:val="single" w:sz="8" w:color="auto"/>
              <w:bottom w:val="single" w:sz="8" w:color="auto"/>
            </w:tcBorders>
          </w:tcPr>
          <w:p>
            <w:pPr>
              <w:spacing w:after="0"/>
              <w:rPr>
                <w:sz w:val="21"/>
                <w:szCs w:val="21"/>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1,250</w:t>
            </w:r>
          </w:p>
        </w:tc>
        <w:tc>
          <w:tcPr>
            <w:tcW w:w="340" w:type="dxa"/>
            <w:vAlign w:val="bottom"/>
            <w:tcBorders>
              <w:bottom w:val="single" w:sz="8" w:color="CCEEFF"/>
            </w:tcBorders>
          </w:tcPr>
          <w:p>
            <w:pPr>
              <w:spacing w:after="0"/>
              <w:rPr>
                <w:sz w:val="21"/>
                <w:szCs w:val="21"/>
                <w:color w:val="auto"/>
              </w:rPr>
            </w:pPr>
          </w:p>
        </w:tc>
        <w:tc>
          <w:tcPr>
            <w:tcW w:w="120" w:type="dxa"/>
            <w:vAlign w:val="bottom"/>
            <w:tcBorders>
              <w:top w:val="single" w:sz="8" w:color="auto"/>
              <w:bottom w:val="single" w:sz="8" w:color="auto"/>
            </w:tcBorders>
          </w:tcPr>
          <w:p>
            <w:pPr>
              <w:spacing w:after="0"/>
              <w:rPr>
                <w:sz w:val="21"/>
                <w:szCs w:val="21"/>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1,146</w:t>
            </w:r>
          </w:p>
        </w:tc>
        <w:tc>
          <w:tcPr>
            <w:tcW w:w="34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286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40" w:type="dxa"/>
            <w:vAlign w:val="bottom"/>
            <w:gridSpan w:val="2"/>
          </w:tcPr>
          <w:p>
            <w:pPr>
              <w:spacing w:after="0"/>
              <w:rPr>
                <w:sz w:val="20"/>
                <w:szCs w:val="20"/>
                <w:color w:val="auto"/>
              </w:rPr>
            </w:pPr>
            <w:r>
              <w:rPr>
                <w:rFonts w:ascii="Arial" w:cs="Arial" w:eastAsia="Arial" w:hAnsi="Arial"/>
                <w:sz w:val="18"/>
                <w:szCs w:val="18"/>
                <w:color w:val="auto"/>
              </w:rPr>
              <w:t>Segment Profit per Barrel ($/Bbl)</w:t>
            </w: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Excluding Selected Items Impacting Comparability</w:t>
            </w: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1.67</w:t>
            </w:r>
          </w:p>
        </w:tc>
        <w:tc>
          <w:tcPr>
            <w:tcW w:w="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1.14</w:t>
            </w:r>
            <w:r>
              <w:rPr>
                <w:rFonts w:ascii="Arial" w:cs="Arial" w:eastAsia="Arial" w:hAnsi="Arial"/>
                <w:sz w:val="11"/>
                <w:szCs w:val="11"/>
                <w:color w:val="auto"/>
              </w:rPr>
              <w:t>(1)</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1.73</w:t>
            </w:r>
            <w:r>
              <w:rPr>
                <w:rFonts w:ascii="Arial" w:cs="Arial" w:eastAsia="Arial" w:hAnsi="Arial"/>
                <w:sz w:val="11"/>
                <w:szCs w:val="11"/>
                <w:color w:val="auto"/>
              </w:rPr>
              <w:t>(1)</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1.56</w:t>
            </w:r>
            <w:r>
              <w:rPr>
                <w:rFonts w:ascii="Arial" w:cs="Arial" w:eastAsia="Arial" w:hAnsi="Arial"/>
                <w:sz w:val="11"/>
                <w:szCs w:val="11"/>
                <w:color w:val="auto"/>
              </w:rPr>
              <w:t>(1)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6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5"/>
        </w:trPr>
        <w:tc>
          <w:tcPr>
            <w:tcW w:w="20" w:type="dxa"/>
            <w:vAlign w:val="bottom"/>
          </w:tcPr>
          <w:p>
            <w:pPr>
              <w:spacing w:after="0"/>
              <w:rPr>
                <w:sz w:val="24"/>
                <w:szCs w:val="24"/>
                <w:color w:val="auto"/>
              </w:rPr>
            </w:pPr>
          </w:p>
        </w:tc>
        <w:tc>
          <w:tcPr>
            <w:tcW w:w="2860" w:type="dxa"/>
            <w:vAlign w:val="bottom"/>
            <w:tcBorders>
              <w:bottom w:val="single" w:sz="8" w:color="auto"/>
            </w:tcBorders>
          </w:tcPr>
          <w:p>
            <w:pPr>
              <w:spacing w:after="0"/>
              <w:rPr>
                <w:sz w:val="24"/>
                <w:szCs w:val="24"/>
                <w:color w:val="auto"/>
              </w:rPr>
            </w:pPr>
          </w:p>
        </w:tc>
        <w:tc>
          <w:tcPr>
            <w:tcW w:w="15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725" w:right="239" w:bottom="0" w:gutter="0" w:footer="0" w:header="0"/>
        </w:sectPr>
      </w:pPr>
    </w:p>
    <w:bookmarkStart w:id="4" w:name="page5"/>
    <w:bookmarkEnd w:id="4"/>
    <w:p>
      <w:pPr>
        <w:spacing w:after="0" w:line="29" w:lineRule="exact"/>
        <w:rPr>
          <w:sz w:val="20"/>
          <w:szCs w:val="20"/>
          <w:color w:val="auto"/>
        </w:rPr>
      </w:pPr>
    </w:p>
    <w:p>
      <w:pPr>
        <w:ind w:left="1300" w:hanging="320"/>
        <w:spacing w:after="0"/>
        <w:tabs>
          <w:tab w:leader="none" w:pos="1300" w:val="left"/>
        </w:tabs>
        <w:numPr>
          <w:ilvl w:val="1"/>
          <w:numId w:val="8"/>
        </w:numPr>
        <w:rPr>
          <w:rFonts w:ascii="Arial" w:cs="Arial" w:eastAsia="Arial" w:hAnsi="Arial"/>
          <w:sz w:val="23"/>
          <w:szCs w:val="23"/>
          <w:color w:val="auto"/>
          <w:vertAlign w:val="superscript"/>
        </w:rPr>
      </w:pPr>
      <w:r>
        <w:rPr>
          <w:rFonts w:ascii="Arial" w:cs="Arial" w:eastAsia="Arial" w:hAnsi="Arial"/>
          <w:sz w:val="18"/>
          <w:szCs w:val="18"/>
          <w:color w:val="auto"/>
        </w:rPr>
        <w:t>Mid-point of guidance.</w:t>
      </w:r>
    </w:p>
    <w:p>
      <w:pPr>
        <w:spacing w:after="0" w:line="201" w:lineRule="exact"/>
        <w:rPr>
          <w:rFonts w:ascii="Arial" w:cs="Arial" w:eastAsia="Arial" w:hAnsi="Arial"/>
          <w:sz w:val="23"/>
          <w:szCs w:val="23"/>
          <w:color w:val="auto"/>
          <w:vertAlign w:val="superscript"/>
        </w:rPr>
      </w:pPr>
    </w:p>
    <w:p>
      <w:pPr>
        <w:jc w:val="both"/>
        <w:ind w:left="340" w:right="160" w:hanging="332"/>
        <w:spacing w:after="0" w:line="264" w:lineRule="auto"/>
        <w:tabs>
          <w:tab w:leader="none" w:pos="340" w:val="left"/>
        </w:tabs>
        <w:numPr>
          <w:ilvl w:val="0"/>
          <w:numId w:val="9"/>
        </w:numPr>
        <w:rPr>
          <w:rFonts w:ascii="Arial" w:cs="Arial" w:eastAsia="Arial" w:hAnsi="Arial"/>
          <w:sz w:val="18"/>
          <w:szCs w:val="18"/>
          <w:color w:val="auto"/>
        </w:rPr>
      </w:pPr>
      <w:r>
        <w:rPr>
          <w:rFonts w:ascii="Arial" w:cs="Arial" w:eastAsia="Arial" w:hAnsi="Arial"/>
          <w:sz w:val="18"/>
          <w:szCs w:val="18"/>
          <w:i w:val="1"/>
          <w:iCs w:val="1"/>
          <w:color w:val="auto"/>
        </w:rPr>
        <w:t xml:space="preserve">Depreciation and Amortization. </w:t>
      </w:r>
      <w:r>
        <w:rPr>
          <w:rFonts w:ascii="Arial" w:cs="Arial" w:eastAsia="Arial" w:hAnsi="Arial"/>
          <w:sz w:val="18"/>
          <w:szCs w:val="18"/>
          <w:color w:val="auto"/>
        </w:rPr>
        <w:t>We forecast depreciation and amortization based on our existing depreciable assets, forecasted capital expenditures and</w:t>
      </w:r>
      <w:r>
        <w:rPr>
          <w:rFonts w:ascii="Arial" w:cs="Arial" w:eastAsia="Arial" w:hAnsi="Arial"/>
          <w:sz w:val="18"/>
          <w:szCs w:val="18"/>
          <w:i w:val="1"/>
          <w:iCs w:val="1"/>
          <w:color w:val="auto"/>
        </w:rPr>
        <w:t xml:space="preserve"> </w:t>
      </w:r>
      <w:r>
        <w:rPr>
          <w:rFonts w:ascii="Arial" w:cs="Arial" w:eastAsia="Arial" w:hAnsi="Arial"/>
          <w:sz w:val="18"/>
          <w:szCs w:val="18"/>
          <w:color w:val="auto"/>
        </w:rPr>
        <w:t>projected in-service dates. Depreciation may vary due to gains and losses on intermittent sales of assets, asset retirement obligations, asset impairments, acceleration of depreciation or foreign exchange rates.</w:t>
      </w:r>
    </w:p>
    <w:p>
      <w:pPr>
        <w:spacing w:after="0" w:line="181" w:lineRule="exact"/>
        <w:rPr>
          <w:rFonts w:ascii="Arial" w:cs="Arial" w:eastAsia="Arial" w:hAnsi="Arial"/>
          <w:sz w:val="18"/>
          <w:szCs w:val="18"/>
          <w:color w:val="auto"/>
        </w:rPr>
      </w:pPr>
    </w:p>
    <w:p>
      <w:pPr>
        <w:ind w:left="340" w:right="140" w:hanging="332"/>
        <w:spacing w:after="0" w:line="276" w:lineRule="auto"/>
        <w:tabs>
          <w:tab w:leader="none" w:pos="340" w:val="left"/>
        </w:tabs>
        <w:numPr>
          <w:ilvl w:val="0"/>
          <w:numId w:val="9"/>
        </w:numPr>
        <w:rPr>
          <w:rFonts w:ascii="Arial" w:cs="Arial" w:eastAsia="Arial" w:hAnsi="Arial"/>
          <w:sz w:val="17"/>
          <w:szCs w:val="17"/>
          <w:color w:val="auto"/>
        </w:rPr>
      </w:pPr>
      <w:r>
        <w:rPr>
          <w:rFonts w:ascii="Arial" w:cs="Arial" w:eastAsia="Arial" w:hAnsi="Arial"/>
          <w:sz w:val="17"/>
          <w:szCs w:val="17"/>
          <w:color w:val="auto"/>
        </w:rPr>
        <w:t>Capital Expenditures and Acquisitions. Although acquisitions constitute a key element of our growth strategy, the forecasted results and associated estimates do not include any forecasts for acquisitions that we may commit to after the date hereof. We forecast capital expenditures during the calendar year of 2014 to be approximately $1.95 billion for expansion projects with an additional $185 to $205 million for maintenance capital projects. During the first six months of 2014, we spent $1,012 million and $95 million for expansion and maintenance projects, respectively. The following are some of the more notable projects and forecasted expenditures for the year ending December 31, 2014:</w:t>
      </w:r>
    </w:p>
    <w:p>
      <w:pPr>
        <w:spacing w:after="0" w:line="164" w:lineRule="exact"/>
        <w:rPr>
          <w:sz w:val="20"/>
          <w:szCs w:val="20"/>
          <w:color w:val="auto"/>
        </w:rPr>
      </w:pPr>
    </w:p>
    <w:tbl>
      <w:tblPr>
        <w:tblLayout w:type="fixed"/>
        <w:tblInd w:w="1300" w:type="dxa"/>
        <w:tblCellMar>
          <w:top w:w="0" w:type="dxa"/>
          <w:left w:w="0" w:type="dxa"/>
          <w:bottom w:w="0" w:type="dxa"/>
          <w:right w:w="0" w:type="dxa"/>
        </w:tblCellMar>
      </w:tblPr>
      <w:tr>
        <w:trPr>
          <w:trHeight w:val="171"/>
        </w:trPr>
        <w:tc>
          <w:tcPr>
            <w:tcW w:w="6600" w:type="dxa"/>
            <w:vAlign w:val="bottom"/>
          </w:tcPr>
          <w:p>
            <w:pPr>
              <w:spacing w:after="0"/>
              <w:rPr>
                <w:sz w:val="14"/>
                <w:szCs w:val="14"/>
                <w:color w:val="auto"/>
              </w:rPr>
            </w:pPr>
          </w:p>
        </w:tc>
        <w:tc>
          <w:tcPr>
            <w:tcW w:w="17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Calendar 2014</w:t>
            </w:r>
          </w:p>
        </w:tc>
      </w:tr>
      <w:tr>
        <w:trPr>
          <w:trHeight w:val="142"/>
        </w:trPr>
        <w:tc>
          <w:tcPr>
            <w:tcW w:w="6600" w:type="dxa"/>
            <w:vAlign w:val="bottom"/>
          </w:tcPr>
          <w:p>
            <w:pPr>
              <w:spacing w:after="0"/>
              <w:rPr>
                <w:sz w:val="12"/>
                <w:szCs w:val="12"/>
                <w:color w:val="auto"/>
              </w:rPr>
            </w:pPr>
          </w:p>
        </w:tc>
        <w:tc>
          <w:tcPr>
            <w:tcW w:w="166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4"/>
              </w:rPr>
              <w:t>(in millions)</w:t>
            </w:r>
          </w:p>
        </w:tc>
        <w:tc>
          <w:tcPr>
            <w:tcW w:w="100" w:type="dxa"/>
            <w:vAlign w:val="bottom"/>
          </w:tcPr>
          <w:p>
            <w:pPr>
              <w:spacing w:after="0"/>
              <w:rPr>
                <w:sz w:val="12"/>
                <w:szCs w:val="12"/>
                <w:color w:val="auto"/>
              </w:rPr>
            </w:pPr>
          </w:p>
        </w:tc>
      </w:tr>
      <w:tr>
        <w:trPr>
          <w:trHeight w:val="216"/>
        </w:trPr>
        <w:tc>
          <w:tcPr>
            <w:tcW w:w="6600" w:type="dxa"/>
            <w:vAlign w:val="bottom"/>
            <w:shd w:val="clear" w:color="auto" w:fill="CCEEFF"/>
          </w:tcPr>
          <w:p>
            <w:pPr>
              <w:spacing w:after="0"/>
              <w:rPr>
                <w:sz w:val="20"/>
                <w:szCs w:val="20"/>
                <w:color w:val="auto"/>
              </w:rPr>
            </w:pPr>
            <w:r>
              <w:rPr>
                <w:rFonts w:ascii="Arial" w:cs="Arial" w:eastAsia="Arial" w:hAnsi="Arial"/>
                <w:sz w:val="18"/>
                <w:szCs w:val="18"/>
                <w:color w:val="auto"/>
              </w:rPr>
              <w:t>Expansion Capital</w:t>
            </w:r>
          </w:p>
        </w:tc>
        <w:tc>
          <w:tcPr>
            <w:tcW w:w="1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600" w:type="dxa"/>
            <w:vAlign w:val="bottom"/>
          </w:tcPr>
          <w:p>
            <w:pPr>
              <w:spacing w:after="0"/>
              <w:rPr>
                <w:sz w:val="20"/>
                <w:szCs w:val="20"/>
                <w:color w:val="auto"/>
              </w:rPr>
            </w:pPr>
            <w:r>
              <w:rPr>
                <w:rFonts w:ascii="Arial" w:cs="Arial" w:eastAsia="Arial" w:hAnsi="Arial"/>
                <w:sz w:val="18"/>
                <w:szCs w:val="18"/>
                <w:color w:val="auto"/>
              </w:rPr>
              <w:t>· Permian Basin Area Projects</w:t>
            </w:r>
          </w:p>
        </w:tc>
        <w:tc>
          <w:tcPr>
            <w:tcW w:w="1660" w:type="dxa"/>
            <w:vAlign w:val="bottom"/>
          </w:tcPr>
          <w:p>
            <w:pPr>
              <w:jc w:val="center"/>
              <w:spacing w:after="0"/>
              <w:rPr>
                <w:sz w:val="20"/>
                <w:szCs w:val="20"/>
                <w:color w:val="auto"/>
              </w:rPr>
            </w:pPr>
            <w:r>
              <w:rPr>
                <w:rFonts w:ascii="Arial" w:cs="Arial" w:eastAsia="Arial" w:hAnsi="Arial"/>
                <w:sz w:val="18"/>
                <w:szCs w:val="18"/>
                <w:color w:val="auto"/>
                <w:w w:val="89"/>
              </w:rPr>
              <w:t>$480</w:t>
            </w:r>
          </w:p>
        </w:tc>
        <w:tc>
          <w:tcPr>
            <w:tcW w:w="100" w:type="dxa"/>
            <w:vAlign w:val="bottom"/>
          </w:tcPr>
          <w:p>
            <w:pPr>
              <w:spacing w:after="0"/>
              <w:rPr>
                <w:sz w:val="18"/>
                <w:szCs w:val="18"/>
                <w:color w:val="auto"/>
              </w:rPr>
            </w:pPr>
          </w:p>
        </w:tc>
      </w:tr>
      <w:tr>
        <w:trPr>
          <w:trHeight w:val="216"/>
        </w:trPr>
        <w:tc>
          <w:tcPr>
            <w:tcW w:w="6600" w:type="dxa"/>
            <w:vAlign w:val="bottom"/>
            <w:shd w:val="clear" w:color="auto" w:fill="CCEEFF"/>
          </w:tcPr>
          <w:p>
            <w:pPr>
              <w:spacing w:after="0"/>
              <w:rPr>
                <w:sz w:val="20"/>
                <w:szCs w:val="20"/>
                <w:color w:val="auto"/>
              </w:rPr>
            </w:pPr>
            <w:r>
              <w:rPr>
                <w:rFonts w:ascii="Arial" w:cs="Arial" w:eastAsia="Arial" w:hAnsi="Arial"/>
                <w:sz w:val="18"/>
                <w:szCs w:val="18"/>
                <w:color w:val="auto"/>
              </w:rPr>
              <w:t>· Cactus Pipeline</w:t>
            </w:r>
          </w:p>
        </w:tc>
        <w:tc>
          <w:tcPr>
            <w:tcW w:w="16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350</w:t>
            </w:r>
          </w:p>
        </w:tc>
        <w:tc>
          <w:tcPr>
            <w:tcW w:w="100" w:type="dxa"/>
            <w:vAlign w:val="bottom"/>
            <w:shd w:val="clear" w:color="auto" w:fill="CCEEFF"/>
          </w:tcPr>
          <w:p>
            <w:pPr>
              <w:spacing w:after="0"/>
              <w:rPr>
                <w:sz w:val="18"/>
                <w:szCs w:val="18"/>
                <w:color w:val="auto"/>
              </w:rPr>
            </w:pPr>
          </w:p>
        </w:tc>
      </w:tr>
      <w:tr>
        <w:trPr>
          <w:trHeight w:val="216"/>
        </w:trPr>
        <w:tc>
          <w:tcPr>
            <w:tcW w:w="6600" w:type="dxa"/>
            <w:vAlign w:val="bottom"/>
          </w:tcPr>
          <w:p>
            <w:pPr>
              <w:spacing w:after="0" w:line="216" w:lineRule="exact"/>
              <w:rPr>
                <w:sz w:val="20"/>
                <w:szCs w:val="20"/>
                <w:color w:val="auto"/>
              </w:rPr>
            </w:pPr>
            <w:r>
              <w:rPr>
                <w:rFonts w:ascii="Arial" w:cs="Arial" w:eastAsia="Arial" w:hAnsi="Arial"/>
                <w:sz w:val="18"/>
                <w:szCs w:val="18"/>
                <w:color w:val="auto"/>
              </w:rPr>
              <w:t xml:space="preserve">· Rail Terminal Projects </w:t>
            </w:r>
            <w:r>
              <w:rPr>
                <w:rFonts w:ascii="Arial" w:cs="Arial" w:eastAsia="Arial" w:hAnsi="Arial"/>
                <w:sz w:val="23"/>
                <w:szCs w:val="23"/>
                <w:color w:val="auto"/>
                <w:vertAlign w:val="superscript"/>
              </w:rPr>
              <w:t>(1)</w:t>
            </w:r>
          </w:p>
        </w:tc>
        <w:tc>
          <w:tcPr>
            <w:tcW w:w="1660" w:type="dxa"/>
            <w:vAlign w:val="bottom"/>
          </w:tcPr>
          <w:p>
            <w:pPr>
              <w:jc w:val="center"/>
              <w:spacing w:after="0"/>
              <w:rPr>
                <w:sz w:val="20"/>
                <w:szCs w:val="20"/>
                <w:color w:val="auto"/>
              </w:rPr>
            </w:pPr>
            <w:r>
              <w:rPr>
                <w:rFonts w:ascii="Arial" w:cs="Arial" w:eastAsia="Arial" w:hAnsi="Arial"/>
                <w:sz w:val="18"/>
                <w:szCs w:val="18"/>
                <w:color w:val="auto"/>
                <w:w w:val="86"/>
              </w:rPr>
              <w:t>220</w:t>
            </w:r>
          </w:p>
        </w:tc>
        <w:tc>
          <w:tcPr>
            <w:tcW w:w="100" w:type="dxa"/>
            <w:vAlign w:val="bottom"/>
          </w:tcPr>
          <w:p>
            <w:pPr>
              <w:spacing w:after="0"/>
              <w:rPr>
                <w:sz w:val="18"/>
                <w:szCs w:val="18"/>
                <w:color w:val="auto"/>
              </w:rPr>
            </w:pPr>
          </w:p>
        </w:tc>
      </w:tr>
      <w:tr>
        <w:trPr>
          <w:trHeight w:val="216"/>
        </w:trPr>
        <w:tc>
          <w:tcPr>
            <w:tcW w:w="6600" w:type="dxa"/>
            <w:vAlign w:val="bottom"/>
            <w:shd w:val="clear" w:color="auto" w:fill="CCEEFF"/>
          </w:tcPr>
          <w:p>
            <w:pPr>
              <w:spacing w:after="0"/>
              <w:rPr>
                <w:sz w:val="20"/>
                <w:szCs w:val="20"/>
                <w:color w:val="auto"/>
              </w:rPr>
            </w:pPr>
            <w:r>
              <w:rPr>
                <w:rFonts w:ascii="Arial" w:cs="Arial" w:eastAsia="Arial" w:hAnsi="Arial"/>
                <w:sz w:val="18"/>
                <w:szCs w:val="18"/>
                <w:color w:val="auto"/>
              </w:rPr>
              <w:t>· Ft. Sask Facility Projects / NGL Line</w:t>
            </w:r>
          </w:p>
        </w:tc>
        <w:tc>
          <w:tcPr>
            <w:tcW w:w="16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135</w:t>
            </w:r>
          </w:p>
        </w:tc>
        <w:tc>
          <w:tcPr>
            <w:tcW w:w="100" w:type="dxa"/>
            <w:vAlign w:val="bottom"/>
            <w:shd w:val="clear" w:color="auto" w:fill="CCEEFF"/>
          </w:tcPr>
          <w:p>
            <w:pPr>
              <w:spacing w:after="0"/>
              <w:rPr>
                <w:sz w:val="18"/>
                <w:szCs w:val="18"/>
                <w:color w:val="auto"/>
              </w:rPr>
            </w:pPr>
          </w:p>
        </w:tc>
      </w:tr>
      <w:tr>
        <w:trPr>
          <w:trHeight w:val="216"/>
        </w:trPr>
        <w:tc>
          <w:tcPr>
            <w:tcW w:w="6600" w:type="dxa"/>
            <w:vAlign w:val="bottom"/>
          </w:tcPr>
          <w:p>
            <w:pPr>
              <w:spacing w:after="0"/>
              <w:rPr>
                <w:sz w:val="20"/>
                <w:szCs w:val="20"/>
                <w:color w:val="auto"/>
              </w:rPr>
            </w:pPr>
            <w:r>
              <w:rPr>
                <w:rFonts w:ascii="Arial" w:cs="Arial" w:eastAsia="Arial" w:hAnsi="Arial"/>
                <w:sz w:val="18"/>
                <w:szCs w:val="18"/>
                <w:color w:val="auto"/>
              </w:rPr>
              <w:t>· Western Oklahoma Extension</w:t>
            </w:r>
          </w:p>
        </w:tc>
        <w:tc>
          <w:tcPr>
            <w:tcW w:w="1660" w:type="dxa"/>
            <w:vAlign w:val="bottom"/>
          </w:tcPr>
          <w:p>
            <w:pPr>
              <w:jc w:val="center"/>
              <w:spacing w:after="0"/>
              <w:rPr>
                <w:sz w:val="20"/>
                <w:szCs w:val="20"/>
                <w:color w:val="auto"/>
              </w:rPr>
            </w:pPr>
            <w:r>
              <w:rPr>
                <w:rFonts w:ascii="Arial" w:cs="Arial" w:eastAsia="Arial" w:hAnsi="Arial"/>
                <w:sz w:val="18"/>
                <w:szCs w:val="18"/>
                <w:color w:val="auto"/>
                <w:w w:val="89"/>
              </w:rPr>
              <w:t>80</w:t>
            </w:r>
          </w:p>
        </w:tc>
        <w:tc>
          <w:tcPr>
            <w:tcW w:w="100" w:type="dxa"/>
            <w:vAlign w:val="bottom"/>
          </w:tcPr>
          <w:p>
            <w:pPr>
              <w:spacing w:after="0"/>
              <w:rPr>
                <w:sz w:val="18"/>
                <w:szCs w:val="18"/>
                <w:color w:val="auto"/>
              </w:rPr>
            </w:pPr>
          </w:p>
        </w:tc>
      </w:tr>
      <w:tr>
        <w:trPr>
          <w:trHeight w:val="216"/>
        </w:trPr>
        <w:tc>
          <w:tcPr>
            <w:tcW w:w="6600" w:type="dxa"/>
            <w:vAlign w:val="bottom"/>
            <w:shd w:val="clear" w:color="auto" w:fill="CCEEFF"/>
          </w:tcPr>
          <w:p>
            <w:pPr>
              <w:spacing w:after="0"/>
              <w:rPr>
                <w:sz w:val="20"/>
                <w:szCs w:val="20"/>
                <w:color w:val="auto"/>
              </w:rPr>
            </w:pPr>
            <w:r>
              <w:rPr>
                <w:rFonts w:ascii="Arial" w:cs="Arial" w:eastAsia="Arial" w:hAnsi="Arial"/>
                <w:sz w:val="18"/>
                <w:szCs w:val="18"/>
                <w:color w:val="auto"/>
              </w:rPr>
              <w:t>· Eagle Ford JV Project</w:t>
            </w:r>
          </w:p>
        </w:tc>
        <w:tc>
          <w:tcPr>
            <w:tcW w:w="16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65</w:t>
            </w:r>
          </w:p>
        </w:tc>
        <w:tc>
          <w:tcPr>
            <w:tcW w:w="100" w:type="dxa"/>
            <w:vAlign w:val="bottom"/>
            <w:shd w:val="clear" w:color="auto" w:fill="CCEEFF"/>
          </w:tcPr>
          <w:p>
            <w:pPr>
              <w:spacing w:after="0"/>
              <w:rPr>
                <w:sz w:val="18"/>
                <w:szCs w:val="18"/>
                <w:color w:val="auto"/>
              </w:rPr>
            </w:pPr>
          </w:p>
        </w:tc>
      </w:tr>
      <w:tr>
        <w:trPr>
          <w:trHeight w:val="216"/>
        </w:trPr>
        <w:tc>
          <w:tcPr>
            <w:tcW w:w="6600" w:type="dxa"/>
            <w:vAlign w:val="bottom"/>
          </w:tcPr>
          <w:p>
            <w:pPr>
              <w:spacing w:after="0"/>
              <w:rPr>
                <w:sz w:val="20"/>
                <w:szCs w:val="20"/>
                <w:color w:val="auto"/>
              </w:rPr>
            </w:pPr>
            <w:r>
              <w:rPr>
                <w:rFonts w:ascii="Arial" w:cs="Arial" w:eastAsia="Arial" w:hAnsi="Arial"/>
                <w:sz w:val="18"/>
                <w:szCs w:val="18"/>
                <w:color w:val="auto"/>
              </w:rPr>
              <w:t>· Mississippian Lime Pipeline</w:t>
            </w:r>
          </w:p>
        </w:tc>
        <w:tc>
          <w:tcPr>
            <w:tcW w:w="1660" w:type="dxa"/>
            <w:vAlign w:val="bottom"/>
          </w:tcPr>
          <w:p>
            <w:pPr>
              <w:jc w:val="center"/>
              <w:spacing w:after="0"/>
              <w:rPr>
                <w:sz w:val="20"/>
                <w:szCs w:val="20"/>
                <w:color w:val="auto"/>
              </w:rPr>
            </w:pPr>
            <w:r>
              <w:rPr>
                <w:rFonts w:ascii="Arial" w:cs="Arial" w:eastAsia="Arial" w:hAnsi="Arial"/>
                <w:sz w:val="18"/>
                <w:szCs w:val="18"/>
                <w:color w:val="auto"/>
                <w:w w:val="89"/>
              </w:rPr>
              <w:t>50</w:t>
            </w:r>
          </w:p>
        </w:tc>
        <w:tc>
          <w:tcPr>
            <w:tcW w:w="100" w:type="dxa"/>
            <w:vAlign w:val="bottom"/>
          </w:tcPr>
          <w:p>
            <w:pPr>
              <w:spacing w:after="0"/>
              <w:rPr>
                <w:sz w:val="18"/>
                <w:szCs w:val="18"/>
                <w:color w:val="auto"/>
              </w:rPr>
            </w:pPr>
          </w:p>
        </w:tc>
      </w:tr>
      <w:tr>
        <w:trPr>
          <w:trHeight w:val="216"/>
        </w:trPr>
        <w:tc>
          <w:tcPr>
            <w:tcW w:w="6600" w:type="dxa"/>
            <w:vAlign w:val="bottom"/>
            <w:shd w:val="clear" w:color="auto" w:fill="CCEEFF"/>
          </w:tcPr>
          <w:p>
            <w:pPr>
              <w:spacing w:after="0"/>
              <w:rPr>
                <w:sz w:val="20"/>
                <w:szCs w:val="20"/>
                <w:color w:val="auto"/>
              </w:rPr>
            </w:pPr>
            <w:r>
              <w:rPr>
                <w:rFonts w:ascii="Arial" w:cs="Arial" w:eastAsia="Arial" w:hAnsi="Arial"/>
                <w:sz w:val="18"/>
                <w:szCs w:val="18"/>
                <w:color w:val="auto"/>
              </w:rPr>
              <w:t>· White Cliffs Expansion</w:t>
            </w:r>
          </w:p>
        </w:tc>
        <w:tc>
          <w:tcPr>
            <w:tcW w:w="16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40</w:t>
            </w:r>
          </w:p>
        </w:tc>
        <w:tc>
          <w:tcPr>
            <w:tcW w:w="100" w:type="dxa"/>
            <w:vAlign w:val="bottom"/>
            <w:shd w:val="clear" w:color="auto" w:fill="CCEEFF"/>
          </w:tcPr>
          <w:p>
            <w:pPr>
              <w:spacing w:after="0"/>
              <w:rPr>
                <w:sz w:val="18"/>
                <w:szCs w:val="18"/>
                <w:color w:val="auto"/>
              </w:rPr>
            </w:pPr>
          </w:p>
        </w:tc>
      </w:tr>
      <w:tr>
        <w:trPr>
          <w:trHeight w:val="216"/>
        </w:trPr>
        <w:tc>
          <w:tcPr>
            <w:tcW w:w="6600" w:type="dxa"/>
            <w:vAlign w:val="bottom"/>
          </w:tcPr>
          <w:p>
            <w:pPr>
              <w:spacing w:after="0"/>
              <w:rPr>
                <w:sz w:val="20"/>
                <w:szCs w:val="20"/>
                <w:color w:val="auto"/>
              </w:rPr>
            </w:pPr>
            <w:r>
              <w:rPr>
                <w:rFonts w:ascii="Arial" w:cs="Arial" w:eastAsia="Arial" w:hAnsi="Arial"/>
                <w:sz w:val="18"/>
                <w:szCs w:val="18"/>
                <w:color w:val="auto"/>
              </w:rPr>
              <w:t>· Line 63 Reactivation</w:t>
            </w:r>
          </w:p>
        </w:tc>
        <w:tc>
          <w:tcPr>
            <w:tcW w:w="1660" w:type="dxa"/>
            <w:vAlign w:val="bottom"/>
          </w:tcPr>
          <w:p>
            <w:pPr>
              <w:jc w:val="center"/>
              <w:spacing w:after="0"/>
              <w:rPr>
                <w:sz w:val="20"/>
                <w:szCs w:val="20"/>
                <w:color w:val="auto"/>
              </w:rPr>
            </w:pPr>
            <w:r>
              <w:rPr>
                <w:rFonts w:ascii="Arial" w:cs="Arial" w:eastAsia="Arial" w:hAnsi="Arial"/>
                <w:sz w:val="18"/>
                <w:szCs w:val="18"/>
                <w:color w:val="auto"/>
                <w:w w:val="89"/>
              </w:rPr>
              <w:t>35</w:t>
            </w:r>
          </w:p>
        </w:tc>
        <w:tc>
          <w:tcPr>
            <w:tcW w:w="100" w:type="dxa"/>
            <w:vAlign w:val="bottom"/>
          </w:tcPr>
          <w:p>
            <w:pPr>
              <w:spacing w:after="0"/>
              <w:rPr>
                <w:sz w:val="18"/>
                <w:szCs w:val="18"/>
                <w:color w:val="auto"/>
              </w:rPr>
            </w:pPr>
          </w:p>
        </w:tc>
      </w:tr>
      <w:tr>
        <w:trPr>
          <w:trHeight w:val="216"/>
        </w:trPr>
        <w:tc>
          <w:tcPr>
            <w:tcW w:w="6600" w:type="dxa"/>
            <w:vAlign w:val="bottom"/>
            <w:shd w:val="clear" w:color="auto" w:fill="CCEEFF"/>
          </w:tcPr>
          <w:p>
            <w:pPr>
              <w:spacing w:after="0"/>
              <w:rPr>
                <w:sz w:val="20"/>
                <w:szCs w:val="20"/>
                <w:color w:val="auto"/>
              </w:rPr>
            </w:pPr>
            <w:r>
              <w:rPr>
                <w:rFonts w:ascii="Arial" w:cs="Arial" w:eastAsia="Arial" w:hAnsi="Arial"/>
                <w:sz w:val="18"/>
                <w:szCs w:val="18"/>
                <w:color w:val="auto"/>
              </w:rPr>
              <w:t>· Natural Gas Storage Expansions</w:t>
            </w:r>
          </w:p>
        </w:tc>
        <w:tc>
          <w:tcPr>
            <w:tcW w:w="16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35</w:t>
            </w:r>
          </w:p>
        </w:tc>
        <w:tc>
          <w:tcPr>
            <w:tcW w:w="100" w:type="dxa"/>
            <w:vAlign w:val="bottom"/>
            <w:shd w:val="clear" w:color="auto" w:fill="CCEEFF"/>
          </w:tcPr>
          <w:p>
            <w:pPr>
              <w:spacing w:after="0"/>
              <w:rPr>
                <w:sz w:val="18"/>
                <w:szCs w:val="18"/>
                <w:color w:val="auto"/>
              </w:rPr>
            </w:pPr>
          </w:p>
        </w:tc>
      </w:tr>
      <w:tr>
        <w:trPr>
          <w:trHeight w:val="216"/>
        </w:trPr>
        <w:tc>
          <w:tcPr>
            <w:tcW w:w="66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 Other Projects</w:t>
            </w:r>
          </w:p>
        </w:tc>
        <w:tc>
          <w:tcPr>
            <w:tcW w:w="16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6"/>
              </w:rPr>
              <w:t>460</w:t>
            </w:r>
          </w:p>
        </w:tc>
        <w:tc>
          <w:tcPr>
            <w:tcW w:w="100" w:type="dxa"/>
            <w:vAlign w:val="bottom"/>
            <w:tcBorders>
              <w:bottom w:val="single" w:sz="8" w:color="CCEEFF"/>
            </w:tcBorders>
          </w:tcPr>
          <w:p>
            <w:pPr>
              <w:spacing w:after="0"/>
              <w:rPr>
                <w:sz w:val="18"/>
                <w:szCs w:val="18"/>
                <w:color w:val="auto"/>
              </w:rPr>
            </w:pPr>
          </w:p>
        </w:tc>
      </w:tr>
      <w:tr>
        <w:trPr>
          <w:trHeight w:val="210"/>
        </w:trPr>
        <w:tc>
          <w:tcPr>
            <w:tcW w:w="6600" w:type="dxa"/>
            <w:vAlign w:val="bottom"/>
            <w:shd w:val="clear" w:color="auto" w:fill="CCEEFF"/>
          </w:tcPr>
          <w:p>
            <w:pPr>
              <w:spacing w:after="0"/>
              <w:rPr>
                <w:sz w:val="18"/>
                <w:szCs w:val="18"/>
                <w:color w:val="auto"/>
              </w:rPr>
            </w:pPr>
          </w:p>
        </w:tc>
        <w:tc>
          <w:tcPr>
            <w:tcW w:w="16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$1,950</w:t>
            </w:r>
          </w:p>
        </w:tc>
        <w:tc>
          <w:tcPr>
            <w:tcW w:w="100" w:type="dxa"/>
            <w:vAlign w:val="bottom"/>
            <w:shd w:val="clear" w:color="auto" w:fill="CCEEFF"/>
          </w:tcPr>
          <w:p>
            <w:pPr>
              <w:spacing w:after="0"/>
              <w:rPr>
                <w:sz w:val="18"/>
                <w:szCs w:val="18"/>
                <w:color w:val="auto"/>
              </w:rPr>
            </w:pPr>
          </w:p>
        </w:tc>
      </w:tr>
      <w:tr>
        <w:trPr>
          <w:trHeight w:val="216"/>
        </w:trPr>
        <w:tc>
          <w:tcPr>
            <w:tcW w:w="6600" w:type="dxa"/>
            <w:vAlign w:val="bottom"/>
            <w:tcBorders>
              <w:bottom w:val="single" w:sz="8" w:color="CCEEFF"/>
            </w:tcBorders>
          </w:tcPr>
          <w:p>
            <w:pPr>
              <w:spacing w:after="0" w:line="216" w:lineRule="exact"/>
              <w:rPr>
                <w:sz w:val="20"/>
                <w:szCs w:val="20"/>
                <w:color w:val="auto"/>
              </w:rPr>
            </w:pPr>
            <w:r>
              <w:rPr>
                <w:rFonts w:ascii="Arial" w:cs="Arial" w:eastAsia="Arial" w:hAnsi="Arial"/>
                <w:sz w:val="18"/>
                <w:szCs w:val="18"/>
                <w:color w:val="auto"/>
              </w:rPr>
              <w:t xml:space="preserve">Potential Adjustments for Timing / Scope Refinement </w:t>
            </w:r>
            <w:r>
              <w:rPr>
                <w:rFonts w:ascii="Arial" w:cs="Arial" w:eastAsia="Arial" w:hAnsi="Arial"/>
                <w:sz w:val="23"/>
                <w:szCs w:val="23"/>
                <w:color w:val="auto"/>
                <w:vertAlign w:val="superscript"/>
              </w:rPr>
              <w:t>(2)</w:t>
            </w:r>
          </w:p>
        </w:tc>
        <w:tc>
          <w:tcPr>
            <w:tcW w:w="16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 $100 + $100</w:t>
            </w:r>
          </w:p>
        </w:tc>
        <w:tc>
          <w:tcPr>
            <w:tcW w:w="100" w:type="dxa"/>
            <w:vAlign w:val="bottom"/>
            <w:tcBorders>
              <w:bottom w:val="single" w:sz="8" w:color="CCEEFF"/>
            </w:tcBorders>
          </w:tcPr>
          <w:p>
            <w:pPr>
              <w:spacing w:after="0"/>
              <w:rPr>
                <w:sz w:val="18"/>
                <w:szCs w:val="18"/>
                <w:color w:val="auto"/>
              </w:rPr>
            </w:pPr>
          </w:p>
        </w:tc>
      </w:tr>
      <w:tr>
        <w:trPr>
          <w:trHeight w:val="210"/>
        </w:trPr>
        <w:tc>
          <w:tcPr>
            <w:tcW w:w="6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Projected Expansion Capital Expenditures</w:t>
            </w:r>
          </w:p>
        </w:tc>
        <w:tc>
          <w:tcPr>
            <w:tcW w:w="166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$1,850 - $2,050</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
        </w:trPr>
        <w:tc>
          <w:tcPr>
            <w:tcW w:w="6600" w:type="dxa"/>
            <w:vAlign w:val="bottom"/>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660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6600" w:type="dxa"/>
            <w:vAlign w:val="bottom"/>
            <w:shd w:val="clear" w:color="auto" w:fill="CCEEFF"/>
          </w:tcPr>
          <w:p>
            <w:pPr>
              <w:spacing w:after="0"/>
              <w:rPr>
                <w:sz w:val="20"/>
                <w:szCs w:val="20"/>
                <w:color w:val="auto"/>
              </w:rPr>
            </w:pPr>
            <w:r>
              <w:rPr>
                <w:rFonts w:ascii="Arial" w:cs="Arial" w:eastAsia="Arial" w:hAnsi="Arial"/>
                <w:sz w:val="18"/>
                <w:szCs w:val="18"/>
                <w:color w:val="auto"/>
              </w:rPr>
              <w:t>Maintenance Capital Expenditures</w:t>
            </w:r>
          </w:p>
        </w:tc>
        <w:tc>
          <w:tcPr>
            <w:tcW w:w="16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$185 - $205</w:t>
            </w:r>
          </w:p>
        </w:tc>
        <w:tc>
          <w:tcPr>
            <w:tcW w:w="100" w:type="dxa"/>
            <w:vAlign w:val="bottom"/>
            <w:shd w:val="clear" w:color="auto" w:fill="CCEEFF"/>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77" w:lineRule="exact"/>
        <w:rPr>
          <w:sz w:val="20"/>
          <w:szCs w:val="20"/>
          <w:color w:val="auto"/>
        </w:rPr>
      </w:pPr>
    </w:p>
    <w:p>
      <w:pPr>
        <w:ind w:left="1300" w:hanging="320"/>
        <w:spacing w:after="0"/>
        <w:tabs>
          <w:tab w:leader="none" w:pos="1300" w:val="left"/>
        </w:tabs>
        <w:numPr>
          <w:ilvl w:val="0"/>
          <w:numId w:val="10"/>
        </w:numPr>
        <w:rPr>
          <w:rFonts w:ascii="Arial" w:cs="Arial" w:eastAsia="Arial" w:hAnsi="Arial"/>
          <w:sz w:val="23"/>
          <w:szCs w:val="23"/>
          <w:color w:val="auto"/>
          <w:vertAlign w:val="superscript"/>
        </w:rPr>
      </w:pPr>
      <w:r>
        <w:rPr>
          <w:rFonts w:ascii="Arial" w:cs="Arial" w:eastAsia="Arial" w:hAnsi="Arial"/>
          <w:sz w:val="18"/>
          <w:szCs w:val="18"/>
          <w:color w:val="auto"/>
        </w:rPr>
        <w:t>Includes projects located in or near Bakersfield, CA, Carr, CO, Van Hook, ND and Kerrobert, Canada.</w:t>
      </w:r>
    </w:p>
    <w:p>
      <w:pPr>
        <w:spacing w:after="0" w:line="1" w:lineRule="exact"/>
        <w:rPr>
          <w:rFonts w:ascii="Arial" w:cs="Arial" w:eastAsia="Arial" w:hAnsi="Arial"/>
          <w:sz w:val="23"/>
          <w:szCs w:val="23"/>
          <w:color w:val="auto"/>
          <w:vertAlign w:val="superscript"/>
        </w:rPr>
      </w:pPr>
    </w:p>
    <w:p>
      <w:pPr>
        <w:ind w:left="1300" w:right="160" w:hanging="320"/>
        <w:spacing w:after="0" w:line="219" w:lineRule="auto"/>
        <w:tabs>
          <w:tab w:leader="none" w:pos="1287" w:val="left"/>
        </w:tabs>
        <w:numPr>
          <w:ilvl w:val="0"/>
          <w:numId w:val="10"/>
        </w:numPr>
        <w:rPr>
          <w:rFonts w:ascii="Arial" w:cs="Arial" w:eastAsia="Arial" w:hAnsi="Arial"/>
          <w:sz w:val="23"/>
          <w:szCs w:val="23"/>
          <w:color w:val="auto"/>
          <w:vertAlign w:val="superscript"/>
        </w:rPr>
      </w:pPr>
      <w:r>
        <w:rPr>
          <w:rFonts w:ascii="Arial" w:cs="Arial" w:eastAsia="Arial" w:hAnsi="Arial"/>
          <w:sz w:val="18"/>
          <w:szCs w:val="18"/>
          <w:color w:val="auto"/>
        </w:rPr>
        <w:t>Potential variation to current capital costs estimates may result from changes to project design, final cost of materials and labor and timing of incurrence of costs due to uncontrollable factors such as permits, regulatory approvals and weather.</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left="340" w:right="240" w:hanging="332"/>
        <w:spacing w:after="0" w:line="277" w:lineRule="auto"/>
        <w:tabs>
          <w:tab w:leader="none" w:pos="340" w:val="left"/>
        </w:tabs>
        <w:numPr>
          <w:ilvl w:val="0"/>
          <w:numId w:val="11"/>
        </w:numPr>
        <w:rPr>
          <w:rFonts w:ascii="Arial" w:cs="Arial" w:eastAsia="Arial" w:hAnsi="Arial"/>
          <w:sz w:val="18"/>
          <w:szCs w:val="18"/>
          <w:color w:val="auto"/>
        </w:rPr>
      </w:pPr>
      <w:r>
        <w:rPr>
          <w:rFonts w:ascii="Arial" w:cs="Arial" w:eastAsia="Arial" w:hAnsi="Arial"/>
          <w:sz w:val="18"/>
          <w:szCs w:val="18"/>
          <w:i w:val="1"/>
          <w:iCs w:val="1"/>
          <w:color w:val="auto"/>
        </w:rPr>
        <w:t xml:space="preserve">Capital Structure. </w:t>
      </w:r>
      <w:r>
        <w:rPr>
          <w:rFonts w:ascii="Arial" w:cs="Arial" w:eastAsia="Arial" w:hAnsi="Arial"/>
          <w:sz w:val="18"/>
          <w:szCs w:val="18"/>
          <w:color w:val="auto"/>
        </w:rPr>
        <w:t>This guidance is based on our capital structure as of June 30, 2014 and adjusted for estimated equity issuances under our continuous</w:t>
      </w:r>
      <w:r>
        <w:rPr>
          <w:rFonts w:ascii="Arial" w:cs="Arial" w:eastAsia="Arial" w:hAnsi="Arial"/>
          <w:sz w:val="18"/>
          <w:szCs w:val="18"/>
          <w:i w:val="1"/>
          <w:iCs w:val="1"/>
          <w:color w:val="auto"/>
        </w:rPr>
        <w:t xml:space="preserve"> </w:t>
      </w:r>
      <w:r>
        <w:rPr>
          <w:rFonts w:ascii="Arial" w:cs="Arial" w:eastAsia="Arial" w:hAnsi="Arial"/>
          <w:sz w:val="18"/>
          <w:szCs w:val="18"/>
          <w:color w:val="auto"/>
        </w:rPr>
        <w:t>offering program.</w:t>
      </w:r>
    </w:p>
    <w:p>
      <w:pPr>
        <w:spacing w:after="0" w:line="170" w:lineRule="exact"/>
        <w:rPr>
          <w:rFonts w:ascii="Arial" w:cs="Arial" w:eastAsia="Arial" w:hAnsi="Arial"/>
          <w:sz w:val="18"/>
          <w:szCs w:val="18"/>
          <w:color w:val="auto"/>
        </w:rPr>
      </w:pPr>
    </w:p>
    <w:p>
      <w:pPr>
        <w:ind w:left="340" w:right="80" w:hanging="332"/>
        <w:spacing w:after="0" w:line="259" w:lineRule="auto"/>
        <w:tabs>
          <w:tab w:leader="none" w:pos="340" w:val="left"/>
        </w:tabs>
        <w:numPr>
          <w:ilvl w:val="0"/>
          <w:numId w:val="11"/>
        </w:numPr>
        <w:rPr>
          <w:rFonts w:ascii="Arial" w:cs="Arial" w:eastAsia="Arial" w:hAnsi="Arial"/>
          <w:sz w:val="18"/>
          <w:szCs w:val="18"/>
          <w:color w:val="auto"/>
        </w:rPr>
      </w:pPr>
      <w:r>
        <w:rPr>
          <w:rFonts w:ascii="Arial" w:cs="Arial" w:eastAsia="Arial" w:hAnsi="Arial"/>
          <w:sz w:val="18"/>
          <w:szCs w:val="18"/>
          <w:i w:val="1"/>
          <w:iCs w:val="1"/>
          <w:color w:val="auto"/>
        </w:rPr>
        <w:t xml:space="preserve">Interest Expense. </w:t>
      </w:r>
      <w:r>
        <w:rPr>
          <w:rFonts w:ascii="Arial" w:cs="Arial" w:eastAsia="Arial" w:hAnsi="Arial"/>
          <w:sz w:val="18"/>
          <w:szCs w:val="18"/>
          <w:color w:val="auto"/>
        </w:rPr>
        <w:t>Debt balances are projected based on estimated cash flows, estimated distribution rates, estimated capital expenditures for maintenance</w:t>
      </w:r>
      <w:r>
        <w:rPr>
          <w:rFonts w:ascii="Arial" w:cs="Arial" w:eastAsia="Arial" w:hAnsi="Arial"/>
          <w:sz w:val="18"/>
          <w:szCs w:val="18"/>
          <w:i w:val="1"/>
          <w:iCs w:val="1"/>
          <w:color w:val="auto"/>
        </w:rPr>
        <w:t xml:space="preserve"> </w:t>
      </w:r>
      <w:r>
        <w:rPr>
          <w:rFonts w:ascii="Arial" w:cs="Arial" w:eastAsia="Arial" w:hAnsi="Arial"/>
          <w:sz w:val="18"/>
          <w:szCs w:val="18"/>
          <w:color w:val="auto"/>
        </w:rPr>
        <w:t>and expansion projects, anticipated equity proceeds from the continuous offering program, expected timing of collections and payments and forecasted levels of inventory and other working capital sources and uses. Interest rate assumptions for variable-rate debt are based on the LIBOR curve as of late July 2014.</w:t>
      </w:r>
    </w:p>
    <w:p>
      <w:pPr>
        <w:spacing w:after="0" w:line="186" w:lineRule="exact"/>
        <w:rPr>
          <w:rFonts w:ascii="Arial" w:cs="Arial" w:eastAsia="Arial" w:hAnsi="Arial"/>
          <w:sz w:val="18"/>
          <w:szCs w:val="18"/>
          <w:color w:val="auto"/>
        </w:rPr>
      </w:pPr>
    </w:p>
    <w:p>
      <w:pPr>
        <w:ind w:left="340" w:right="120"/>
        <w:spacing w:after="0" w:line="342" w:lineRule="auto"/>
        <w:rPr>
          <w:rFonts w:ascii="Arial" w:cs="Arial" w:eastAsia="Arial" w:hAnsi="Arial"/>
          <w:sz w:val="18"/>
          <w:szCs w:val="18"/>
          <w:color w:val="auto"/>
        </w:rPr>
      </w:pPr>
      <w:r>
        <w:rPr>
          <w:rFonts w:ascii="Arial" w:cs="Arial" w:eastAsia="Arial" w:hAnsi="Arial"/>
          <w:sz w:val="16"/>
          <w:szCs w:val="16"/>
          <w:color w:val="auto"/>
        </w:rPr>
        <w:t>Interest expense is net of amounts capitalized for major expansion capital projects and does not include interest on borrowings for hedged inventory. We treat interest on hedged inventory borrowings as carrying costs of crude oil, NGL, and natural gas and include it in purchases and related costs.</w:t>
      </w:r>
    </w:p>
    <w:p>
      <w:pPr>
        <w:spacing w:after="0" w:line="123" w:lineRule="exact"/>
        <w:rPr>
          <w:rFonts w:ascii="Arial" w:cs="Arial" w:eastAsia="Arial" w:hAnsi="Arial"/>
          <w:sz w:val="18"/>
          <w:szCs w:val="18"/>
          <w:color w:val="auto"/>
        </w:rPr>
      </w:pPr>
    </w:p>
    <w:p>
      <w:pPr>
        <w:ind w:left="340" w:right="120" w:hanging="314"/>
        <w:spacing w:after="0" w:line="279" w:lineRule="auto"/>
        <w:tabs>
          <w:tab w:leader="none" w:pos="344" w:val="left"/>
        </w:tabs>
        <w:numPr>
          <w:ilvl w:val="1"/>
          <w:numId w:val="11"/>
        </w:numPr>
        <w:rPr>
          <w:rFonts w:ascii="Arial" w:cs="Arial" w:eastAsia="Arial" w:hAnsi="Arial"/>
          <w:sz w:val="17"/>
          <w:szCs w:val="17"/>
          <w:color w:val="auto"/>
        </w:rPr>
      </w:pPr>
      <w:r>
        <w:rPr>
          <w:rFonts w:ascii="Arial" w:cs="Arial" w:eastAsia="Arial" w:hAnsi="Arial"/>
          <w:sz w:val="17"/>
          <w:szCs w:val="17"/>
          <w:i w:val="1"/>
          <w:iCs w:val="1"/>
          <w:color w:val="auto"/>
        </w:rPr>
        <w:t>Income Taxes</w:t>
      </w:r>
      <w:r>
        <w:rPr>
          <w:rFonts w:ascii="Arial" w:cs="Arial" w:eastAsia="Arial" w:hAnsi="Arial"/>
          <w:sz w:val="17"/>
          <w:szCs w:val="17"/>
          <w:color w:val="auto"/>
        </w:rPr>
        <w:t>. We expect our Canadian income tax expense to be approximately $6 million and $112 million for the three-month period ending</w:t>
      </w:r>
      <w:r>
        <w:rPr>
          <w:rFonts w:ascii="Arial" w:cs="Arial" w:eastAsia="Arial" w:hAnsi="Arial"/>
          <w:sz w:val="17"/>
          <w:szCs w:val="17"/>
          <w:i w:val="1"/>
          <w:iCs w:val="1"/>
          <w:color w:val="auto"/>
        </w:rPr>
        <w:t xml:space="preserve"> </w:t>
      </w:r>
      <w:r>
        <w:rPr>
          <w:rFonts w:ascii="Arial" w:cs="Arial" w:eastAsia="Arial" w:hAnsi="Arial"/>
          <w:sz w:val="17"/>
          <w:szCs w:val="17"/>
          <w:color w:val="auto"/>
        </w:rPr>
        <w:t>September 30, 2014 and twelve-month period ending December 31,2014, respectively, of which approximately $5 million and $88 million, respectively, is classified as a current income tax expense. For the twelve-month period ending December 31, 2014 we expect to have a deferred tax expense of $24 million. All or part of the annual income tax expense of $112 million may result in a tax credit to our equity holders.</w:t>
      </w:r>
    </w:p>
    <w:p>
      <w:pPr>
        <w:spacing w:after="0" w:line="171" w:lineRule="exact"/>
        <w:rPr>
          <w:sz w:val="20"/>
          <w:szCs w:val="20"/>
          <w:color w:val="auto"/>
        </w:rPr>
      </w:pPr>
    </w:p>
    <w:p>
      <w:pPr>
        <w:ind w:left="340" w:hanging="332"/>
        <w:spacing w:after="0" w:line="297" w:lineRule="auto"/>
        <w:tabs>
          <w:tab w:leader="none" w:pos="340" w:val="left"/>
        </w:tabs>
        <w:numPr>
          <w:ilvl w:val="0"/>
          <w:numId w:val="12"/>
        </w:numPr>
        <w:rPr>
          <w:rFonts w:ascii="Arial" w:cs="Arial" w:eastAsia="Arial" w:hAnsi="Arial"/>
          <w:sz w:val="16"/>
          <w:szCs w:val="16"/>
          <w:color w:val="auto"/>
        </w:rPr>
      </w:pPr>
      <w:r>
        <w:rPr>
          <w:rFonts w:ascii="Arial" w:cs="Arial" w:eastAsia="Arial" w:hAnsi="Arial"/>
          <w:sz w:val="16"/>
          <w:szCs w:val="16"/>
          <w:i w:val="1"/>
          <w:iCs w:val="1"/>
          <w:color w:val="auto"/>
        </w:rPr>
        <w:t xml:space="preserve">Equity-Indexed Compensation Plans. </w:t>
      </w:r>
      <w:r>
        <w:rPr>
          <w:rFonts w:ascii="Arial" w:cs="Arial" w:eastAsia="Arial" w:hAnsi="Arial"/>
          <w:sz w:val="16"/>
          <w:szCs w:val="16"/>
          <w:color w:val="auto"/>
        </w:rPr>
        <w:t>The majority of grants outstanding under our various equity-indexed compensation plans contain vesting criteria</w:t>
      </w:r>
      <w:r>
        <w:rPr>
          <w:rFonts w:ascii="Arial" w:cs="Arial" w:eastAsia="Arial" w:hAnsi="Arial"/>
          <w:sz w:val="16"/>
          <w:szCs w:val="16"/>
          <w:i w:val="1"/>
          <w:iCs w:val="1"/>
          <w:color w:val="auto"/>
        </w:rPr>
        <w:t xml:space="preserve"> </w:t>
      </w:r>
      <w:r>
        <w:rPr>
          <w:rFonts w:ascii="Arial" w:cs="Arial" w:eastAsia="Arial" w:hAnsi="Arial"/>
          <w:sz w:val="16"/>
          <w:szCs w:val="16"/>
          <w:color w:val="auto"/>
        </w:rPr>
        <w:t>that are based on a combination of performance benchmarks and service periods. The grants will vest in various percentages, typically on the later to occur of specified vesting dates and the dates on which minimum distribution levels are reached. Among the various grants outstanding as of August 6, 2014, estimated vesting dates range from August 2014 to August 2019 and annualized benchmark distribution levels range from $2.05 to $3.10. For some awards, a percentage of any units remaining unvested as of a certain date will vest on such date and all others will be forfeited.</w:t>
      </w:r>
    </w:p>
    <w:p>
      <w:pPr>
        <w:spacing w:after="0" w:line="158" w:lineRule="exact"/>
        <w:rPr>
          <w:rFonts w:ascii="Arial" w:cs="Arial" w:eastAsia="Arial" w:hAnsi="Arial"/>
          <w:sz w:val="16"/>
          <w:szCs w:val="16"/>
          <w:color w:val="auto"/>
        </w:rPr>
      </w:pPr>
    </w:p>
    <w:p>
      <w:pPr>
        <w:ind w:left="340" w:right="140"/>
        <w:spacing w:after="0" w:line="254" w:lineRule="auto"/>
        <w:rPr>
          <w:rFonts w:ascii="Arial" w:cs="Arial" w:eastAsia="Arial" w:hAnsi="Arial"/>
          <w:sz w:val="16"/>
          <w:szCs w:val="16"/>
          <w:color w:val="auto"/>
        </w:rPr>
      </w:pPr>
      <w:r>
        <w:rPr>
          <w:rFonts w:ascii="Arial" w:cs="Arial" w:eastAsia="Arial" w:hAnsi="Arial"/>
          <w:sz w:val="18"/>
          <w:szCs w:val="18"/>
          <w:color w:val="auto"/>
        </w:rPr>
        <w:t>On July 8, 2014, we declared an annualized distribution of $2.58 payable on August 14, 2014 to our unitholders of record as of August 1, 2014. For the purposes of guidance, we have made the assessment that an annualized $2.85 distribution level is probable of occurring, and accordingly, guidance includes an accrual over the applicable service period at an assumed market price of $60 per unit as well as an accrual associated with awards that will vest on a certain date. The actual amount of equity-indexed compensation expense in any given period will be directly influenced by (i) our unit price at the end of each reporting period, (ii) our unit price on the vesting date, (iii) our then current probability assessment regarding distributions, and (iv) new equity-indexed compensation award grants, including the timing of such grant issuances. For example, a $2 change in the unit price would change the third-quarter and full year equity-indexed compensation expense by approximately $4 million. Therefore, actual net income could differ from our projections.</w:t>
      </w:r>
    </w:p>
    <w:p>
      <w:pPr>
        <w:spacing w:after="0" w:line="192" w:lineRule="exact"/>
        <w:rPr>
          <w:rFonts w:ascii="Arial" w:cs="Arial" w:eastAsia="Arial" w:hAnsi="Arial"/>
          <w:sz w:val="16"/>
          <w:szCs w:val="16"/>
          <w:color w:val="auto"/>
        </w:rPr>
      </w:pPr>
    </w:p>
    <w:p>
      <w:pPr>
        <w:ind w:left="340" w:right="140" w:hanging="332"/>
        <w:spacing w:after="0" w:line="342" w:lineRule="auto"/>
        <w:tabs>
          <w:tab w:leader="none" w:pos="340" w:val="left"/>
        </w:tabs>
        <w:numPr>
          <w:ilvl w:val="0"/>
          <w:numId w:val="12"/>
        </w:numPr>
        <w:rPr>
          <w:rFonts w:ascii="Arial" w:cs="Arial" w:eastAsia="Arial" w:hAnsi="Arial"/>
          <w:sz w:val="16"/>
          <w:szCs w:val="16"/>
          <w:color w:val="auto"/>
        </w:rPr>
      </w:pPr>
      <w:r>
        <w:rPr>
          <w:rFonts w:ascii="Arial" w:cs="Arial" w:eastAsia="Arial" w:hAnsi="Arial"/>
          <w:sz w:val="16"/>
          <w:szCs w:val="16"/>
          <w:i w:val="1"/>
          <w:iCs w:val="1"/>
          <w:color w:val="auto"/>
        </w:rPr>
        <w:t xml:space="preserve">Reconciliation of Net Income to EBIT, EBITDA and Adjusted EBITDA. </w:t>
      </w:r>
      <w:r>
        <w:rPr>
          <w:rFonts w:ascii="Arial" w:cs="Arial" w:eastAsia="Arial" w:hAnsi="Arial"/>
          <w:sz w:val="16"/>
          <w:szCs w:val="16"/>
          <w:color w:val="auto"/>
        </w:rPr>
        <w:t>The following table reconciles net income to EBIT, EBITDA and Adjusted</w:t>
      </w:r>
      <w:r>
        <w:rPr>
          <w:rFonts w:ascii="Arial" w:cs="Arial" w:eastAsia="Arial" w:hAnsi="Arial"/>
          <w:sz w:val="16"/>
          <w:szCs w:val="16"/>
          <w:i w:val="1"/>
          <w:iCs w:val="1"/>
          <w:color w:val="auto"/>
        </w:rPr>
        <w:t xml:space="preserve"> </w:t>
      </w:r>
      <w:r>
        <w:rPr>
          <w:rFonts w:ascii="Arial" w:cs="Arial" w:eastAsia="Arial" w:hAnsi="Arial"/>
          <w:sz w:val="16"/>
          <w:szCs w:val="16"/>
          <w:color w:val="auto"/>
        </w:rPr>
        <w:t>EBITDA for the six-month period ended June 30, 2014, three-month period ending September 30, 2014, and the three-month and twelve-month periods</w:t>
      </w:r>
    </w:p>
    <w:p>
      <w:pPr>
        <w:sectPr>
          <w:pgSz w:w="11900" w:h="16867" w:orient="portrait"/>
          <w:cols w:equalWidth="0" w:num="1">
            <w:col w:w="11420"/>
          </w:cols>
          <w:pgMar w:left="240" w:top="91" w:right="239" w:bottom="0" w:gutter="0" w:footer="0" w:header="0"/>
        </w:sectPr>
      </w:pPr>
    </w:p>
    <w:bookmarkStart w:id="5" w:name="page6"/>
    <w:bookmarkEnd w:id="5"/>
    <w:p>
      <w:pPr>
        <w:spacing w:after="0" w:line="3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ending December 31, 2014.</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Actual</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160" w:type="dxa"/>
            <w:vAlign w:val="bottom"/>
            <w:gridSpan w:val="4"/>
          </w:tcPr>
          <w:p>
            <w:pPr>
              <w:jc w:val="right"/>
              <w:ind w:right="406"/>
              <w:spacing w:after="0"/>
              <w:rPr>
                <w:sz w:val="20"/>
                <w:szCs w:val="20"/>
                <w:color w:val="auto"/>
              </w:rPr>
            </w:pPr>
            <w:r>
              <w:rPr>
                <w:rFonts w:ascii="Arial" w:cs="Arial" w:eastAsia="Arial" w:hAnsi="Arial"/>
                <w:sz w:val="14"/>
                <w:szCs w:val="14"/>
                <w:b w:val="1"/>
                <w:bCs w:val="1"/>
                <w:color w:val="auto"/>
              </w:rPr>
              <w:t>Guidance</w:t>
            </w: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356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tcPr>
          <w:p>
            <w:pPr>
              <w:jc w:val="center"/>
              <w:ind w:right="55"/>
              <w:spacing w:after="0" w:line="119" w:lineRule="exact"/>
              <w:rPr>
                <w:sz w:val="20"/>
                <w:szCs w:val="20"/>
                <w:color w:val="auto"/>
              </w:rPr>
            </w:pPr>
            <w:r>
              <w:rPr>
                <w:rFonts w:ascii="Arial" w:cs="Arial" w:eastAsia="Arial" w:hAnsi="Arial"/>
                <w:sz w:val="13"/>
                <w:szCs w:val="13"/>
                <w:b w:val="1"/>
                <w:bCs w:val="1"/>
                <w:color w:val="auto"/>
              </w:rPr>
              <w:t>6 Months</w:t>
            </w: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1560" w:type="dxa"/>
            <w:vAlign w:val="bottom"/>
            <w:tcBorders>
              <w:top w:val="single" w:sz="8" w:color="auto"/>
            </w:tcBorders>
            <w:gridSpan w:val="4"/>
          </w:tcPr>
          <w:p>
            <w:pPr>
              <w:jc w:val="right"/>
              <w:ind w:right="126"/>
              <w:spacing w:after="0" w:line="119" w:lineRule="exact"/>
              <w:rPr>
                <w:sz w:val="20"/>
                <w:szCs w:val="20"/>
                <w:color w:val="auto"/>
              </w:rPr>
            </w:pPr>
            <w:r>
              <w:rPr>
                <w:rFonts w:ascii="Arial" w:cs="Arial" w:eastAsia="Arial" w:hAnsi="Arial"/>
                <w:sz w:val="13"/>
                <w:szCs w:val="13"/>
                <w:b w:val="1"/>
                <w:bCs w:val="1"/>
                <w:color w:val="auto"/>
              </w:rPr>
              <w:t>3 Months Ending</w:t>
            </w:r>
          </w:p>
        </w:tc>
        <w:tc>
          <w:tcPr>
            <w:tcW w:w="300" w:type="dxa"/>
            <w:vAlign w:val="bottom"/>
            <w:tcBorders>
              <w:top w:val="single" w:sz="8" w:color="auto"/>
            </w:tcBorders>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1780" w:type="dxa"/>
            <w:vAlign w:val="bottom"/>
            <w:tcBorders>
              <w:top w:val="single" w:sz="8" w:color="auto"/>
            </w:tcBorders>
            <w:gridSpan w:val="5"/>
          </w:tcPr>
          <w:p>
            <w:pPr>
              <w:jc w:val="right"/>
              <w:ind w:right="146"/>
              <w:spacing w:after="0" w:line="119" w:lineRule="exact"/>
              <w:rPr>
                <w:sz w:val="20"/>
                <w:szCs w:val="20"/>
                <w:color w:val="auto"/>
              </w:rPr>
            </w:pPr>
            <w:r>
              <w:rPr>
                <w:rFonts w:ascii="Arial" w:cs="Arial" w:eastAsia="Arial" w:hAnsi="Arial"/>
                <w:sz w:val="13"/>
                <w:szCs w:val="13"/>
                <w:b w:val="1"/>
                <w:bCs w:val="1"/>
                <w:color w:val="auto"/>
              </w:rPr>
              <w:t>3 Months Ending</w:t>
            </w:r>
          </w:p>
        </w:tc>
        <w:tc>
          <w:tcPr>
            <w:tcW w:w="30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1820" w:type="dxa"/>
            <w:vAlign w:val="bottom"/>
            <w:tcBorders>
              <w:top w:val="single" w:sz="8" w:color="auto"/>
            </w:tcBorders>
            <w:gridSpan w:val="4"/>
          </w:tcPr>
          <w:p>
            <w:pPr>
              <w:jc w:val="right"/>
              <w:ind w:right="352"/>
              <w:spacing w:after="0" w:line="119" w:lineRule="exact"/>
              <w:rPr>
                <w:sz w:val="20"/>
                <w:szCs w:val="20"/>
                <w:color w:val="auto"/>
              </w:rPr>
            </w:pPr>
            <w:r>
              <w:rPr>
                <w:rFonts w:ascii="Arial" w:cs="Arial" w:eastAsia="Arial" w:hAnsi="Arial"/>
                <w:sz w:val="13"/>
                <w:szCs w:val="13"/>
                <w:b w:val="1"/>
                <w:bCs w:val="1"/>
                <w:color w:val="auto"/>
              </w:rPr>
              <w:t>12 Months Ending</w:t>
            </w: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3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Ended</w:t>
            </w:r>
          </w:p>
        </w:tc>
        <w:tc>
          <w:tcPr>
            <w:tcW w:w="8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gridSpan w:val="4"/>
          </w:tcPr>
          <w:p>
            <w:pPr>
              <w:jc w:val="right"/>
              <w:ind w:right="286"/>
              <w:spacing w:after="0"/>
              <w:rPr>
                <w:sz w:val="20"/>
                <w:szCs w:val="20"/>
                <w:color w:val="auto"/>
              </w:rPr>
            </w:pPr>
            <w:r>
              <w:rPr>
                <w:rFonts w:ascii="Arial" w:cs="Arial" w:eastAsia="Arial" w:hAnsi="Arial"/>
                <w:sz w:val="14"/>
                <w:szCs w:val="14"/>
                <w:b w:val="1"/>
                <w:bCs w:val="1"/>
                <w:color w:val="auto"/>
              </w:rPr>
              <w:t>Sep 30, 2014</w:t>
            </w:r>
          </w:p>
        </w:tc>
        <w:tc>
          <w:tcPr>
            <w:tcW w:w="30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gridSpan w:val="4"/>
          </w:tcPr>
          <w:p>
            <w:pPr>
              <w:jc w:val="right"/>
              <w:ind w:right="286"/>
              <w:spacing w:after="0"/>
              <w:rPr>
                <w:sz w:val="20"/>
                <w:szCs w:val="20"/>
                <w:color w:val="auto"/>
              </w:rPr>
            </w:pPr>
            <w:r>
              <w:rPr>
                <w:rFonts w:ascii="Arial" w:cs="Arial" w:eastAsia="Arial" w:hAnsi="Arial"/>
                <w:sz w:val="14"/>
                <w:szCs w:val="14"/>
                <w:b w:val="1"/>
                <w:bCs w:val="1"/>
                <w:color w:val="auto"/>
                <w:w w:val="92"/>
              </w:rPr>
              <w:t>Dec 31, 2014</w:t>
            </w:r>
          </w:p>
        </w:tc>
        <w:tc>
          <w:tcPr>
            <w:tcW w:w="3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 31, 2014</w:t>
            </w:r>
          </w:p>
        </w:tc>
        <w:tc>
          <w:tcPr>
            <w:tcW w:w="6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560" w:type="dxa"/>
            <w:vAlign w:val="bottom"/>
          </w:tcPr>
          <w:p>
            <w:pPr>
              <w:spacing w:after="0"/>
              <w:rPr>
                <w:sz w:val="12"/>
                <w:szCs w:val="12"/>
                <w:color w:val="auto"/>
              </w:rPr>
            </w:pPr>
          </w:p>
        </w:tc>
        <w:tc>
          <w:tcPr>
            <w:tcW w:w="1060" w:type="dxa"/>
            <w:vAlign w:val="bottom"/>
            <w:tcBorders>
              <w:bottom w:val="single" w:sz="8" w:color="auto"/>
            </w:tcBorders>
            <w:gridSpan w:val="3"/>
          </w:tcPr>
          <w:p>
            <w:pPr>
              <w:jc w:val="center"/>
              <w:ind w:right="140"/>
              <w:spacing w:after="0" w:line="142" w:lineRule="exact"/>
              <w:rPr>
                <w:sz w:val="20"/>
                <w:szCs w:val="20"/>
                <w:color w:val="auto"/>
              </w:rPr>
            </w:pPr>
            <w:r>
              <w:rPr>
                <w:rFonts w:ascii="Arial" w:cs="Arial" w:eastAsia="Arial" w:hAnsi="Arial"/>
                <w:sz w:val="14"/>
                <w:szCs w:val="14"/>
                <w:b w:val="1"/>
                <w:bCs w:val="1"/>
                <w:color w:val="auto"/>
                <w:w w:val="91"/>
              </w:rPr>
              <w:t>Jun 30, 2014</w:t>
            </w:r>
          </w:p>
        </w:tc>
        <w:tc>
          <w:tcPr>
            <w:tcW w:w="8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gridSpan w:val="2"/>
          </w:tcPr>
          <w:p>
            <w:pPr>
              <w:jc w:val="right"/>
              <w:ind w:right="340"/>
              <w:spacing w:after="0" w:line="142" w:lineRule="exact"/>
              <w:rPr>
                <w:sz w:val="20"/>
                <w:szCs w:val="20"/>
                <w:color w:val="auto"/>
              </w:rPr>
            </w:pPr>
            <w:r>
              <w:rPr>
                <w:rFonts w:ascii="Arial" w:cs="Arial" w:eastAsia="Arial" w:hAnsi="Arial"/>
                <w:sz w:val="14"/>
                <w:szCs w:val="14"/>
                <w:b w:val="1"/>
                <w:bCs w:val="1"/>
                <w:color w:val="auto"/>
              </w:rPr>
              <w:t>Low</w:t>
            </w:r>
          </w:p>
        </w:tc>
        <w:tc>
          <w:tcPr>
            <w:tcW w:w="22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High</w:t>
            </w:r>
          </w:p>
        </w:tc>
        <w:tc>
          <w:tcPr>
            <w:tcW w:w="30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Low</w:t>
            </w:r>
          </w:p>
        </w:tc>
        <w:tc>
          <w:tcPr>
            <w:tcW w:w="30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High</w:t>
            </w:r>
          </w:p>
        </w:tc>
        <w:tc>
          <w:tcPr>
            <w:tcW w:w="30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gridSpan w:val="2"/>
          </w:tcPr>
          <w:p>
            <w:pPr>
              <w:jc w:val="right"/>
              <w:ind w:right="540"/>
              <w:spacing w:after="0" w:line="142" w:lineRule="exact"/>
              <w:rPr>
                <w:sz w:val="20"/>
                <w:szCs w:val="20"/>
                <w:color w:val="auto"/>
              </w:rPr>
            </w:pPr>
            <w:r>
              <w:rPr>
                <w:rFonts w:ascii="Arial" w:cs="Arial" w:eastAsia="Arial" w:hAnsi="Arial"/>
                <w:sz w:val="14"/>
                <w:szCs w:val="14"/>
                <w:b w:val="1"/>
                <w:bCs w:val="1"/>
                <w:color w:val="auto"/>
              </w:rPr>
              <w:t>Low</w:t>
            </w:r>
          </w:p>
        </w:tc>
        <w:tc>
          <w:tcPr>
            <w:tcW w:w="28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212"/>
              <w:spacing w:after="0" w:line="142" w:lineRule="exact"/>
              <w:rPr>
                <w:sz w:val="20"/>
                <w:szCs w:val="20"/>
                <w:color w:val="auto"/>
              </w:rPr>
            </w:pPr>
            <w:r>
              <w:rPr>
                <w:rFonts w:ascii="Arial" w:cs="Arial" w:eastAsia="Arial" w:hAnsi="Arial"/>
                <w:sz w:val="14"/>
                <w:szCs w:val="14"/>
                <w:b w:val="1"/>
                <w:bCs w:val="1"/>
                <w:color w:val="auto"/>
                <w:w w:val="96"/>
              </w:rPr>
              <w:t>High</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40" w:type="dxa"/>
            <w:vAlign w:val="bottom"/>
            <w:gridSpan w:val="3"/>
          </w:tcPr>
          <w:p>
            <w:pPr>
              <w:jc w:val="right"/>
              <w:ind w:right="240"/>
              <w:spacing w:after="0" w:line="142" w:lineRule="exact"/>
              <w:rPr>
                <w:sz w:val="20"/>
                <w:szCs w:val="20"/>
                <w:color w:val="auto"/>
              </w:rPr>
            </w:pPr>
            <w:r>
              <w:rPr>
                <w:rFonts w:ascii="Arial" w:cs="Arial" w:eastAsia="Arial" w:hAnsi="Arial"/>
                <w:sz w:val="14"/>
                <w:szCs w:val="14"/>
                <w:b w:val="1"/>
                <w:bCs w:val="1"/>
                <w:color w:val="auto"/>
                <w:w w:val="99"/>
              </w:rPr>
              <w:t>(in millions)</w:t>
            </w: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3560" w:type="dxa"/>
            <w:vAlign w:val="bottom"/>
            <w:shd w:val="clear" w:color="auto" w:fill="CCEEFF"/>
          </w:tcPr>
          <w:p>
            <w:pPr>
              <w:spacing w:after="0" w:line="198" w:lineRule="exact"/>
              <w:rPr>
                <w:sz w:val="20"/>
                <w:szCs w:val="20"/>
                <w:color w:val="auto"/>
              </w:rPr>
            </w:pPr>
            <w:r>
              <w:rPr>
                <w:rFonts w:ascii="Arial" w:cs="Arial" w:eastAsia="Arial" w:hAnsi="Arial"/>
                <w:sz w:val="18"/>
                <w:szCs w:val="18"/>
                <w:b w:val="1"/>
                <w:bCs w:val="1"/>
                <w:color w:val="auto"/>
              </w:rPr>
              <w:t>Reconciliation to EBITDA and Adjusted</w:t>
            </w: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56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EBITDA</w:t>
            </w:r>
          </w:p>
        </w:tc>
        <w:tc>
          <w:tcPr>
            <w:tcW w:w="12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560" w:type="dxa"/>
            <w:vAlign w:val="bottom"/>
          </w:tcPr>
          <w:p>
            <w:pPr>
              <w:ind w:left="180"/>
              <w:spacing w:after="0"/>
              <w:rPr>
                <w:sz w:val="20"/>
                <w:szCs w:val="20"/>
                <w:color w:val="auto"/>
              </w:rPr>
            </w:pPr>
            <w:r>
              <w:rPr>
                <w:rFonts w:ascii="Arial" w:cs="Arial" w:eastAsia="Arial" w:hAnsi="Arial"/>
                <w:sz w:val="18"/>
                <w:szCs w:val="18"/>
                <w:color w:val="auto"/>
              </w:rPr>
              <w:t>Net Income</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672</w:t>
            </w:r>
          </w:p>
        </w:tc>
        <w:tc>
          <w:tcPr>
            <w:tcW w:w="30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251</w:t>
            </w:r>
          </w:p>
        </w:tc>
        <w:tc>
          <w:tcPr>
            <w:tcW w:w="840" w:type="dxa"/>
            <w:vAlign w:val="bottom"/>
            <w:gridSpan w:val="2"/>
          </w:tcPr>
          <w:p>
            <w:pPr>
              <w:jc w:val="right"/>
              <w:ind w:right="466"/>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ind w:right="220"/>
              <w:spacing w:after="0"/>
              <w:rPr>
                <w:sz w:val="20"/>
                <w:szCs w:val="20"/>
                <w:color w:val="auto"/>
              </w:rPr>
            </w:pPr>
            <w:r>
              <w:rPr>
                <w:rFonts w:ascii="Arial" w:cs="Arial" w:eastAsia="Arial" w:hAnsi="Arial"/>
                <w:sz w:val="18"/>
                <w:szCs w:val="18"/>
                <w:color w:val="auto"/>
                <w:w w:val="93"/>
              </w:rPr>
              <w:t>313</w:t>
            </w:r>
          </w:p>
        </w:tc>
        <w:tc>
          <w:tcPr>
            <w:tcW w:w="620" w:type="dxa"/>
            <w:vAlign w:val="bottom"/>
          </w:tcPr>
          <w:p>
            <w:pPr>
              <w:jc w:val="right"/>
              <w:ind w:right="440"/>
              <w:spacing w:after="0"/>
              <w:rPr>
                <w:sz w:val="20"/>
                <w:szCs w:val="20"/>
                <w:color w:val="auto"/>
              </w:rPr>
            </w:pPr>
            <w:r>
              <w:rPr>
                <w:rFonts w:ascii="Arial" w:cs="Arial" w:eastAsia="Arial" w:hAnsi="Arial"/>
                <w:sz w:val="18"/>
                <w:szCs w:val="18"/>
                <w:color w:val="auto"/>
                <w:w w:val="79"/>
              </w:rPr>
              <w:t>$</w:t>
            </w:r>
          </w:p>
        </w:tc>
        <w:tc>
          <w:tcPr>
            <w:tcW w:w="420" w:type="dxa"/>
            <w:vAlign w:val="bottom"/>
            <w:gridSpan w:val="2"/>
          </w:tcPr>
          <w:p>
            <w:pPr>
              <w:jc w:val="right"/>
              <w:ind w:right="120"/>
              <w:spacing w:after="0"/>
              <w:rPr>
                <w:sz w:val="20"/>
                <w:szCs w:val="20"/>
                <w:color w:val="auto"/>
              </w:rPr>
            </w:pPr>
            <w:r>
              <w:rPr>
                <w:rFonts w:ascii="Arial" w:cs="Arial" w:eastAsia="Arial" w:hAnsi="Arial"/>
                <w:sz w:val="18"/>
                <w:szCs w:val="18"/>
                <w:color w:val="auto"/>
                <w:w w:val="93"/>
              </w:rPr>
              <w:t>355</w:t>
            </w:r>
          </w:p>
        </w:tc>
        <w:tc>
          <w:tcPr>
            <w:tcW w:w="740" w:type="dxa"/>
            <w:vAlign w:val="bottom"/>
            <w:gridSpan w:val="2"/>
          </w:tcPr>
          <w:p>
            <w:pPr>
              <w:jc w:val="right"/>
              <w:ind w:right="466"/>
              <w:spacing w:after="0"/>
              <w:rPr>
                <w:sz w:val="20"/>
                <w:szCs w:val="20"/>
                <w:color w:val="auto"/>
              </w:rPr>
            </w:pPr>
            <w:r>
              <w:rPr>
                <w:rFonts w:ascii="Arial" w:cs="Arial" w:eastAsia="Arial" w:hAnsi="Arial"/>
                <w:sz w:val="18"/>
                <w:szCs w:val="18"/>
                <w:color w:val="auto"/>
              </w:rPr>
              <w:t>$</w:t>
            </w:r>
          </w:p>
        </w:tc>
        <w:tc>
          <w:tcPr>
            <w:tcW w:w="400" w:type="dxa"/>
            <w:vAlign w:val="bottom"/>
            <w:gridSpan w:val="2"/>
          </w:tcPr>
          <w:p>
            <w:pPr>
              <w:jc w:val="right"/>
              <w:ind w:right="100"/>
              <w:spacing w:after="0"/>
              <w:rPr>
                <w:sz w:val="20"/>
                <w:szCs w:val="20"/>
                <w:color w:val="auto"/>
              </w:rPr>
            </w:pPr>
            <w:r>
              <w:rPr>
                <w:rFonts w:ascii="Arial" w:cs="Arial" w:eastAsia="Arial" w:hAnsi="Arial"/>
                <w:sz w:val="18"/>
                <w:szCs w:val="18"/>
                <w:color w:val="auto"/>
                <w:w w:val="93"/>
              </w:rPr>
              <w:t>417</w:t>
            </w:r>
          </w:p>
        </w:tc>
        <w:tc>
          <w:tcPr>
            <w:tcW w:w="32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1,278</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1,402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Interest expense, net</w:t>
            </w: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161</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84</w:t>
            </w:r>
          </w:p>
        </w:tc>
        <w:tc>
          <w:tcPr>
            <w:tcW w:w="62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90</w:t>
            </w: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339</w:t>
            </w:r>
          </w:p>
        </w:tc>
        <w:tc>
          <w:tcPr>
            <w:tcW w:w="2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60" w:type="dxa"/>
            <w:vAlign w:val="bottom"/>
          </w:tcPr>
          <w:p>
            <w:pPr>
              <w:ind w:left="180"/>
              <w:spacing w:after="0"/>
              <w:rPr>
                <w:sz w:val="20"/>
                <w:szCs w:val="20"/>
                <w:color w:val="auto"/>
              </w:rPr>
            </w:pPr>
            <w:r>
              <w:rPr>
                <w:rFonts w:ascii="Arial" w:cs="Arial" w:eastAsia="Arial" w:hAnsi="Arial"/>
                <w:sz w:val="18"/>
                <w:szCs w:val="18"/>
                <w:color w:val="auto"/>
              </w:rPr>
              <w:t>Income tax expense</w:t>
            </w: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8</w:t>
            </w: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20" w:type="dxa"/>
            <w:vAlign w:val="bottom"/>
            <w:gridSpan w:val="2"/>
          </w:tcPr>
          <w:p>
            <w:pPr>
              <w:jc w:val="right"/>
              <w:ind w:right="220"/>
              <w:spacing w:after="0"/>
              <w:rPr>
                <w:sz w:val="20"/>
                <w:szCs w:val="20"/>
                <w:color w:val="auto"/>
              </w:rPr>
            </w:pPr>
            <w:r>
              <w:rPr>
                <w:rFonts w:ascii="Arial" w:cs="Arial" w:eastAsia="Arial" w:hAnsi="Arial"/>
                <w:sz w:val="18"/>
                <w:szCs w:val="18"/>
                <w:color w:val="auto"/>
              </w:rPr>
              <w:t>4</w:t>
            </w:r>
          </w:p>
        </w:tc>
        <w:tc>
          <w:tcPr>
            <w:tcW w:w="620" w:type="dxa"/>
            <w:vAlign w:val="bottom"/>
          </w:tcPr>
          <w:p>
            <w:pPr>
              <w:spacing w:after="0"/>
              <w:rPr>
                <w:sz w:val="18"/>
                <w:szCs w:val="18"/>
                <w:color w:val="auto"/>
              </w:rPr>
            </w:pPr>
          </w:p>
        </w:tc>
        <w:tc>
          <w:tcPr>
            <w:tcW w:w="420" w:type="dxa"/>
            <w:vAlign w:val="bottom"/>
            <w:gridSpan w:val="2"/>
          </w:tcPr>
          <w:p>
            <w:pPr>
              <w:jc w:val="right"/>
              <w:ind w:right="120"/>
              <w:spacing w:after="0"/>
              <w:rPr>
                <w:sz w:val="20"/>
                <w:szCs w:val="20"/>
                <w:color w:val="auto"/>
              </w:rPr>
            </w:pPr>
            <w:r>
              <w:rPr>
                <w:rFonts w:ascii="Arial" w:cs="Arial" w:eastAsia="Arial" w:hAnsi="Arial"/>
                <w:sz w:val="18"/>
                <w:szCs w:val="18"/>
                <w:color w:val="auto"/>
              </w:rPr>
              <w:t>38</w:t>
            </w: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116</w:t>
            </w:r>
          </w:p>
        </w:tc>
        <w:tc>
          <w:tcPr>
            <w:tcW w:w="28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108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560" w:type="dxa"/>
            <w:vAlign w:val="bottom"/>
            <w:tcBorders>
              <w:top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EBIT</w:t>
            </w:r>
          </w:p>
        </w:tc>
        <w:tc>
          <w:tcPr>
            <w:tcW w:w="1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903</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347</w:t>
            </w:r>
          </w:p>
        </w:tc>
        <w:tc>
          <w:tcPr>
            <w:tcW w:w="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401</w:t>
            </w:r>
          </w:p>
        </w:tc>
        <w:tc>
          <w:tcPr>
            <w:tcW w:w="22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483</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537</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1,733</w:t>
            </w:r>
          </w:p>
        </w:tc>
        <w:tc>
          <w:tcPr>
            <w:tcW w:w="2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1,841</w:t>
            </w: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60" w:type="dxa"/>
            <w:vAlign w:val="bottom"/>
          </w:tcPr>
          <w:p>
            <w:pPr>
              <w:ind w:left="180"/>
              <w:spacing w:after="0"/>
              <w:rPr>
                <w:sz w:val="20"/>
                <w:szCs w:val="20"/>
                <w:color w:val="auto"/>
              </w:rPr>
            </w:pPr>
            <w:r>
              <w:rPr>
                <w:rFonts w:ascii="Arial" w:cs="Arial" w:eastAsia="Arial" w:hAnsi="Arial"/>
                <w:sz w:val="18"/>
                <w:szCs w:val="18"/>
                <w:color w:val="auto"/>
              </w:rPr>
              <w:t>Depreciation and amortization</w:t>
            </w:r>
          </w:p>
        </w:tc>
        <w:tc>
          <w:tcPr>
            <w:tcW w:w="12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196</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94</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20" w:type="dxa"/>
            <w:vAlign w:val="bottom"/>
            <w:gridSpan w:val="2"/>
          </w:tcPr>
          <w:p>
            <w:pPr>
              <w:jc w:val="right"/>
              <w:ind w:right="220"/>
              <w:spacing w:after="0"/>
              <w:rPr>
                <w:sz w:val="20"/>
                <w:szCs w:val="20"/>
                <w:color w:val="auto"/>
              </w:rPr>
            </w:pPr>
            <w:r>
              <w:rPr>
                <w:rFonts w:ascii="Arial" w:cs="Arial" w:eastAsia="Arial" w:hAnsi="Arial"/>
                <w:sz w:val="18"/>
                <w:szCs w:val="18"/>
                <w:color w:val="auto"/>
              </w:rPr>
              <w:t>90</w:t>
            </w:r>
          </w:p>
        </w:tc>
        <w:tc>
          <w:tcPr>
            <w:tcW w:w="620" w:type="dxa"/>
            <w:vAlign w:val="bottom"/>
          </w:tcPr>
          <w:p>
            <w:pPr>
              <w:spacing w:after="0"/>
              <w:rPr>
                <w:sz w:val="18"/>
                <w:szCs w:val="18"/>
                <w:color w:val="auto"/>
              </w:rPr>
            </w:pPr>
          </w:p>
        </w:tc>
        <w:tc>
          <w:tcPr>
            <w:tcW w:w="420" w:type="dxa"/>
            <w:vAlign w:val="bottom"/>
            <w:gridSpan w:val="2"/>
          </w:tcPr>
          <w:p>
            <w:pPr>
              <w:jc w:val="right"/>
              <w:ind w:right="120"/>
              <w:spacing w:after="0"/>
              <w:rPr>
                <w:sz w:val="20"/>
                <w:szCs w:val="20"/>
                <w:color w:val="auto"/>
              </w:rPr>
            </w:pPr>
            <w:r>
              <w:rPr>
                <w:rFonts w:ascii="Arial" w:cs="Arial" w:eastAsia="Arial" w:hAnsi="Arial"/>
                <w:sz w:val="18"/>
                <w:szCs w:val="18"/>
                <w:color w:val="auto"/>
              </w:rPr>
              <w:t>95</w:t>
            </w: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91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385</w:t>
            </w:r>
          </w:p>
        </w:tc>
        <w:tc>
          <w:tcPr>
            <w:tcW w:w="28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377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56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EBITDA</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1,099</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441</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620" w:type="dxa"/>
            <w:vAlign w:val="bottom"/>
            <w:tcBorders>
              <w:top w:val="single" w:sz="8" w:color="auto"/>
              <w:bottom w:val="single" w:sz="8" w:color="auto"/>
            </w:tcBorders>
            <w:shd w:val="clear" w:color="auto" w:fill="CCEEFF"/>
          </w:tcPr>
          <w:p>
            <w:pPr>
              <w:jc w:val="right"/>
              <w:ind w:right="466"/>
              <w:spacing w:after="0"/>
              <w:rPr>
                <w:sz w:val="20"/>
                <w:szCs w:val="20"/>
                <w:color w:val="auto"/>
              </w:rPr>
            </w:pPr>
            <w:r>
              <w:rPr>
                <w:rFonts w:ascii="Arial" w:cs="Arial" w:eastAsia="Arial" w:hAnsi="Arial"/>
                <w:sz w:val="15"/>
                <w:szCs w:val="15"/>
                <w:color w:val="auto"/>
                <w:w w:val="71"/>
              </w:rPr>
              <w:t>$</w:t>
            </w:r>
          </w:p>
        </w:tc>
        <w:tc>
          <w:tcPr>
            <w:tcW w:w="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491</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620" w:type="dxa"/>
            <w:vAlign w:val="bottom"/>
            <w:tcBorders>
              <w:top w:val="single" w:sz="8" w:color="auto"/>
              <w:bottom w:val="single" w:sz="8" w:color="auto"/>
            </w:tcBorders>
            <w:shd w:val="clear" w:color="auto" w:fill="CCEEFF"/>
          </w:tcPr>
          <w:p>
            <w:pPr>
              <w:jc w:val="right"/>
              <w:ind w:right="440"/>
              <w:spacing w:after="0"/>
              <w:rPr>
                <w:sz w:val="20"/>
                <w:szCs w:val="20"/>
                <w:color w:val="auto"/>
              </w:rPr>
            </w:pPr>
            <w:r>
              <w:rPr>
                <w:rFonts w:ascii="Arial" w:cs="Arial" w:eastAsia="Arial" w:hAnsi="Arial"/>
                <w:sz w:val="18"/>
                <w:szCs w:val="18"/>
                <w:color w:val="auto"/>
                <w:w w:val="79"/>
              </w:rPr>
              <w:t>$</w:t>
            </w:r>
          </w:p>
        </w:tc>
        <w:tc>
          <w:tcPr>
            <w:tcW w:w="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578</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620" w:type="dxa"/>
            <w:vAlign w:val="bottom"/>
            <w:tcBorders>
              <w:top w:val="single" w:sz="8" w:color="auto"/>
              <w:bottom w:val="single" w:sz="8" w:color="auto"/>
            </w:tcBorders>
            <w:shd w:val="clear" w:color="auto" w:fill="CCEEFF"/>
          </w:tcPr>
          <w:p>
            <w:pPr>
              <w:jc w:val="right"/>
              <w:ind w:right="466"/>
              <w:spacing w:after="0"/>
              <w:rPr>
                <w:sz w:val="20"/>
                <w:szCs w:val="20"/>
                <w:color w:val="auto"/>
              </w:rPr>
            </w:pPr>
            <w:r>
              <w:rPr>
                <w:rFonts w:ascii="Arial" w:cs="Arial" w:eastAsia="Arial" w:hAnsi="Arial"/>
                <w:sz w:val="15"/>
                <w:szCs w:val="15"/>
                <w:color w:val="auto"/>
                <w:w w:val="71"/>
              </w:rPr>
              <w:t>$</w:t>
            </w:r>
          </w:p>
        </w:tc>
        <w:tc>
          <w:tcPr>
            <w:tcW w:w="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628</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2,118</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2,218</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5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356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w w:val="99"/>
              </w:rPr>
              <w:t>Selected Items Impacting Comparability of</w:t>
            </w: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5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EBITDA</w:t>
            </w:r>
          </w:p>
        </w:tc>
        <w:tc>
          <w:tcPr>
            <w:tcW w:w="12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(20)</w:t>
            </w: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5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w:t>
            </w:r>
          </w:p>
        </w:tc>
        <w:tc>
          <w:tcPr>
            <w:tcW w:w="620" w:type="dxa"/>
            <w:vAlign w:val="bottom"/>
            <w:shd w:val="clear" w:color="auto" w:fill="CCEEFF"/>
          </w:tcPr>
          <w:p>
            <w:pPr>
              <w:spacing w:after="0"/>
              <w:rPr>
                <w:sz w:val="20"/>
                <w:szCs w:val="20"/>
                <w:color w:val="auto"/>
              </w:rPr>
            </w:pPr>
          </w:p>
        </w:tc>
        <w:tc>
          <w:tcPr>
            <w:tcW w:w="4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w:t>
            </w:r>
          </w:p>
        </w:tc>
        <w:tc>
          <w:tcPr>
            <w:tcW w:w="12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w:t>
            </w:r>
          </w:p>
        </w:tc>
        <w:tc>
          <w:tcPr>
            <w:tcW w:w="280" w:type="dxa"/>
            <w:vAlign w:val="bottom"/>
            <w:shd w:val="clear" w:color="auto" w:fill="CCEEFF"/>
          </w:tcPr>
          <w:p>
            <w:pPr>
              <w:spacing w:after="0"/>
              <w:rPr>
                <w:sz w:val="20"/>
                <w:szCs w:val="20"/>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3560" w:type="dxa"/>
            <w:vAlign w:val="bottom"/>
          </w:tcPr>
          <w:p>
            <w:pPr>
              <w:spacing w:after="0"/>
              <w:rPr>
                <w:sz w:val="20"/>
                <w:szCs w:val="20"/>
                <w:color w:val="auto"/>
              </w:rPr>
            </w:pPr>
            <w:r>
              <w:rPr>
                <w:rFonts w:ascii="Arial" w:cs="Arial" w:eastAsia="Arial" w:hAnsi="Arial"/>
                <w:sz w:val="18"/>
                <w:szCs w:val="18"/>
                <w:b w:val="1"/>
                <w:bCs w:val="1"/>
                <w:color w:val="auto"/>
              </w:rPr>
              <w:t>Adjusted EBITDA</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1,079</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455</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Borders>
              <w:top w:val="single" w:sz="8" w:color="auto"/>
              <w:bottom w:val="single" w:sz="8" w:color="auto"/>
            </w:tcBorders>
          </w:tcPr>
          <w:p>
            <w:pPr>
              <w:jc w:val="right"/>
              <w:ind w:right="466"/>
              <w:spacing w:after="0"/>
              <w:rPr>
                <w:sz w:val="20"/>
                <w:szCs w:val="20"/>
                <w:color w:val="auto"/>
              </w:rPr>
            </w:pPr>
            <w:r>
              <w:rPr>
                <w:rFonts w:ascii="Arial" w:cs="Arial" w:eastAsia="Arial" w:hAnsi="Arial"/>
                <w:sz w:val="15"/>
                <w:szCs w:val="15"/>
                <w:b w:val="1"/>
                <w:bCs w:val="1"/>
                <w:color w:val="auto"/>
                <w:w w:val="71"/>
              </w:rPr>
              <w:t>$</w:t>
            </w:r>
          </w:p>
        </w:tc>
        <w:tc>
          <w:tcPr>
            <w:tcW w:w="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3"/>
              </w:rPr>
              <w:t>505</w:t>
            </w:r>
          </w:p>
        </w:tc>
        <w:tc>
          <w:tcPr>
            <w:tcW w:w="220" w:type="dxa"/>
            <w:vAlign w:val="bottom"/>
          </w:tcPr>
          <w:p>
            <w:pPr>
              <w:spacing w:after="0"/>
              <w:rPr>
                <w:sz w:val="18"/>
                <w:szCs w:val="18"/>
                <w:color w:val="auto"/>
              </w:rPr>
            </w:pPr>
          </w:p>
        </w:tc>
        <w:tc>
          <w:tcPr>
            <w:tcW w:w="620" w:type="dxa"/>
            <w:vAlign w:val="bottom"/>
            <w:tcBorders>
              <w:top w:val="single" w:sz="8" w:color="auto"/>
              <w:bottom w:val="single" w:sz="8" w:color="auto"/>
            </w:tcBorders>
          </w:tcPr>
          <w:p>
            <w:pPr>
              <w:jc w:val="right"/>
              <w:ind w:right="440"/>
              <w:spacing w:after="0"/>
              <w:rPr>
                <w:sz w:val="20"/>
                <w:szCs w:val="20"/>
                <w:color w:val="auto"/>
              </w:rPr>
            </w:pPr>
            <w:r>
              <w:rPr>
                <w:rFonts w:ascii="Arial" w:cs="Arial" w:eastAsia="Arial" w:hAnsi="Arial"/>
                <w:sz w:val="18"/>
                <w:szCs w:val="18"/>
                <w:b w:val="1"/>
                <w:bCs w:val="1"/>
                <w:color w:val="auto"/>
                <w:w w:val="79"/>
              </w:rPr>
              <w:t>$</w:t>
            </w:r>
          </w:p>
        </w:tc>
        <w:tc>
          <w:tcPr>
            <w:tcW w:w="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3"/>
              </w:rPr>
              <w:t>591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Borders>
              <w:top w:val="single" w:sz="8" w:color="auto"/>
              <w:bottom w:val="single" w:sz="8" w:color="auto"/>
            </w:tcBorders>
          </w:tcPr>
          <w:p>
            <w:pPr>
              <w:jc w:val="right"/>
              <w:ind w:right="466"/>
              <w:spacing w:after="0"/>
              <w:rPr>
                <w:sz w:val="20"/>
                <w:szCs w:val="20"/>
                <w:color w:val="auto"/>
              </w:rPr>
            </w:pPr>
            <w:r>
              <w:rPr>
                <w:rFonts w:ascii="Arial" w:cs="Arial" w:eastAsia="Arial" w:hAnsi="Arial"/>
                <w:sz w:val="15"/>
                <w:szCs w:val="15"/>
                <w:b w:val="1"/>
                <w:bCs w:val="1"/>
                <w:color w:val="auto"/>
                <w:w w:val="71"/>
              </w:rPr>
              <w:t>$</w:t>
            </w:r>
          </w:p>
        </w:tc>
        <w:tc>
          <w:tcPr>
            <w:tcW w:w="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3"/>
              </w:rPr>
              <w:t>641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45"/>
              <w:spacing w:after="0"/>
              <w:rPr>
                <w:sz w:val="20"/>
                <w:szCs w:val="20"/>
                <w:color w:val="auto"/>
              </w:rPr>
            </w:pPr>
            <w:r>
              <w:rPr>
                <w:rFonts w:ascii="Arial" w:cs="Arial" w:eastAsia="Arial" w:hAnsi="Arial"/>
                <w:sz w:val="15"/>
                <w:szCs w:val="15"/>
                <w:b w:val="1"/>
                <w:bCs w:val="1"/>
                <w:color w:val="auto"/>
                <w:w w:val="71"/>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2,125</w:t>
            </w:r>
          </w:p>
        </w:tc>
        <w:tc>
          <w:tcPr>
            <w:tcW w:w="220" w:type="dxa"/>
            <w:vAlign w:val="bottom"/>
          </w:tcPr>
          <w:p>
            <w:pPr>
              <w:spacing w:after="0"/>
              <w:rPr>
                <w:sz w:val="18"/>
                <w:szCs w:val="18"/>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2,225</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5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vMerge w:val="restart"/>
          </w:tcPr>
          <w:p>
            <w:pPr>
              <w:jc w:val="right"/>
              <w:ind w:right="10"/>
              <w:spacing w:after="0"/>
              <w:rPr>
                <w:sz w:val="20"/>
                <w:szCs w:val="20"/>
                <w:color w:val="auto"/>
              </w:rPr>
            </w:pPr>
            <w:r>
              <w:rPr>
                <w:rFonts w:ascii="Arial" w:cs="Arial" w:eastAsia="Arial" w:hAnsi="Arial"/>
                <w:sz w:val="18"/>
                <w:szCs w:val="18"/>
                <w:color w:val="auto"/>
                <w:w w:val="99"/>
              </w:rPr>
              <w:t>8</w:t>
            </w:r>
          </w:p>
        </w:tc>
        <w:tc>
          <w:tcPr>
            <w:tcW w:w="6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3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3560" w:type="dxa"/>
            <w:vAlign w:val="bottom"/>
            <w:tcBorders>
              <w:bottom w:val="single" w:sz="8" w:color="010101"/>
            </w:tcBorders>
          </w:tcPr>
          <w:p>
            <w:pPr>
              <w:spacing w:after="0"/>
              <w:rPr>
                <w:sz w:val="11"/>
                <w:szCs w:val="11"/>
                <w:color w:val="auto"/>
              </w:rPr>
            </w:pPr>
          </w:p>
        </w:tc>
        <w:tc>
          <w:tcPr>
            <w:tcW w:w="120" w:type="dxa"/>
            <w:vAlign w:val="bottom"/>
            <w:tcBorders>
              <w:bottom w:val="single" w:sz="8" w:color="010101"/>
            </w:tcBorders>
          </w:tcPr>
          <w:p>
            <w:pPr>
              <w:spacing w:after="0"/>
              <w:rPr>
                <w:sz w:val="11"/>
                <w:szCs w:val="11"/>
                <w:color w:val="auto"/>
              </w:rPr>
            </w:pPr>
          </w:p>
        </w:tc>
        <w:tc>
          <w:tcPr>
            <w:tcW w:w="800" w:type="dxa"/>
            <w:vAlign w:val="bottom"/>
            <w:tcBorders>
              <w:bottom w:val="single" w:sz="8" w:color="010101"/>
            </w:tcBorders>
          </w:tcPr>
          <w:p>
            <w:pPr>
              <w:spacing w:after="0"/>
              <w:rPr>
                <w:sz w:val="11"/>
                <w:szCs w:val="11"/>
                <w:color w:val="auto"/>
              </w:rPr>
            </w:pPr>
          </w:p>
        </w:tc>
        <w:tc>
          <w:tcPr>
            <w:tcW w:w="140" w:type="dxa"/>
            <w:vAlign w:val="bottom"/>
            <w:tcBorders>
              <w:bottom w:val="single" w:sz="8" w:color="010101"/>
            </w:tcBorders>
          </w:tcPr>
          <w:p>
            <w:pPr>
              <w:spacing w:after="0"/>
              <w:rPr>
                <w:sz w:val="11"/>
                <w:szCs w:val="11"/>
                <w:color w:val="auto"/>
              </w:rPr>
            </w:pPr>
          </w:p>
        </w:tc>
        <w:tc>
          <w:tcPr>
            <w:tcW w:w="80" w:type="dxa"/>
            <w:vAlign w:val="bottom"/>
            <w:tcBorders>
              <w:bottom w:val="single" w:sz="8" w:color="010101"/>
            </w:tcBorders>
          </w:tcPr>
          <w:p>
            <w:pPr>
              <w:spacing w:after="0"/>
              <w:rPr>
                <w:sz w:val="11"/>
                <w:szCs w:val="11"/>
                <w:color w:val="auto"/>
              </w:rPr>
            </w:pPr>
          </w:p>
        </w:tc>
        <w:tc>
          <w:tcPr>
            <w:tcW w:w="220" w:type="dxa"/>
            <w:vAlign w:val="bottom"/>
            <w:tcBorders>
              <w:bottom w:val="single" w:sz="8" w:color="010101"/>
            </w:tcBorders>
          </w:tcPr>
          <w:p>
            <w:pPr>
              <w:spacing w:after="0"/>
              <w:rPr>
                <w:sz w:val="11"/>
                <w:szCs w:val="11"/>
                <w:color w:val="auto"/>
              </w:rPr>
            </w:pPr>
          </w:p>
        </w:tc>
        <w:tc>
          <w:tcPr>
            <w:tcW w:w="700" w:type="dxa"/>
            <w:vAlign w:val="bottom"/>
            <w:tcBorders>
              <w:bottom w:val="single" w:sz="8" w:color="010101"/>
            </w:tcBorders>
          </w:tcPr>
          <w:p>
            <w:pPr>
              <w:spacing w:after="0"/>
              <w:rPr>
                <w:sz w:val="11"/>
                <w:szCs w:val="11"/>
                <w:color w:val="auto"/>
              </w:rPr>
            </w:pPr>
          </w:p>
        </w:tc>
        <w:tc>
          <w:tcPr>
            <w:tcW w:w="20" w:type="dxa"/>
            <w:vAlign w:val="bottom"/>
            <w:tcBorders>
              <w:bottom w:val="single" w:sz="8" w:color="010101"/>
            </w:tcBorders>
          </w:tcPr>
          <w:p>
            <w:pPr>
              <w:spacing w:after="0"/>
              <w:rPr>
                <w:sz w:val="11"/>
                <w:szCs w:val="11"/>
                <w:color w:val="auto"/>
              </w:rPr>
            </w:pPr>
          </w:p>
        </w:tc>
        <w:tc>
          <w:tcPr>
            <w:tcW w:w="220" w:type="dxa"/>
            <w:vAlign w:val="bottom"/>
            <w:tcBorders>
              <w:bottom w:val="single" w:sz="8" w:color="010101"/>
            </w:tcBorders>
          </w:tcPr>
          <w:p>
            <w:pPr>
              <w:spacing w:after="0"/>
              <w:rPr>
                <w:sz w:val="11"/>
                <w:szCs w:val="11"/>
                <w:color w:val="auto"/>
              </w:rPr>
            </w:pPr>
          </w:p>
        </w:tc>
        <w:tc>
          <w:tcPr>
            <w:tcW w:w="620" w:type="dxa"/>
            <w:vAlign w:val="bottom"/>
            <w:tcBorders>
              <w:bottom w:val="single" w:sz="8" w:color="010101"/>
            </w:tcBorders>
          </w:tcPr>
          <w:p>
            <w:pPr>
              <w:spacing w:after="0"/>
              <w:rPr>
                <w:sz w:val="11"/>
                <w:szCs w:val="11"/>
                <w:color w:val="auto"/>
              </w:rPr>
            </w:pPr>
          </w:p>
        </w:tc>
        <w:tc>
          <w:tcPr>
            <w:tcW w:w="300" w:type="dxa"/>
            <w:vAlign w:val="bottom"/>
            <w:tcBorders>
              <w:bottom w:val="single" w:sz="8" w:color="010101"/>
            </w:tcBorders>
          </w:tcPr>
          <w:p>
            <w:pPr>
              <w:spacing w:after="0"/>
              <w:rPr>
                <w:sz w:val="11"/>
                <w:szCs w:val="11"/>
                <w:color w:val="auto"/>
              </w:rPr>
            </w:pPr>
          </w:p>
        </w:tc>
        <w:tc>
          <w:tcPr>
            <w:tcW w:w="220" w:type="dxa"/>
            <w:vAlign w:val="bottom"/>
            <w:tcBorders>
              <w:bottom w:val="single" w:sz="8" w:color="010101"/>
            </w:tcBorders>
          </w:tcPr>
          <w:p>
            <w:pPr>
              <w:spacing w:after="0"/>
              <w:rPr>
                <w:sz w:val="11"/>
                <w:szCs w:val="11"/>
                <w:color w:val="auto"/>
              </w:rPr>
            </w:pPr>
          </w:p>
        </w:tc>
        <w:tc>
          <w:tcPr>
            <w:tcW w:w="620" w:type="dxa"/>
            <w:vAlign w:val="bottom"/>
            <w:tcBorders>
              <w:bottom w:val="single" w:sz="8" w:color="010101"/>
            </w:tcBorders>
          </w:tcPr>
          <w:p>
            <w:pPr>
              <w:spacing w:after="0"/>
              <w:rPr>
                <w:sz w:val="11"/>
                <w:szCs w:val="11"/>
                <w:color w:val="auto"/>
              </w:rPr>
            </w:pPr>
          </w:p>
        </w:tc>
        <w:tc>
          <w:tcPr>
            <w:tcW w:w="300" w:type="dxa"/>
            <w:vAlign w:val="bottom"/>
            <w:tcBorders>
              <w:bottom w:val="single" w:sz="8" w:color="010101"/>
            </w:tcBorders>
          </w:tcPr>
          <w:p>
            <w:pPr>
              <w:spacing w:after="0"/>
              <w:rPr>
                <w:sz w:val="11"/>
                <w:szCs w:val="11"/>
                <w:color w:val="auto"/>
              </w:rPr>
            </w:pPr>
          </w:p>
        </w:tc>
        <w:tc>
          <w:tcPr>
            <w:tcW w:w="120" w:type="dxa"/>
            <w:vAlign w:val="bottom"/>
            <w:tcBorders>
              <w:bottom w:val="single" w:sz="8" w:color="010101"/>
            </w:tcBorders>
          </w:tcPr>
          <w:p>
            <w:pPr>
              <w:spacing w:after="0"/>
              <w:rPr>
                <w:sz w:val="11"/>
                <w:szCs w:val="11"/>
                <w:color w:val="auto"/>
              </w:rPr>
            </w:pPr>
          </w:p>
        </w:tc>
        <w:tc>
          <w:tcPr>
            <w:tcW w:w="120" w:type="dxa"/>
            <w:vAlign w:val="bottom"/>
            <w:tcBorders>
              <w:bottom w:val="single" w:sz="8" w:color="010101"/>
            </w:tcBorders>
          </w:tcPr>
          <w:p>
            <w:pPr>
              <w:spacing w:after="0"/>
              <w:rPr>
                <w:sz w:val="11"/>
                <w:szCs w:val="11"/>
                <w:color w:val="auto"/>
              </w:rPr>
            </w:pPr>
          </w:p>
        </w:tc>
        <w:tc>
          <w:tcPr>
            <w:tcW w:w="620" w:type="dxa"/>
            <w:vAlign w:val="bottom"/>
            <w:tcBorders>
              <w:bottom w:val="single" w:sz="8" w:color="010101"/>
            </w:tcBorders>
          </w:tcPr>
          <w:p>
            <w:pPr>
              <w:spacing w:after="0"/>
              <w:rPr>
                <w:sz w:val="11"/>
                <w:szCs w:val="11"/>
                <w:color w:val="auto"/>
              </w:rPr>
            </w:pPr>
          </w:p>
        </w:tc>
        <w:tc>
          <w:tcPr>
            <w:tcW w:w="30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120" w:type="dxa"/>
            <w:vAlign w:val="bottom"/>
            <w:tcBorders>
              <w:bottom w:val="single" w:sz="8" w:color="010101"/>
            </w:tcBorders>
          </w:tcPr>
          <w:p>
            <w:pPr>
              <w:spacing w:after="0"/>
              <w:rPr>
                <w:sz w:val="11"/>
                <w:szCs w:val="11"/>
                <w:color w:val="auto"/>
              </w:rPr>
            </w:pPr>
          </w:p>
        </w:tc>
        <w:tc>
          <w:tcPr>
            <w:tcW w:w="200" w:type="dxa"/>
            <w:vAlign w:val="bottom"/>
            <w:tcBorders>
              <w:bottom w:val="single" w:sz="8" w:color="010101"/>
            </w:tcBorders>
          </w:tcPr>
          <w:p>
            <w:pPr>
              <w:spacing w:after="0"/>
              <w:rPr>
                <w:sz w:val="11"/>
                <w:szCs w:val="11"/>
                <w:color w:val="auto"/>
              </w:rPr>
            </w:pPr>
          </w:p>
        </w:tc>
        <w:tc>
          <w:tcPr>
            <w:tcW w:w="700" w:type="dxa"/>
            <w:vAlign w:val="bottom"/>
            <w:tcBorders>
              <w:bottom w:val="single" w:sz="8" w:color="010101"/>
            </w:tcBorders>
          </w:tcPr>
          <w:p>
            <w:pPr>
              <w:spacing w:after="0"/>
              <w:rPr>
                <w:sz w:val="11"/>
                <w:szCs w:val="11"/>
                <w:color w:val="auto"/>
              </w:rPr>
            </w:pPr>
          </w:p>
        </w:tc>
        <w:tc>
          <w:tcPr>
            <w:tcW w:w="22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62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30" w:lineRule="exact"/>
        <w:rPr>
          <w:sz w:val="20"/>
          <w:szCs w:val="20"/>
          <w:color w:val="auto"/>
        </w:rPr>
      </w:pPr>
    </w:p>
    <w:p>
      <w:pPr>
        <w:ind w:left="340" w:right="320" w:hanging="332"/>
        <w:spacing w:after="0" w:line="277" w:lineRule="auto"/>
        <w:tabs>
          <w:tab w:leader="none" w:pos="335" w:val="left"/>
        </w:tabs>
        <w:numPr>
          <w:ilvl w:val="0"/>
          <w:numId w:val="13"/>
        </w:numPr>
        <w:rPr>
          <w:rFonts w:ascii="Arial" w:cs="Arial" w:eastAsia="Arial" w:hAnsi="Arial"/>
          <w:sz w:val="18"/>
          <w:szCs w:val="18"/>
          <w:color w:val="auto"/>
        </w:rPr>
      </w:pPr>
      <w:r>
        <w:rPr>
          <w:rFonts w:ascii="Arial" w:cs="Arial" w:eastAsia="Arial" w:hAnsi="Arial"/>
          <w:sz w:val="18"/>
          <w:szCs w:val="18"/>
          <w:i w:val="1"/>
          <w:iCs w:val="1"/>
          <w:color w:val="auto"/>
        </w:rPr>
        <w:t xml:space="preserve">Implied DCF. </w:t>
      </w:r>
      <w:r>
        <w:rPr>
          <w:rFonts w:ascii="Arial" w:cs="Arial" w:eastAsia="Arial" w:hAnsi="Arial"/>
          <w:sz w:val="18"/>
          <w:szCs w:val="18"/>
          <w:color w:val="auto"/>
        </w:rPr>
        <w:t>The following table reconciles adjusted EBITDA to implied DCF for the six-month period ended June 30, 2014, the three-month period</w:t>
      </w:r>
      <w:r>
        <w:rPr>
          <w:rFonts w:ascii="Arial" w:cs="Arial" w:eastAsia="Arial" w:hAnsi="Arial"/>
          <w:sz w:val="18"/>
          <w:szCs w:val="18"/>
          <w:i w:val="1"/>
          <w:iCs w:val="1"/>
          <w:color w:val="auto"/>
        </w:rPr>
        <w:t xml:space="preserve"> </w:t>
      </w:r>
      <w:r>
        <w:rPr>
          <w:rFonts w:ascii="Arial" w:cs="Arial" w:eastAsia="Arial" w:hAnsi="Arial"/>
          <w:sz w:val="18"/>
          <w:szCs w:val="18"/>
          <w:color w:val="auto"/>
        </w:rPr>
        <w:t>ending September 30, 2014 and the three-month and twelve-month periods ending December 31, 2014.</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7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8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3"/>
              </w:rPr>
              <w:t>Actual</w:t>
            </w:r>
          </w:p>
        </w:tc>
        <w:tc>
          <w:tcPr>
            <w:tcW w:w="1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4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w w:val="95"/>
              </w:rPr>
              <w:t>Mid-Point Guidance</w:t>
            </w:r>
          </w:p>
        </w:tc>
        <w:tc>
          <w:tcPr>
            <w:tcW w:w="1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19"/>
        </w:trPr>
        <w:tc>
          <w:tcPr>
            <w:tcW w:w="370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1180" w:type="dxa"/>
            <w:vAlign w:val="bottom"/>
            <w:tcBorders>
              <w:top w:val="single" w:sz="8" w:color="auto"/>
            </w:tcBorders>
          </w:tcPr>
          <w:p>
            <w:pPr>
              <w:jc w:val="center"/>
              <w:ind w:right="77"/>
              <w:spacing w:after="0" w:line="119" w:lineRule="exact"/>
              <w:rPr>
                <w:sz w:val="20"/>
                <w:szCs w:val="20"/>
                <w:color w:val="auto"/>
              </w:rPr>
            </w:pPr>
            <w:r>
              <w:rPr>
                <w:rFonts w:ascii="Arial" w:cs="Arial" w:eastAsia="Arial" w:hAnsi="Arial"/>
                <w:sz w:val="13"/>
                <w:szCs w:val="13"/>
                <w:b w:val="1"/>
                <w:bCs w:val="1"/>
                <w:color w:val="auto"/>
              </w:rPr>
              <w:t>Six Months</w:t>
            </w:r>
          </w:p>
        </w:tc>
        <w:tc>
          <w:tcPr>
            <w:tcW w:w="30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1380" w:type="dxa"/>
            <w:vAlign w:val="bottom"/>
            <w:tcBorders>
              <w:top w:val="single" w:sz="8" w:color="auto"/>
            </w:tcBorders>
            <w:gridSpan w:val="2"/>
          </w:tcPr>
          <w:p>
            <w:pPr>
              <w:jc w:val="center"/>
              <w:ind w:right="340"/>
              <w:spacing w:after="0" w:line="119" w:lineRule="exact"/>
              <w:rPr>
                <w:sz w:val="20"/>
                <w:szCs w:val="20"/>
                <w:color w:val="auto"/>
              </w:rPr>
            </w:pPr>
            <w:r>
              <w:rPr>
                <w:rFonts w:ascii="Arial" w:cs="Arial" w:eastAsia="Arial" w:hAnsi="Arial"/>
                <w:sz w:val="13"/>
                <w:szCs w:val="13"/>
                <w:b w:val="1"/>
                <w:bCs w:val="1"/>
                <w:color w:val="auto"/>
              </w:rPr>
              <w:t>Three Months</w:t>
            </w:r>
          </w:p>
        </w:tc>
        <w:tc>
          <w:tcPr>
            <w:tcW w:w="100" w:type="dxa"/>
            <w:vAlign w:val="bottom"/>
            <w:tcBorders>
              <w:top w:val="single" w:sz="8" w:color="auto"/>
            </w:tcBorders>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1400" w:type="dxa"/>
            <w:vAlign w:val="bottom"/>
            <w:tcBorders>
              <w:top w:val="single" w:sz="8" w:color="auto"/>
            </w:tcBorders>
            <w:gridSpan w:val="2"/>
          </w:tcPr>
          <w:p>
            <w:pPr>
              <w:jc w:val="center"/>
              <w:ind w:right="520"/>
              <w:spacing w:after="0" w:line="119" w:lineRule="exact"/>
              <w:rPr>
                <w:sz w:val="20"/>
                <w:szCs w:val="20"/>
                <w:color w:val="auto"/>
              </w:rPr>
            </w:pPr>
            <w:r>
              <w:rPr>
                <w:rFonts w:ascii="Arial" w:cs="Arial" w:eastAsia="Arial" w:hAnsi="Arial"/>
                <w:sz w:val="13"/>
                <w:szCs w:val="13"/>
                <w:b w:val="1"/>
                <w:bCs w:val="1"/>
                <w:color w:val="auto"/>
              </w:rPr>
              <w:t>Three Months</w:t>
            </w:r>
          </w:p>
        </w:tc>
        <w:tc>
          <w:tcPr>
            <w:tcW w:w="140" w:type="dxa"/>
            <w:vAlign w:val="bottom"/>
            <w:tcBorders>
              <w:top w:val="single" w:sz="8" w:color="auto"/>
            </w:tcBorders>
          </w:tcPr>
          <w:p>
            <w:pPr>
              <w:spacing w:after="0"/>
              <w:rPr>
                <w:sz w:val="10"/>
                <w:szCs w:val="10"/>
                <w:color w:val="auto"/>
              </w:rPr>
            </w:pPr>
          </w:p>
        </w:tc>
        <w:tc>
          <w:tcPr>
            <w:tcW w:w="1220" w:type="dxa"/>
            <w:vAlign w:val="bottom"/>
            <w:tcBorders>
              <w:top w:val="single" w:sz="8" w:color="auto"/>
            </w:tcBorders>
          </w:tcPr>
          <w:p>
            <w:pPr>
              <w:jc w:val="center"/>
              <w:ind w:right="77"/>
              <w:spacing w:after="0" w:line="119" w:lineRule="exact"/>
              <w:rPr>
                <w:sz w:val="20"/>
                <w:szCs w:val="20"/>
                <w:color w:val="auto"/>
              </w:rPr>
            </w:pPr>
            <w:r>
              <w:rPr>
                <w:rFonts w:ascii="Arial" w:cs="Arial" w:eastAsia="Arial" w:hAnsi="Arial"/>
                <w:sz w:val="13"/>
                <w:szCs w:val="13"/>
                <w:b w:val="1"/>
                <w:bCs w:val="1"/>
                <w:color w:val="auto"/>
              </w:rPr>
              <w:t>Twelve Months</w:t>
            </w: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r>
      <w:tr>
        <w:trPr>
          <w:trHeight w:val="149"/>
        </w:trPr>
        <w:tc>
          <w:tcPr>
            <w:tcW w:w="370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8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93"/>
              </w:rPr>
              <w:t>Ended</w:t>
            </w:r>
          </w:p>
        </w:tc>
        <w:tc>
          <w:tcPr>
            <w:tcW w:w="180" w:type="dxa"/>
            <w:vAlign w:val="bottom"/>
          </w:tcPr>
          <w:p>
            <w:pPr>
              <w:spacing w:after="0"/>
              <w:rPr>
                <w:sz w:val="12"/>
                <w:szCs w:val="12"/>
                <w:color w:val="auto"/>
              </w:rPr>
            </w:pPr>
          </w:p>
        </w:tc>
        <w:tc>
          <w:tcPr>
            <w:tcW w:w="138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2"/>
              </w:rPr>
              <w:t>Ending</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92"/>
              </w:rPr>
              <w:t>Ending</w:t>
            </w:r>
          </w:p>
        </w:tc>
        <w:tc>
          <w:tcPr>
            <w:tcW w:w="140" w:type="dxa"/>
            <w:vAlign w:val="bottom"/>
          </w:tcPr>
          <w:p>
            <w:pPr>
              <w:spacing w:after="0"/>
              <w:rPr>
                <w:sz w:val="12"/>
                <w:szCs w:val="12"/>
                <w:color w:val="auto"/>
              </w:rPr>
            </w:pPr>
          </w:p>
        </w:tc>
        <w:tc>
          <w:tcPr>
            <w:tcW w:w="13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2"/>
              </w:rPr>
              <w:t>Ending</w:t>
            </w:r>
          </w:p>
        </w:tc>
        <w:tc>
          <w:tcPr>
            <w:tcW w:w="40" w:type="dxa"/>
            <w:vAlign w:val="bottom"/>
          </w:tcPr>
          <w:p>
            <w:pPr>
              <w:spacing w:after="0"/>
              <w:rPr>
                <w:sz w:val="12"/>
                <w:szCs w:val="12"/>
                <w:color w:val="auto"/>
              </w:rPr>
            </w:pPr>
          </w:p>
        </w:tc>
      </w:tr>
      <w:tr>
        <w:trPr>
          <w:trHeight w:val="171"/>
        </w:trPr>
        <w:tc>
          <w:tcPr>
            <w:tcW w:w="37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8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1"/>
              </w:rPr>
              <w:t>Jun 30, 2014</w:t>
            </w:r>
          </w:p>
        </w:tc>
        <w:tc>
          <w:tcPr>
            <w:tcW w:w="180" w:type="dxa"/>
            <w:vAlign w:val="bottom"/>
          </w:tcPr>
          <w:p>
            <w:pPr>
              <w:spacing w:after="0"/>
              <w:rPr>
                <w:sz w:val="14"/>
                <w:szCs w:val="14"/>
                <w:color w:val="auto"/>
              </w:rPr>
            </w:pPr>
          </w:p>
        </w:tc>
        <w:tc>
          <w:tcPr>
            <w:tcW w:w="13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0"/>
              </w:rPr>
              <w:t>Sep 30, 2014</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90"/>
              </w:rPr>
              <w:t>Dec 31, 2014</w:t>
            </w:r>
          </w:p>
        </w:tc>
        <w:tc>
          <w:tcPr>
            <w:tcW w:w="140" w:type="dxa"/>
            <w:vAlign w:val="bottom"/>
          </w:tcPr>
          <w:p>
            <w:pPr>
              <w:spacing w:after="0"/>
              <w:rPr>
                <w:sz w:val="14"/>
                <w:szCs w:val="14"/>
                <w:color w:val="auto"/>
              </w:rPr>
            </w:pPr>
          </w:p>
        </w:tc>
        <w:tc>
          <w:tcPr>
            <w:tcW w:w="13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0"/>
              </w:rPr>
              <w:t>Dec 31, 2014</w:t>
            </w:r>
          </w:p>
        </w:tc>
        <w:tc>
          <w:tcPr>
            <w:tcW w:w="40" w:type="dxa"/>
            <w:vAlign w:val="bottom"/>
          </w:tcPr>
          <w:p>
            <w:pPr>
              <w:spacing w:after="0"/>
              <w:rPr>
                <w:sz w:val="14"/>
                <w:szCs w:val="14"/>
                <w:color w:val="auto"/>
              </w:rPr>
            </w:pPr>
          </w:p>
        </w:tc>
      </w:tr>
      <w:tr>
        <w:trPr>
          <w:trHeight w:val="142"/>
        </w:trPr>
        <w:tc>
          <w:tcPr>
            <w:tcW w:w="370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180" w:type="dxa"/>
            <w:vAlign w:val="bottom"/>
            <w:tcBorders>
              <w:top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720" w:type="dxa"/>
            <w:vAlign w:val="bottom"/>
            <w:tcBorders>
              <w:top w:val="single" w:sz="8" w:color="auto"/>
            </w:tcBorders>
            <w:gridSpan w:val="4"/>
          </w:tcPr>
          <w:p>
            <w:pPr>
              <w:jc w:val="right"/>
              <w:spacing w:after="0" w:line="142" w:lineRule="exact"/>
              <w:rPr>
                <w:sz w:val="20"/>
                <w:szCs w:val="20"/>
                <w:color w:val="auto"/>
              </w:rPr>
            </w:pPr>
            <w:r>
              <w:rPr>
                <w:rFonts w:ascii="Arial" w:cs="Arial" w:eastAsia="Arial" w:hAnsi="Arial"/>
                <w:sz w:val="14"/>
                <w:szCs w:val="14"/>
                <w:b w:val="1"/>
                <w:bCs w:val="1"/>
                <w:color w:val="auto"/>
              </w:rPr>
              <w:t>(in millions)</w:t>
            </w:r>
          </w:p>
        </w:tc>
        <w:tc>
          <w:tcPr>
            <w:tcW w:w="1120" w:type="dxa"/>
            <w:vAlign w:val="bottom"/>
            <w:tcBorders>
              <w:top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2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216"/>
        </w:trPr>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Adjusted EBITDA</w:t>
            </w:r>
          </w:p>
        </w:tc>
        <w:tc>
          <w:tcPr>
            <w:tcW w:w="1480" w:type="dxa"/>
            <w:vAlign w:val="bottom"/>
            <w:gridSpan w:val="2"/>
            <w:shd w:val="clear" w:color="auto" w:fill="CCEEFF"/>
          </w:tcPr>
          <w:p>
            <w:pPr>
              <w:jc w:val="right"/>
              <w:ind w:right="25"/>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1,079</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480</w:t>
            </w:r>
          </w:p>
        </w:tc>
        <w:tc>
          <w:tcPr>
            <w:tcW w:w="340" w:type="dxa"/>
            <w:vAlign w:val="bottom"/>
            <w:gridSpan w:val="2"/>
            <w:shd w:val="clear" w:color="auto" w:fill="CCEEFF"/>
          </w:tcPr>
          <w:p>
            <w:pPr>
              <w:jc w:val="right"/>
              <w:ind w:right="59"/>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616</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2,175</w:t>
            </w:r>
          </w:p>
        </w:tc>
        <w:tc>
          <w:tcPr>
            <w:tcW w:w="40" w:type="dxa"/>
            <w:vAlign w:val="bottom"/>
          </w:tcPr>
          <w:p>
            <w:pPr>
              <w:spacing w:after="0"/>
              <w:rPr>
                <w:sz w:val="18"/>
                <w:szCs w:val="18"/>
                <w:color w:val="auto"/>
              </w:rPr>
            </w:pPr>
          </w:p>
        </w:tc>
      </w:tr>
      <w:tr>
        <w:trPr>
          <w:trHeight w:val="216"/>
        </w:trPr>
        <w:tc>
          <w:tcPr>
            <w:tcW w:w="3700" w:type="dxa"/>
            <w:vAlign w:val="bottom"/>
          </w:tcPr>
          <w:p>
            <w:pPr>
              <w:spacing w:after="0"/>
              <w:rPr>
                <w:sz w:val="20"/>
                <w:szCs w:val="20"/>
                <w:color w:val="auto"/>
              </w:rPr>
            </w:pPr>
            <w:r>
              <w:rPr>
                <w:rFonts w:ascii="Arial" w:cs="Arial" w:eastAsia="Arial" w:hAnsi="Arial"/>
                <w:sz w:val="18"/>
                <w:szCs w:val="18"/>
                <w:color w:val="auto"/>
              </w:rPr>
              <w:t>Interest expense, net</w:t>
            </w:r>
          </w:p>
        </w:tc>
        <w:tc>
          <w:tcPr>
            <w:tcW w:w="1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jc w:val="right"/>
              <w:ind w:right="240"/>
              <w:spacing w:after="0"/>
              <w:rPr>
                <w:sz w:val="20"/>
                <w:szCs w:val="20"/>
                <w:color w:val="auto"/>
              </w:rPr>
            </w:pPr>
            <w:r>
              <w:rPr>
                <w:rFonts w:ascii="Arial" w:cs="Arial" w:eastAsia="Arial" w:hAnsi="Arial"/>
                <w:sz w:val="18"/>
                <w:szCs w:val="18"/>
                <w:color w:val="auto"/>
              </w:rPr>
              <w:t>(161)</w:t>
            </w:r>
          </w:p>
        </w:tc>
        <w:tc>
          <w:tcPr>
            <w:tcW w:w="180" w:type="dxa"/>
            <w:vAlign w:val="bottom"/>
          </w:tcPr>
          <w:p>
            <w:pPr>
              <w:spacing w:after="0"/>
              <w:rPr>
                <w:sz w:val="18"/>
                <w:szCs w:val="18"/>
                <w:color w:val="auto"/>
              </w:rPr>
            </w:pP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(86)</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(88)</w:t>
            </w:r>
          </w:p>
        </w:tc>
        <w:tc>
          <w:tcPr>
            <w:tcW w:w="140" w:type="dxa"/>
            <w:vAlign w:val="bottom"/>
          </w:tcPr>
          <w:p>
            <w:pPr>
              <w:spacing w:after="0"/>
              <w:rPr>
                <w:sz w:val="18"/>
                <w:szCs w:val="18"/>
                <w:color w:val="auto"/>
              </w:rPr>
            </w:pP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(335)</w:t>
            </w:r>
          </w:p>
        </w:tc>
        <w:tc>
          <w:tcPr>
            <w:tcW w:w="40" w:type="dxa"/>
            <w:vAlign w:val="bottom"/>
          </w:tcPr>
          <w:p>
            <w:pPr>
              <w:spacing w:after="0"/>
              <w:rPr>
                <w:sz w:val="18"/>
                <w:szCs w:val="18"/>
                <w:color w:val="auto"/>
              </w:rPr>
            </w:pPr>
          </w:p>
        </w:tc>
      </w:tr>
      <w:tr>
        <w:trPr>
          <w:trHeight w:val="216"/>
        </w:trPr>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Current income tax expense</w:t>
            </w:r>
          </w:p>
        </w:tc>
        <w:tc>
          <w:tcPr>
            <w:tcW w:w="1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(52)</w:t>
            </w:r>
          </w:p>
        </w:tc>
        <w:tc>
          <w:tcPr>
            <w:tcW w:w="1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(31)</w:t>
            </w: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(88)</w:t>
            </w:r>
          </w:p>
        </w:tc>
        <w:tc>
          <w:tcPr>
            <w:tcW w:w="40" w:type="dxa"/>
            <w:vAlign w:val="bottom"/>
          </w:tcPr>
          <w:p>
            <w:pPr>
              <w:spacing w:after="0"/>
              <w:rPr>
                <w:sz w:val="18"/>
                <w:szCs w:val="18"/>
                <w:color w:val="auto"/>
              </w:rPr>
            </w:pPr>
          </w:p>
        </w:tc>
      </w:tr>
      <w:tr>
        <w:trPr>
          <w:trHeight w:val="216"/>
        </w:trPr>
        <w:tc>
          <w:tcPr>
            <w:tcW w:w="3700" w:type="dxa"/>
            <w:vAlign w:val="bottom"/>
          </w:tcPr>
          <w:p>
            <w:pPr>
              <w:spacing w:after="0"/>
              <w:rPr>
                <w:sz w:val="20"/>
                <w:szCs w:val="20"/>
                <w:color w:val="auto"/>
              </w:rPr>
            </w:pPr>
            <w:r>
              <w:rPr>
                <w:rFonts w:ascii="Arial" w:cs="Arial" w:eastAsia="Arial" w:hAnsi="Arial"/>
                <w:sz w:val="18"/>
                <w:szCs w:val="18"/>
                <w:color w:val="auto"/>
              </w:rPr>
              <w:t>Maintenance capital expenditures</w:t>
            </w:r>
          </w:p>
        </w:tc>
        <w:tc>
          <w:tcPr>
            <w:tcW w:w="1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jc w:val="right"/>
              <w:ind w:right="240"/>
              <w:spacing w:after="0"/>
              <w:rPr>
                <w:sz w:val="20"/>
                <w:szCs w:val="20"/>
                <w:color w:val="auto"/>
              </w:rPr>
            </w:pPr>
            <w:r>
              <w:rPr>
                <w:rFonts w:ascii="Arial" w:cs="Arial" w:eastAsia="Arial" w:hAnsi="Arial"/>
                <w:sz w:val="18"/>
                <w:szCs w:val="18"/>
                <w:color w:val="auto"/>
              </w:rPr>
              <w:t>(95)</w:t>
            </w:r>
          </w:p>
        </w:tc>
        <w:tc>
          <w:tcPr>
            <w:tcW w:w="180" w:type="dxa"/>
            <w:vAlign w:val="bottom"/>
          </w:tcPr>
          <w:p>
            <w:pPr>
              <w:spacing w:after="0"/>
              <w:rPr>
                <w:sz w:val="18"/>
                <w:szCs w:val="18"/>
                <w:color w:val="auto"/>
              </w:rPr>
            </w:pP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(50)</w:t>
            </w:r>
          </w:p>
        </w:tc>
        <w:tc>
          <w:tcPr>
            <w:tcW w:w="140" w:type="dxa"/>
            <w:vAlign w:val="bottom"/>
          </w:tcPr>
          <w:p>
            <w:pPr>
              <w:spacing w:after="0"/>
              <w:rPr>
                <w:sz w:val="18"/>
                <w:szCs w:val="18"/>
                <w:color w:val="auto"/>
              </w:rPr>
            </w:pP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(195)</w:t>
            </w:r>
          </w:p>
        </w:tc>
        <w:tc>
          <w:tcPr>
            <w:tcW w:w="40" w:type="dxa"/>
            <w:vAlign w:val="bottom"/>
          </w:tcPr>
          <w:p>
            <w:pPr>
              <w:spacing w:after="0"/>
              <w:rPr>
                <w:sz w:val="18"/>
                <w:szCs w:val="18"/>
                <w:color w:val="auto"/>
              </w:rPr>
            </w:pPr>
          </w:p>
        </w:tc>
      </w:tr>
      <w:tr>
        <w:trPr>
          <w:trHeight w:val="216"/>
        </w:trPr>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Other, net</w:t>
            </w:r>
          </w:p>
        </w:tc>
        <w:tc>
          <w:tcPr>
            <w:tcW w:w="1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w:t>
            </w:r>
          </w:p>
        </w:tc>
        <w:tc>
          <w:tcPr>
            <w:tcW w:w="1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w:t>
            </w: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w:t>
            </w:r>
          </w:p>
        </w:tc>
        <w:tc>
          <w:tcPr>
            <w:tcW w:w="40" w:type="dxa"/>
            <w:vAlign w:val="bottom"/>
          </w:tcPr>
          <w:p>
            <w:pPr>
              <w:spacing w:after="0"/>
              <w:rPr>
                <w:sz w:val="18"/>
                <w:szCs w:val="18"/>
                <w:color w:val="auto"/>
              </w:rPr>
            </w:pPr>
          </w:p>
        </w:tc>
      </w:tr>
      <w:tr>
        <w:trPr>
          <w:trHeight w:val="210"/>
        </w:trPr>
        <w:tc>
          <w:tcPr>
            <w:tcW w:w="3700" w:type="dxa"/>
            <w:vAlign w:val="bottom"/>
          </w:tcPr>
          <w:p>
            <w:pPr>
              <w:spacing w:after="0"/>
              <w:rPr>
                <w:sz w:val="20"/>
                <w:szCs w:val="20"/>
                <w:color w:val="auto"/>
              </w:rPr>
            </w:pPr>
            <w:r>
              <w:rPr>
                <w:rFonts w:ascii="Arial" w:cs="Arial" w:eastAsia="Arial" w:hAnsi="Arial"/>
                <w:sz w:val="18"/>
                <w:szCs w:val="18"/>
                <w:color w:val="auto"/>
              </w:rPr>
              <w:t>Implied DCF</w:t>
            </w:r>
          </w:p>
        </w:tc>
        <w:tc>
          <w:tcPr>
            <w:tcW w:w="130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776</w:t>
            </w:r>
          </w:p>
        </w:tc>
        <w:tc>
          <w:tcPr>
            <w:tcW w:w="30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336</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446</w:t>
            </w:r>
          </w:p>
        </w:tc>
        <w:tc>
          <w:tcPr>
            <w:tcW w:w="28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1,558</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0"/>
        </w:trPr>
        <w:tc>
          <w:tcPr>
            <w:tcW w:w="37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13"/>
        </w:trPr>
        <w:tc>
          <w:tcPr>
            <w:tcW w:w="37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jc w:val="right"/>
              <w:ind w:right="517"/>
              <w:spacing w:after="0"/>
              <w:rPr>
                <w:sz w:val="20"/>
                <w:szCs w:val="20"/>
                <w:color w:val="auto"/>
              </w:rPr>
            </w:pPr>
            <w:r>
              <w:rPr>
                <w:rFonts w:ascii="Arial" w:cs="Arial" w:eastAsia="Arial" w:hAnsi="Arial"/>
                <w:sz w:val="18"/>
                <w:szCs w:val="18"/>
                <w:color w:val="auto"/>
              </w:rPr>
              <w:t>9</w:t>
            </w: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3700" w:type="dxa"/>
            <w:vAlign w:val="bottom"/>
            <w:tcBorders>
              <w:bottom w:val="single" w:sz="8" w:color="010101"/>
            </w:tcBorders>
          </w:tcPr>
          <w:p>
            <w:pPr>
              <w:spacing w:after="0"/>
              <w:rPr>
                <w:sz w:val="11"/>
                <w:szCs w:val="11"/>
                <w:color w:val="auto"/>
              </w:rPr>
            </w:pPr>
          </w:p>
        </w:tc>
        <w:tc>
          <w:tcPr>
            <w:tcW w:w="1300" w:type="dxa"/>
            <w:vAlign w:val="bottom"/>
            <w:tcBorders>
              <w:bottom w:val="single" w:sz="8" w:color="010101"/>
            </w:tcBorders>
          </w:tcPr>
          <w:p>
            <w:pPr>
              <w:spacing w:after="0"/>
              <w:rPr>
                <w:sz w:val="11"/>
                <w:szCs w:val="11"/>
                <w:color w:val="auto"/>
              </w:rPr>
            </w:pPr>
          </w:p>
        </w:tc>
        <w:tc>
          <w:tcPr>
            <w:tcW w:w="180" w:type="dxa"/>
            <w:vAlign w:val="bottom"/>
            <w:tcBorders>
              <w:bottom w:val="single" w:sz="8" w:color="010101"/>
            </w:tcBorders>
          </w:tcPr>
          <w:p>
            <w:pPr>
              <w:spacing w:after="0"/>
              <w:rPr>
                <w:sz w:val="11"/>
                <w:szCs w:val="11"/>
                <w:color w:val="auto"/>
              </w:rPr>
            </w:pPr>
          </w:p>
        </w:tc>
        <w:tc>
          <w:tcPr>
            <w:tcW w:w="1180" w:type="dxa"/>
            <w:vAlign w:val="bottom"/>
            <w:tcBorders>
              <w:bottom w:val="single" w:sz="8" w:color="010101"/>
            </w:tcBorders>
          </w:tcPr>
          <w:p>
            <w:pPr>
              <w:spacing w:after="0"/>
              <w:rPr>
                <w:sz w:val="11"/>
                <w:szCs w:val="11"/>
                <w:color w:val="auto"/>
              </w:rPr>
            </w:pPr>
          </w:p>
        </w:tc>
        <w:tc>
          <w:tcPr>
            <w:tcW w:w="300" w:type="dxa"/>
            <w:vAlign w:val="bottom"/>
            <w:tcBorders>
              <w:bottom w:val="single" w:sz="8" w:color="010101"/>
            </w:tcBorders>
          </w:tcPr>
          <w:p>
            <w:pPr>
              <w:spacing w:after="0"/>
              <w:rPr>
                <w:sz w:val="11"/>
                <w:szCs w:val="11"/>
                <w:color w:val="auto"/>
              </w:rPr>
            </w:pPr>
          </w:p>
        </w:tc>
        <w:tc>
          <w:tcPr>
            <w:tcW w:w="180" w:type="dxa"/>
            <w:vAlign w:val="bottom"/>
            <w:tcBorders>
              <w:bottom w:val="single" w:sz="8" w:color="010101"/>
            </w:tcBorders>
          </w:tcPr>
          <w:p>
            <w:pPr>
              <w:spacing w:after="0"/>
              <w:rPr>
                <w:sz w:val="11"/>
                <w:szCs w:val="11"/>
                <w:color w:val="auto"/>
              </w:rPr>
            </w:pPr>
          </w:p>
        </w:tc>
        <w:tc>
          <w:tcPr>
            <w:tcW w:w="1200" w:type="dxa"/>
            <w:vAlign w:val="bottom"/>
            <w:tcBorders>
              <w:bottom w:val="single" w:sz="8" w:color="010101"/>
            </w:tcBorders>
          </w:tcPr>
          <w:p>
            <w:pPr>
              <w:spacing w:after="0"/>
              <w:rPr>
                <w:sz w:val="11"/>
                <w:szCs w:val="11"/>
                <w:color w:val="auto"/>
              </w:rPr>
            </w:pPr>
          </w:p>
        </w:tc>
        <w:tc>
          <w:tcPr>
            <w:tcW w:w="18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240" w:type="dxa"/>
            <w:vAlign w:val="bottom"/>
            <w:tcBorders>
              <w:bottom w:val="single" w:sz="8" w:color="010101"/>
            </w:tcBorders>
          </w:tcPr>
          <w:p>
            <w:pPr>
              <w:spacing w:after="0"/>
              <w:rPr>
                <w:sz w:val="11"/>
                <w:szCs w:val="11"/>
                <w:color w:val="auto"/>
              </w:rPr>
            </w:pPr>
          </w:p>
        </w:tc>
        <w:tc>
          <w:tcPr>
            <w:tcW w:w="112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140" w:type="dxa"/>
            <w:vAlign w:val="bottom"/>
            <w:tcBorders>
              <w:bottom w:val="single" w:sz="8" w:color="010101"/>
            </w:tcBorders>
          </w:tcPr>
          <w:p>
            <w:pPr>
              <w:spacing w:after="0"/>
              <w:rPr>
                <w:sz w:val="11"/>
                <w:szCs w:val="11"/>
                <w:color w:val="auto"/>
              </w:rPr>
            </w:pPr>
          </w:p>
        </w:tc>
        <w:tc>
          <w:tcPr>
            <w:tcW w:w="122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 and Associated Risks</w:t>
      </w:r>
    </w:p>
    <w:p>
      <w:pPr>
        <w:spacing w:after="0" w:line="229" w:lineRule="exact"/>
        <w:rPr>
          <w:sz w:val="20"/>
          <w:szCs w:val="20"/>
          <w:color w:val="auto"/>
        </w:rPr>
      </w:pPr>
    </w:p>
    <w:p>
      <w:pPr>
        <w:ind w:right="80" w:firstLine="285"/>
        <w:spacing w:after="0" w:line="273" w:lineRule="auto"/>
        <w:rPr>
          <w:sz w:val="20"/>
          <w:szCs w:val="20"/>
          <w:color w:val="auto"/>
        </w:rPr>
      </w:pPr>
      <w:r>
        <w:rPr>
          <w:rFonts w:ascii="Arial" w:cs="Arial" w:eastAsia="Arial" w:hAnsi="Arial"/>
          <w:sz w:val="17"/>
          <w:szCs w:val="17"/>
          <w:color w:val="auto"/>
        </w:rPr>
        <w:t>All statements included in this report, other than statements of historical fact, are forward-looking statements, including, but not limited to, statements incorporating the words “anticipate,” “believe,” “estimate,” “expect,” “plan,” “intend” and “forecast,” as well as similar expressions and statements regarding our business strategy, plans and objectives for future operations. The absence of such words, expressions or statements, however, does not mean that the statements are not forward-looking. Any such forward-looking statements reflect our current views with respect to future events, based on what we believe to be reasonable assumptions. Certain factors could cause actual results or outcomes to differ materially from the results or outcomes anticipated in the forward-looking statements. The most important of these factors include, but are not limited to:</w:t>
      </w:r>
    </w:p>
    <w:p>
      <w:pPr>
        <w:spacing w:after="0" w:line="178" w:lineRule="exact"/>
        <w:rPr>
          <w:sz w:val="20"/>
          <w:szCs w:val="20"/>
          <w:color w:val="auto"/>
        </w:rPr>
      </w:pPr>
    </w:p>
    <w:p>
      <w:pPr>
        <w:ind w:left="300" w:hanging="292"/>
        <w:spacing w:after="0"/>
        <w:tabs>
          <w:tab w:leader="none" w:pos="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failure to implement or capitalize, or delays in implementing or capitalizing, on planned internal growth projects;</w:t>
      </w:r>
    </w:p>
    <w:p>
      <w:pPr>
        <w:spacing w:after="0" w:line="225" w:lineRule="exact"/>
        <w:rPr>
          <w:rFonts w:ascii="Arial" w:cs="Arial" w:eastAsia="Arial" w:hAnsi="Arial"/>
          <w:sz w:val="18"/>
          <w:szCs w:val="18"/>
          <w:color w:val="auto"/>
        </w:rPr>
      </w:pPr>
    </w:p>
    <w:p>
      <w:pPr>
        <w:ind w:left="300" w:hanging="274"/>
        <w:spacing w:after="0"/>
        <w:tabs>
          <w:tab w:leader="none" w:pos="300" w:val="left"/>
        </w:tabs>
        <w:numPr>
          <w:ilvl w:val="1"/>
          <w:numId w:val="14"/>
        </w:numPr>
        <w:rPr>
          <w:rFonts w:ascii="Arial" w:cs="Arial" w:eastAsia="Arial" w:hAnsi="Arial"/>
          <w:sz w:val="18"/>
          <w:szCs w:val="18"/>
          <w:color w:val="auto"/>
        </w:rPr>
      </w:pPr>
      <w:r>
        <w:rPr>
          <w:rFonts w:ascii="Arial" w:cs="Arial" w:eastAsia="Arial" w:hAnsi="Arial"/>
          <w:sz w:val="18"/>
          <w:szCs w:val="18"/>
          <w:color w:val="auto"/>
        </w:rPr>
        <w:t>unanticipated changes in crude oil market structure, grade differentials and volatility (or lack thereof);</w:t>
      </w:r>
    </w:p>
    <w:p>
      <w:pPr>
        <w:spacing w:after="0" w:line="225" w:lineRule="exact"/>
        <w:rPr>
          <w:rFonts w:ascii="Arial" w:cs="Arial" w:eastAsia="Arial" w:hAnsi="Arial"/>
          <w:sz w:val="18"/>
          <w:szCs w:val="18"/>
          <w:color w:val="auto"/>
        </w:rPr>
      </w:pPr>
    </w:p>
    <w:p>
      <w:pPr>
        <w:ind w:left="300" w:hanging="292"/>
        <w:spacing w:after="0"/>
        <w:tabs>
          <w:tab w:leader="none" w:pos="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environmental liabilities or events that are not covered by an indemnity, insurance or existing reserves;</w:t>
      </w:r>
    </w:p>
    <w:p>
      <w:pPr>
        <w:spacing w:after="0" w:line="225" w:lineRule="exact"/>
        <w:rPr>
          <w:rFonts w:ascii="Arial" w:cs="Arial" w:eastAsia="Arial" w:hAnsi="Arial"/>
          <w:sz w:val="18"/>
          <w:szCs w:val="18"/>
          <w:color w:val="auto"/>
        </w:rPr>
      </w:pPr>
    </w:p>
    <w:p>
      <w:pPr>
        <w:ind w:left="340" w:right="160" w:hanging="332"/>
        <w:spacing w:after="0" w:line="264" w:lineRule="auto"/>
        <w:tabs>
          <w:tab w:leader="none" w:pos="304" w:val="left"/>
        </w:tabs>
        <w:numPr>
          <w:ilvl w:val="0"/>
          <w:numId w:val="14"/>
        </w:numPr>
        <w:rPr>
          <w:rFonts w:ascii="Arial" w:cs="Arial" w:eastAsia="Arial" w:hAnsi="Arial"/>
          <w:sz w:val="18"/>
          <w:szCs w:val="18"/>
          <w:color w:val="auto"/>
        </w:rPr>
      </w:pPr>
      <w:r>
        <w:rPr>
          <w:rFonts w:ascii="Arial" w:cs="Arial" w:eastAsia="Arial" w:hAnsi="Arial"/>
          <w:sz w:val="18"/>
          <w:szCs w:val="18"/>
          <w:color w:val="auto"/>
        </w:rPr>
        <w:t>declines in the volume of crude oil, refined product and NGL shipped, processed, purchased, stored, fractionated and/or gathered at or through the use of our facilities, whether due to declines in production from existing oil and gas reserves, failure to develop or slowdown in the development of additional oil and gas reserves or other factors;</w:t>
      </w:r>
    </w:p>
    <w:p>
      <w:pPr>
        <w:spacing w:after="0" w:line="181" w:lineRule="exact"/>
        <w:rPr>
          <w:rFonts w:ascii="Arial" w:cs="Arial" w:eastAsia="Arial" w:hAnsi="Arial"/>
          <w:sz w:val="18"/>
          <w:szCs w:val="18"/>
          <w:color w:val="auto"/>
        </w:rPr>
      </w:pPr>
    </w:p>
    <w:p>
      <w:pPr>
        <w:ind w:left="340" w:right="320" w:hanging="332"/>
        <w:spacing w:after="0" w:line="277" w:lineRule="auto"/>
        <w:tabs>
          <w:tab w:leader="none" w:pos="304" w:val="left"/>
        </w:tabs>
        <w:numPr>
          <w:ilvl w:val="0"/>
          <w:numId w:val="14"/>
        </w:numPr>
        <w:rPr>
          <w:rFonts w:ascii="Arial" w:cs="Arial" w:eastAsia="Arial" w:hAnsi="Arial"/>
          <w:sz w:val="18"/>
          <w:szCs w:val="18"/>
          <w:color w:val="auto"/>
        </w:rPr>
      </w:pPr>
      <w:r>
        <w:rPr>
          <w:rFonts w:ascii="Arial" w:cs="Arial" w:eastAsia="Arial" w:hAnsi="Arial"/>
          <w:sz w:val="18"/>
          <w:szCs w:val="18"/>
          <w:color w:val="auto"/>
        </w:rPr>
        <w:t>fluctuations in refinery capacity in areas supplied by our mainlines and other factors affecting demand for various grades of crude oil, refined products and natural gas and resulting changes in pricing conditions or transportation throughput requirements;</w:t>
      </w:r>
    </w:p>
    <w:p>
      <w:pPr>
        <w:spacing w:after="0" w:line="170" w:lineRule="exact"/>
        <w:rPr>
          <w:rFonts w:ascii="Arial" w:cs="Arial" w:eastAsia="Arial" w:hAnsi="Arial"/>
          <w:sz w:val="18"/>
          <w:szCs w:val="18"/>
          <w:color w:val="auto"/>
        </w:rPr>
      </w:pPr>
    </w:p>
    <w:p>
      <w:pPr>
        <w:ind w:left="300" w:hanging="292"/>
        <w:spacing w:after="0"/>
        <w:tabs>
          <w:tab w:leader="none" w:pos="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occurrence of a natural disaster, catastrophe, terrorist attack or other event, including attacks on our electronic and computer systems;</w:t>
      </w:r>
    </w:p>
    <w:p>
      <w:pPr>
        <w:spacing w:after="0" w:line="225" w:lineRule="exact"/>
        <w:rPr>
          <w:rFonts w:ascii="Arial" w:cs="Arial" w:eastAsia="Arial" w:hAnsi="Arial"/>
          <w:sz w:val="18"/>
          <w:szCs w:val="18"/>
          <w:color w:val="auto"/>
        </w:rPr>
      </w:pPr>
    </w:p>
    <w:p>
      <w:pPr>
        <w:ind w:left="300" w:hanging="292"/>
        <w:spacing w:after="0"/>
        <w:tabs>
          <w:tab w:leader="none" w:pos="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weather interference with business operations or project construction, including the impact of extreme weather events or conditions;</w:t>
      </w:r>
    </w:p>
    <w:p>
      <w:pPr>
        <w:spacing w:after="0" w:line="225" w:lineRule="exact"/>
        <w:rPr>
          <w:rFonts w:ascii="Arial" w:cs="Arial" w:eastAsia="Arial" w:hAnsi="Arial"/>
          <w:sz w:val="18"/>
          <w:szCs w:val="18"/>
          <w:color w:val="auto"/>
        </w:rPr>
      </w:pPr>
    </w:p>
    <w:p>
      <w:pPr>
        <w:ind w:left="300" w:hanging="292"/>
        <w:spacing w:after="0"/>
        <w:tabs>
          <w:tab w:leader="none" w:pos="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tightened capital markets or other factors that increase our cost of capital or limit our access to capital;</w:t>
      </w:r>
    </w:p>
    <w:p>
      <w:pPr>
        <w:spacing w:after="0" w:line="225" w:lineRule="exact"/>
        <w:rPr>
          <w:rFonts w:ascii="Arial" w:cs="Arial" w:eastAsia="Arial" w:hAnsi="Arial"/>
          <w:sz w:val="18"/>
          <w:szCs w:val="18"/>
          <w:color w:val="auto"/>
        </w:rPr>
      </w:pPr>
    </w:p>
    <w:p>
      <w:pPr>
        <w:ind w:left="300" w:hanging="292"/>
        <w:spacing w:after="0"/>
        <w:tabs>
          <w:tab w:leader="none" w:pos="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maintenance of our credit rating and ability to receive open credit from our suppliers and trade counterparties;</w:t>
      </w:r>
    </w:p>
    <w:p>
      <w:pPr>
        <w:spacing w:after="0" w:line="225" w:lineRule="exact"/>
        <w:rPr>
          <w:rFonts w:ascii="Arial" w:cs="Arial" w:eastAsia="Arial" w:hAnsi="Arial"/>
          <w:sz w:val="18"/>
          <w:szCs w:val="18"/>
          <w:color w:val="auto"/>
        </w:rPr>
      </w:pPr>
    </w:p>
    <w:p>
      <w:pPr>
        <w:ind w:left="300" w:hanging="292"/>
        <w:spacing w:after="0"/>
        <w:tabs>
          <w:tab w:leader="none" w:pos="300" w:val="left"/>
        </w:tabs>
        <w:numPr>
          <w:ilvl w:val="0"/>
          <w:numId w:val="14"/>
        </w:numPr>
        <w:rPr>
          <w:rFonts w:ascii="Arial" w:cs="Arial" w:eastAsia="Arial" w:hAnsi="Arial"/>
          <w:sz w:val="16"/>
          <w:szCs w:val="16"/>
          <w:color w:val="auto"/>
        </w:rPr>
      </w:pPr>
      <w:r>
        <w:rPr>
          <w:rFonts w:ascii="Arial" w:cs="Arial" w:eastAsia="Arial" w:hAnsi="Arial"/>
          <w:sz w:val="16"/>
          <w:szCs w:val="16"/>
          <w:color w:val="auto"/>
        </w:rPr>
        <w:t>continued creditworthiness of, and performance by, our counterparties, including financial institutions and trading companies with which we do business;</w:t>
      </w:r>
    </w:p>
    <w:p>
      <w:pPr>
        <w:spacing w:after="0" w:line="248" w:lineRule="exact"/>
        <w:rPr>
          <w:rFonts w:ascii="Arial" w:cs="Arial" w:eastAsia="Arial" w:hAnsi="Arial"/>
          <w:sz w:val="16"/>
          <w:szCs w:val="16"/>
          <w:color w:val="auto"/>
        </w:rPr>
      </w:pPr>
    </w:p>
    <w:p>
      <w:pPr>
        <w:ind w:left="300" w:hanging="292"/>
        <w:spacing w:after="0"/>
        <w:tabs>
          <w:tab w:leader="none" w:pos="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currency exchange rate of the Canadian dollar;</w:t>
      </w:r>
    </w:p>
    <w:p>
      <w:pPr>
        <w:spacing w:after="0" w:line="225" w:lineRule="exact"/>
        <w:rPr>
          <w:rFonts w:ascii="Arial" w:cs="Arial" w:eastAsia="Arial" w:hAnsi="Arial"/>
          <w:sz w:val="18"/>
          <w:szCs w:val="18"/>
          <w:color w:val="auto"/>
        </w:rPr>
      </w:pPr>
    </w:p>
    <w:p>
      <w:pPr>
        <w:ind w:left="300" w:hanging="292"/>
        <w:spacing w:after="0"/>
        <w:tabs>
          <w:tab w:leader="none" w:pos="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availability of, and our ability to consummate, acquisition or combination opportunities;</w:t>
      </w:r>
    </w:p>
    <w:p>
      <w:pPr>
        <w:sectPr>
          <w:pgSz w:w="11900" w:h="16874" w:orient="portrait"/>
          <w:cols w:equalWidth="0" w:num="1">
            <w:col w:w="11460"/>
          </w:cols>
          <w:pgMar w:left="240" w:top="125" w:right="199" w:bottom="0" w:gutter="0" w:footer="0" w:header="0"/>
        </w:sectPr>
      </w:pPr>
    </w:p>
    <w:bookmarkStart w:id="6" w:name="page7"/>
    <w:bookmarkEnd w:id="6"/>
    <w:p>
      <w:pPr>
        <w:ind w:left="340" w:right="440" w:hanging="332"/>
        <w:spacing w:after="0" w:line="277" w:lineRule="auto"/>
        <w:tabs>
          <w:tab w:leader="none" w:pos="304"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successful integration and future performance of acquired assets or businesses and the risks associated with operating in lines of business that are distinct and separate from our historical operations;</w:t>
      </w:r>
    </w:p>
    <w:p>
      <w:pPr>
        <w:spacing w:after="0" w:line="170" w:lineRule="exact"/>
        <w:rPr>
          <w:rFonts w:ascii="Arial" w:cs="Arial" w:eastAsia="Arial" w:hAnsi="Arial"/>
          <w:sz w:val="18"/>
          <w:szCs w:val="18"/>
          <w:color w:val="auto"/>
        </w:rPr>
      </w:pPr>
    </w:p>
    <w:p>
      <w:pPr>
        <w:ind w:left="300" w:hanging="292"/>
        <w:spacing w:after="0"/>
        <w:tabs>
          <w:tab w:leader="none" w:pos="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shortages or cost increases of supplies, materials or labor;</w:t>
      </w:r>
    </w:p>
    <w:p>
      <w:pPr>
        <w:spacing w:after="0" w:line="225" w:lineRule="exact"/>
        <w:rPr>
          <w:rFonts w:ascii="Arial" w:cs="Arial" w:eastAsia="Arial" w:hAnsi="Arial"/>
          <w:sz w:val="18"/>
          <w:szCs w:val="18"/>
          <w:color w:val="auto"/>
        </w:rPr>
      </w:pPr>
    </w:p>
    <w:p>
      <w:pPr>
        <w:ind w:left="300" w:hanging="292"/>
        <w:spacing w:after="0"/>
        <w:tabs>
          <w:tab w:leader="none" w:pos="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effectiveness of our risk management activities;</w:t>
      </w:r>
    </w:p>
    <w:p>
      <w:pPr>
        <w:spacing w:after="0" w:line="225" w:lineRule="exact"/>
        <w:rPr>
          <w:rFonts w:ascii="Arial" w:cs="Arial" w:eastAsia="Arial" w:hAnsi="Arial"/>
          <w:sz w:val="18"/>
          <w:szCs w:val="18"/>
          <w:color w:val="auto"/>
        </w:rPr>
      </w:pPr>
    </w:p>
    <w:p>
      <w:pPr>
        <w:ind w:left="340" w:right="260" w:hanging="332"/>
        <w:spacing w:after="0" w:line="277" w:lineRule="auto"/>
        <w:tabs>
          <w:tab w:leader="none" w:pos="304"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ability to obtain debt or equity financing on satisfactory terms to fund additional acquisitions, expansion projects, working capital requirements and the repayment or refinancing of indebtedness;</w:t>
      </w:r>
    </w:p>
    <w:p>
      <w:pPr>
        <w:spacing w:after="0" w:line="170" w:lineRule="exact"/>
        <w:rPr>
          <w:rFonts w:ascii="Arial" w:cs="Arial" w:eastAsia="Arial" w:hAnsi="Arial"/>
          <w:sz w:val="18"/>
          <w:szCs w:val="18"/>
          <w:color w:val="auto"/>
        </w:rPr>
      </w:pPr>
    </w:p>
    <w:p>
      <w:pPr>
        <w:ind w:left="300" w:hanging="292"/>
        <w:spacing w:after="0"/>
        <w:tabs>
          <w:tab w:leader="none" w:pos="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impact of current and future laws, rulings, governmental regulations, accounting standards and statements, and related interpretations;</w:t>
      </w:r>
    </w:p>
    <w:p>
      <w:pPr>
        <w:spacing w:after="0" w:line="225" w:lineRule="exact"/>
        <w:rPr>
          <w:rFonts w:ascii="Arial" w:cs="Arial" w:eastAsia="Arial" w:hAnsi="Arial"/>
          <w:sz w:val="18"/>
          <w:szCs w:val="18"/>
          <w:color w:val="auto"/>
        </w:rPr>
      </w:pPr>
    </w:p>
    <w:p>
      <w:pPr>
        <w:ind w:left="300" w:hanging="292"/>
        <w:spacing w:after="0"/>
        <w:tabs>
          <w:tab w:leader="none" w:pos="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non-utilization of our assets and facilities;</w:t>
      </w:r>
    </w:p>
    <w:p>
      <w:pPr>
        <w:spacing w:after="0" w:line="225" w:lineRule="exact"/>
        <w:rPr>
          <w:rFonts w:ascii="Arial" w:cs="Arial" w:eastAsia="Arial" w:hAnsi="Arial"/>
          <w:sz w:val="18"/>
          <w:szCs w:val="18"/>
          <w:color w:val="auto"/>
        </w:rPr>
      </w:pPr>
    </w:p>
    <w:p>
      <w:pPr>
        <w:ind w:left="300" w:hanging="292"/>
        <w:spacing w:after="0"/>
        <w:tabs>
          <w:tab w:leader="none" w:pos="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effects of competition;</w:t>
      </w:r>
    </w:p>
    <w:p>
      <w:pPr>
        <w:spacing w:after="0" w:line="225" w:lineRule="exact"/>
        <w:rPr>
          <w:rFonts w:ascii="Arial" w:cs="Arial" w:eastAsia="Arial" w:hAnsi="Arial"/>
          <w:sz w:val="18"/>
          <w:szCs w:val="18"/>
          <w:color w:val="auto"/>
        </w:rPr>
      </w:pPr>
    </w:p>
    <w:p>
      <w:pPr>
        <w:ind w:left="300" w:hanging="292"/>
        <w:spacing w:after="0"/>
        <w:tabs>
          <w:tab w:leader="none" w:pos="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increased costs or lack of availability of insurance;</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300" w:hanging="292"/>
        <w:spacing w:after="0"/>
        <w:tabs>
          <w:tab w:leader="none" w:pos="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fluctuations in the debt and equity markets, including the price of our units at the time of vesting under our long-term incentive plans;</w:t>
      </w:r>
    </w:p>
    <w:p>
      <w:pPr>
        <w:spacing w:after="0" w:line="225" w:lineRule="exact"/>
        <w:rPr>
          <w:rFonts w:ascii="Arial" w:cs="Arial" w:eastAsia="Arial" w:hAnsi="Arial"/>
          <w:sz w:val="18"/>
          <w:szCs w:val="18"/>
          <w:color w:val="auto"/>
        </w:rPr>
      </w:pPr>
    </w:p>
    <w:p>
      <w:pPr>
        <w:ind w:left="340" w:right="760" w:hanging="332"/>
        <w:spacing w:after="0" w:line="277" w:lineRule="auto"/>
        <w:tabs>
          <w:tab w:leader="none" w:pos="304" w:val="left"/>
        </w:tabs>
        <w:numPr>
          <w:ilvl w:val="0"/>
          <w:numId w:val="16"/>
        </w:numPr>
        <w:rPr>
          <w:rFonts w:ascii="Arial" w:cs="Arial" w:eastAsia="Arial" w:hAnsi="Arial"/>
          <w:sz w:val="18"/>
          <w:szCs w:val="18"/>
          <w:color w:val="auto"/>
        </w:rPr>
      </w:pPr>
      <w:r>
        <w:rPr>
          <w:rFonts w:ascii="Arial" w:cs="Arial" w:eastAsia="Arial" w:hAnsi="Arial"/>
          <w:sz w:val="18"/>
          <w:szCs w:val="18"/>
          <w:color w:val="auto"/>
        </w:rPr>
        <w:t>risks related to the development and operation of our facilities, including our ability to satisfy our contractual obligations to our customers at our facilities;</w:t>
      </w:r>
    </w:p>
    <w:p>
      <w:pPr>
        <w:spacing w:after="0" w:line="170" w:lineRule="exact"/>
        <w:rPr>
          <w:rFonts w:ascii="Arial" w:cs="Arial" w:eastAsia="Arial" w:hAnsi="Arial"/>
          <w:sz w:val="18"/>
          <w:szCs w:val="18"/>
          <w:color w:val="auto"/>
        </w:rPr>
      </w:pPr>
    </w:p>
    <w:p>
      <w:pPr>
        <w:ind w:left="300" w:hanging="292"/>
        <w:spacing w:after="0"/>
        <w:tabs>
          <w:tab w:leader="none" w:pos="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factors affecting demand for natural gas and natural gas storage services and rates;</w:t>
      </w:r>
    </w:p>
    <w:p>
      <w:pPr>
        <w:spacing w:after="0" w:line="225" w:lineRule="exact"/>
        <w:rPr>
          <w:rFonts w:ascii="Arial" w:cs="Arial" w:eastAsia="Arial" w:hAnsi="Arial"/>
          <w:sz w:val="18"/>
          <w:szCs w:val="18"/>
          <w:color w:val="auto"/>
        </w:rPr>
      </w:pPr>
    </w:p>
    <w:p>
      <w:pPr>
        <w:ind w:left="340" w:right="760" w:hanging="332"/>
        <w:spacing w:after="0" w:line="277" w:lineRule="auto"/>
        <w:tabs>
          <w:tab w:leader="none" w:pos="304" w:val="left"/>
        </w:tabs>
        <w:numPr>
          <w:ilvl w:val="0"/>
          <w:numId w:val="16"/>
        </w:numPr>
        <w:rPr>
          <w:rFonts w:ascii="Arial" w:cs="Arial" w:eastAsia="Arial" w:hAnsi="Arial"/>
          <w:sz w:val="18"/>
          <w:szCs w:val="18"/>
          <w:color w:val="auto"/>
        </w:rPr>
      </w:pPr>
      <w:r>
        <w:rPr>
          <w:rFonts w:ascii="Arial" w:cs="Arial" w:eastAsia="Arial" w:hAnsi="Arial"/>
          <w:sz w:val="18"/>
          <w:szCs w:val="18"/>
          <w:color w:val="auto"/>
        </w:rPr>
        <w:t>general economic, market or business conditions and the amplification of other risks caused by volatile financial markets, capital constraints and pervasive liquidity concerns; and</w:t>
      </w:r>
    </w:p>
    <w:p>
      <w:pPr>
        <w:spacing w:after="0" w:line="170" w:lineRule="exact"/>
        <w:rPr>
          <w:rFonts w:ascii="Arial" w:cs="Arial" w:eastAsia="Arial" w:hAnsi="Arial"/>
          <w:sz w:val="18"/>
          <w:szCs w:val="18"/>
          <w:color w:val="auto"/>
        </w:rPr>
      </w:pPr>
    </w:p>
    <w:p>
      <w:pPr>
        <w:ind w:left="340" w:right="560" w:hanging="332"/>
        <w:spacing w:after="0" w:line="277" w:lineRule="auto"/>
        <w:tabs>
          <w:tab w:leader="none" w:pos="304" w:val="left"/>
        </w:tabs>
        <w:numPr>
          <w:ilvl w:val="0"/>
          <w:numId w:val="16"/>
        </w:numPr>
        <w:rPr>
          <w:rFonts w:ascii="Arial" w:cs="Arial" w:eastAsia="Arial" w:hAnsi="Arial"/>
          <w:sz w:val="18"/>
          <w:szCs w:val="18"/>
          <w:color w:val="auto"/>
        </w:rPr>
      </w:pPr>
      <w:r>
        <w:rPr>
          <w:rFonts w:ascii="Arial" w:cs="Arial" w:eastAsia="Arial" w:hAnsi="Arial"/>
          <w:sz w:val="18"/>
          <w:szCs w:val="18"/>
          <w:color w:val="auto"/>
        </w:rPr>
        <w:t>other factors and uncertainties inherent in the transportation, storage, terminalling and marketing of crude oil and refined products, as well as in the storage of natural gas and the processing, transportation, fractionation, storage and marketing of natural gas liquids.</w:t>
      </w:r>
    </w:p>
    <w:p>
      <w:pPr>
        <w:spacing w:after="0" w:line="170"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We undertake no obligation to publicly update or revise any forward-looking statements. Further information on risks and uncertainties is available in our filings with the Securities and Exchange Commission, which information is incorporated by reference herein.</w:t>
      </w:r>
    </w:p>
    <w:p>
      <w:pPr>
        <w:spacing w:after="0" w:line="170"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880" w:firstLine="28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580" w:type="dxa"/>
            <w:vAlign w:val="bottom"/>
          </w:tcPr>
          <w:p>
            <w:pPr>
              <w:spacing w:after="0"/>
              <w:rPr>
                <w:sz w:val="20"/>
                <w:szCs w:val="20"/>
                <w:color w:val="auto"/>
              </w:rPr>
            </w:pPr>
          </w:p>
        </w:tc>
        <w:tc>
          <w:tcPr>
            <w:tcW w:w="7840" w:type="dxa"/>
            <w:vAlign w:val="bottom"/>
            <w:gridSpan w:val="2"/>
          </w:tcPr>
          <w:p>
            <w:pPr>
              <w:ind w:left="2140"/>
              <w:spacing w:after="0"/>
              <w:rPr>
                <w:sz w:val="20"/>
                <w:szCs w:val="20"/>
                <w:color w:val="auto"/>
              </w:rPr>
            </w:pPr>
            <w:r>
              <w:rPr>
                <w:rFonts w:ascii="Arial" w:cs="Arial" w:eastAsia="Arial" w:hAnsi="Arial"/>
                <w:sz w:val="18"/>
                <w:szCs w:val="18"/>
                <w:color w:val="auto"/>
              </w:rPr>
              <w:t>PLAINS ALL AMERICAN PIPELINE, L.P.</w:t>
            </w:r>
          </w:p>
        </w:tc>
        <w:tc>
          <w:tcPr>
            <w:tcW w:w="40" w:type="dxa"/>
            <w:vAlign w:val="bottom"/>
          </w:tcPr>
          <w:p>
            <w:pPr>
              <w:spacing w:after="0"/>
              <w:rPr>
                <w:sz w:val="20"/>
                <w:szCs w:val="20"/>
                <w:color w:val="auto"/>
              </w:rPr>
            </w:pPr>
          </w:p>
        </w:tc>
      </w:tr>
      <w:tr>
        <w:trPr>
          <w:trHeight w:val="432"/>
        </w:trPr>
        <w:tc>
          <w:tcPr>
            <w:tcW w:w="3580" w:type="dxa"/>
            <w:vAlign w:val="bottom"/>
          </w:tcPr>
          <w:p>
            <w:pPr>
              <w:spacing w:after="0"/>
              <w:rPr>
                <w:sz w:val="24"/>
                <w:szCs w:val="24"/>
                <w:color w:val="auto"/>
              </w:rPr>
            </w:pPr>
          </w:p>
        </w:tc>
        <w:tc>
          <w:tcPr>
            <w:tcW w:w="2680" w:type="dxa"/>
            <w:vAlign w:val="bottom"/>
          </w:tcPr>
          <w:p>
            <w:pPr>
              <w:ind w:left="2140"/>
              <w:spacing w:after="0"/>
              <w:rPr>
                <w:sz w:val="20"/>
                <w:szCs w:val="20"/>
                <w:color w:val="auto"/>
              </w:rPr>
            </w:pPr>
            <w:r>
              <w:rPr>
                <w:rFonts w:ascii="Arial" w:cs="Arial" w:eastAsia="Arial" w:hAnsi="Arial"/>
                <w:sz w:val="18"/>
                <w:szCs w:val="18"/>
                <w:color w:val="auto"/>
              </w:rPr>
              <w:t>By:</w:t>
            </w:r>
          </w:p>
        </w:tc>
        <w:tc>
          <w:tcPr>
            <w:tcW w:w="5160" w:type="dxa"/>
            <w:vAlign w:val="bottom"/>
          </w:tcPr>
          <w:p>
            <w:pPr>
              <w:spacing w:after="0"/>
              <w:rPr>
                <w:sz w:val="20"/>
                <w:szCs w:val="20"/>
                <w:color w:val="auto"/>
              </w:rPr>
            </w:pPr>
            <w:r>
              <w:rPr>
                <w:rFonts w:ascii="Arial" w:cs="Arial" w:eastAsia="Arial" w:hAnsi="Arial"/>
                <w:sz w:val="18"/>
                <w:szCs w:val="18"/>
                <w:color w:val="auto"/>
              </w:rPr>
              <w:t>PAA GP LLC, its general partner</w:t>
            </w:r>
          </w:p>
        </w:tc>
        <w:tc>
          <w:tcPr>
            <w:tcW w:w="40" w:type="dxa"/>
            <w:vAlign w:val="bottom"/>
          </w:tcPr>
          <w:p>
            <w:pPr>
              <w:spacing w:after="0"/>
              <w:rPr>
                <w:sz w:val="24"/>
                <w:szCs w:val="24"/>
                <w:color w:val="auto"/>
              </w:rPr>
            </w:pPr>
          </w:p>
        </w:tc>
      </w:tr>
      <w:tr>
        <w:trPr>
          <w:trHeight w:val="432"/>
        </w:trPr>
        <w:tc>
          <w:tcPr>
            <w:tcW w:w="3580" w:type="dxa"/>
            <w:vAlign w:val="bottom"/>
          </w:tcPr>
          <w:p>
            <w:pPr>
              <w:spacing w:after="0"/>
              <w:rPr>
                <w:sz w:val="24"/>
                <w:szCs w:val="24"/>
                <w:color w:val="auto"/>
              </w:rPr>
            </w:pPr>
          </w:p>
        </w:tc>
        <w:tc>
          <w:tcPr>
            <w:tcW w:w="2680" w:type="dxa"/>
            <w:vAlign w:val="bottom"/>
          </w:tcPr>
          <w:p>
            <w:pPr>
              <w:ind w:left="2140"/>
              <w:spacing w:after="0"/>
              <w:rPr>
                <w:sz w:val="20"/>
                <w:szCs w:val="20"/>
                <w:color w:val="auto"/>
              </w:rPr>
            </w:pPr>
            <w:r>
              <w:rPr>
                <w:rFonts w:ascii="Arial" w:cs="Arial" w:eastAsia="Arial" w:hAnsi="Arial"/>
                <w:sz w:val="18"/>
                <w:szCs w:val="18"/>
                <w:color w:val="auto"/>
              </w:rPr>
              <w:t>By:</w:t>
            </w:r>
          </w:p>
        </w:tc>
        <w:tc>
          <w:tcPr>
            <w:tcW w:w="5160" w:type="dxa"/>
            <w:vAlign w:val="bottom"/>
          </w:tcPr>
          <w:p>
            <w:pPr>
              <w:spacing w:after="0"/>
              <w:rPr>
                <w:sz w:val="20"/>
                <w:szCs w:val="20"/>
                <w:color w:val="auto"/>
              </w:rPr>
            </w:pPr>
            <w:r>
              <w:rPr>
                <w:rFonts w:ascii="Arial" w:cs="Arial" w:eastAsia="Arial" w:hAnsi="Arial"/>
                <w:sz w:val="18"/>
                <w:szCs w:val="18"/>
                <w:color w:val="auto"/>
              </w:rPr>
              <w:t>PLAINS AAP, L. P., its sole member</w:t>
            </w:r>
          </w:p>
        </w:tc>
        <w:tc>
          <w:tcPr>
            <w:tcW w:w="40" w:type="dxa"/>
            <w:vAlign w:val="bottom"/>
          </w:tcPr>
          <w:p>
            <w:pPr>
              <w:spacing w:after="0"/>
              <w:rPr>
                <w:sz w:val="24"/>
                <w:szCs w:val="24"/>
                <w:color w:val="auto"/>
              </w:rPr>
            </w:pPr>
          </w:p>
        </w:tc>
      </w:tr>
      <w:tr>
        <w:trPr>
          <w:trHeight w:val="432"/>
        </w:trPr>
        <w:tc>
          <w:tcPr>
            <w:tcW w:w="3580" w:type="dxa"/>
            <w:vAlign w:val="bottom"/>
          </w:tcPr>
          <w:p>
            <w:pPr>
              <w:spacing w:after="0"/>
              <w:rPr>
                <w:sz w:val="24"/>
                <w:szCs w:val="24"/>
                <w:color w:val="auto"/>
              </w:rPr>
            </w:pPr>
          </w:p>
        </w:tc>
        <w:tc>
          <w:tcPr>
            <w:tcW w:w="2680" w:type="dxa"/>
            <w:vAlign w:val="bottom"/>
          </w:tcPr>
          <w:p>
            <w:pPr>
              <w:ind w:left="2140"/>
              <w:spacing w:after="0"/>
              <w:rPr>
                <w:sz w:val="20"/>
                <w:szCs w:val="20"/>
                <w:color w:val="auto"/>
              </w:rPr>
            </w:pPr>
            <w:r>
              <w:rPr>
                <w:rFonts w:ascii="Arial" w:cs="Arial" w:eastAsia="Arial" w:hAnsi="Arial"/>
                <w:sz w:val="18"/>
                <w:szCs w:val="18"/>
                <w:color w:val="auto"/>
              </w:rPr>
              <w:t>By:</w:t>
            </w:r>
          </w:p>
        </w:tc>
        <w:tc>
          <w:tcPr>
            <w:tcW w:w="5160" w:type="dxa"/>
            <w:vAlign w:val="bottom"/>
          </w:tcPr>
          <w:p>
            <w:pPr>
              <w:spacing w:after="0"/>
              <w:rPr>
                <w:sz w:val="20"/>
                <w:szCs w:val="20"/>
                <w:color w:val="auto"/>
              </w:rPr>
            </w:pPr>
            <w:r>
              <w:rPr>
                <w:rFonts w:ascii="Arial" w:cs="Arial" w:eastAsia="Arial" w:hAnsi="Arial"/>
                <w:sz w:val="18"/>
                <w:szCs w:val="18"/>
                <w:color w:val="auto"/>
              </w:rPr>
              <w:t>PLAINS ALL AMERICAN GP LLC, its general partner</w:t>
            </w:r>
          </w:p>
        </w:tc>
        <w:tc>
          <w:tcPr>
            <w:tcW w:w="40" w:type="dxa"/>
            <w:vAlign w:val="bottom"/>
          </w:tcPr>
          <w:p>
            <w:pPr>
              <w:spacing w:after="0"/>
              <w:rPr>
                <w:sz w:val="24"/>
                <w:szCs w:val="24"/>
                <w:color w:val="auto"/>
              </w:rPr>
            </w:pPr>
          </w:p>
        </w:tc>
      </w:tr>
      <w:tr>
        <w:trPr>
          <w:trHeight w:val="432"/>
        </w:trPr>
        <w:tc>
          <w:tcPr>
            <w:tcW w:w="3580" w:type="dxa"/>
            <w:vAlign w:val="bottom"/>
          </w:tcPr>
          <w:p>
            <w:pPr>
              <w:spacing w:after="0"/>
              <w:rPr>
                <w:sz w:val="20"/>
                <w:szCs w:val="20"/>
                <w:color w:val="auto"/>
              </w:rPr>
            </w:pPr>
            <w:r>
              <w:rPr>
                <w:rFonts w:ascii="Arial" w:cs="Arial" w:eastAsia="Arial" w:hAnsi="Arial"/>
                <w:sz w:val="18"/>
                <w:szCs w:val="18"/>
                <w:color w:val="auto"/>
              </w:rPr>
              <w:t>Date: August 6, 2014</w:t>
            </w:r>
          </w:p>
        </w:tc>
        <w:tc>
          <w:tcPr>
            <w:tcW w:w="2680" w:type="dxa"/>
            <w:vAlign w:val="bottom"/>
          </w:tcPr>
          <w:p>
            <w:pPr>
              <w:ind w:left="2140"/>
              <w:spacing w:after="0"/>
              <w:rPr>
                <w:sz w:val="20"/>
                <w:szCs w:val="20"/>
                <w:color w:val="auto"/>
              </w:rPr>
            </w:pPr>
            <w:r>
              <w:rPr>
                <w:rFonts w:ascii="Arial" w:cs="Arial" w:eastAsia="Arial" w:hAnsi="Arial"/>
                <w:sz w:val="18"/>
                <w:szCs w:val="18"/>
                <w:color w:val="auto"/>
              </w:rPr>
              <w:t>By:</w:t>
            </w:r>
          </w:p>
        </w:tc>
        <w:tc>
          <w:tcPr>
            <w:tcW w:w="5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Charles Kingswell-Smith</w:t>
            </w:r>
          </w:p>
        </w:tc>
        <w:tc>
          <w:tcPr>
            <w:tcW w:w="40" w:type="dxa"/>
            <w:vAlign w:val="bottom"/>
          </w:tcPr>
          <w:p>
            <w:pPr>
              <w:spacing w:after="0"/>
              <w:rPr>
                <w:sz w:val="24"/>
                <w:szCs w:val="24"/>
                <w:color w:val="auto"/>
              </w:rPr>
            </w:pPr>
          </w:p>
        </w:tc>
      </w:tr>
      <w:tr>
        <w:trPr>
          <w:trHeight w:val="195"/>
        </w:trPr>
        <w:tc>
          <w:tcPr>
            <w:tcW w:w="3580" w:type="dxa"/>
            <w:vAlign w:val="bottom"/>
          </w:tcPr>
          <w:p>
            <w:pPr>
              <w:spacing w:after="0"/>
              <w:rPr>
                <w:sz w:val="16"/>
                <w:szCs w:val="16"/>
                <w:color w:val="auto"/>
              </w:rPr>
            </w:pPr>
          </w:p>
        </w:tc>
        <w:tc>
          <w:tcPr>
            <w:tcW w:w="2680" w:type="dxa"/>
            <w:vAlign w:val="bottom"/>
          </w:tcPr>
          <w:p>
            <w:pPr>
              <w:spacing w:after="0"/>
              <w:rPr>
                <w:sz w:val="16"/>
                <w:szCs w:val="16"/>
                <w:color w:val="auto"/>
              </w:rPr>
            </w:pPr>
          </w:p>
        </w:tc>
        <w:tc>
          <w:tcPr>
            <w:tcW w:w="5160" w:type="dxa"/>
            <w:vAlign w:val="bottom"/>
          </w:tcPr>
          <w:p>
            <w:pPr>
              <w:spacing w:after="0" w:line="195" w:lineRule="exact"/>
              <w:rPr>
                <w:sz w:val="20"/>
                <w:szCs w:val="20"/>
                <w:color w:val="auto"/>
              </w:rPr>
            </w:pPr>
            <w:r>
              <w:rPr>
                <w:rFonts w:ascii="Arial" w:cs="Arial" w:eastAsia="Arial" w:hAnsi="Arial"/>
                <w:sz w:val="18"/>
                <w:szCs w:val="18"/>
                <w:color w:val="auto"/>
              </w:rPr>
              <w:t>Name: Charles Kingswell-Smith</w:t>
            </w:r>
          </w:p>
        </w:tc>
        <w:tc>
          <w:tcPr>
            <w:tcW w:w="40" w:type="dxa"/>
            <w:vAlign w:val="bottom"/>
          </w:tcPr>
          <w:p>
            <w:pPr>
              <w:spacing w:after="0"/>
              <w:rPr>
                <w:sz w:val="16"/>
                <w:szCs w:val="16"/>
                <w:color w:val="auto"/>
              </w:rPr>
            </w:pPr>
          </w:p>
        </w:tc>
      </w:tr>
      <w:tr>
        <w:trPr>
          <w:trHeight w:val="230"/>
        </w:trPr>
        <w:tc>
          <w:tcPr>
            <w:tcW w:w="3580" w:type="dxa"/>
            <w:vAlign w:val="bottom"/>
          </w:tcPr>
          <w:p>
            <w:pPr>
              <w:spacing w:after="0"/>
              <w:rPr>
                <w:sz w:val="20"/>
                <w:szCs w:val="20"/>
                <w:color w:val="auto"/>
              </w:rPr>
            </w:pPr>
          </w:p>
        </w:tc>
        <w:tc>
          <w:tcPr>
            <w:tcW w:w="2680" w:type="dxa"/>
            <w:vAlign w:val="bottom"/>
          </w:tcPr>
          <w:p>
            <w:pPr>
              <w:spacing w:after="0"/>
              <w:rPr>
                <w:sz w:val="20"/>
                <w:szCs w:val="20"/>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 xml:space="preserve">Title:  </w:t>
            </w:r>
            <w:r>
              <w:rPr>
                <w:rFonts w:ascii="Arial" w:cs="Arial" w:eastAsia="Arial" w:hAnsi="Arial"/>
                <w:sz w:val="18"/>
                <w:szCs w:val="18"/>
                <w:i w:val="1"/>
                <w:iCs w:val="1"/>
                <w:color w:val="auto"/>
              </w:rPr>
              <w:t>Vice President and Treasurer</w:t>
            </w:r>
          </w:p>
        </w:tc>
        <w:tc>
          <w:tcPr>
            <w:tcW w:w="40" w:type="dxa"/>
            <w:vAlign w:val="bottom"/>
          </w:tcPr>
          <w:p>
            <w:pPr>
              <w:spacing w:after="0"/>
              <w:rPr>
                <w:sz w:val="20"/>
                <w:szCs w:val="20"/>
                <w:color w:val="auto"/>
              </w:rPr>
            </w:pPr>
          </w:p>
        </w:tc>
      </w:tr>
      <w:tr>
        <w:trPr>
          <w:trHeight w:val="432"/>
        </w:trPr>
        <w:tc>
          <w:tcPr>
            <w:tcW w:w="3580" w:type="dxa"/>
            <w:vAlign w:val="bottom"/>
          </w:tcPr>
          <w:p>
            <w:pPr>
              <w:spacing w:after="0"/>
              <w:rPr>
                <w:sz w:val="24"/>
                <w:szCs w:val="24"/>
                <w:color w:val="auto"/>
              </w:rPr>
            </w:pPr>
          </w:p>
        </w:tc>
        <w:tc>
          <w:tcPr>
            <w:tcW w:w="2680" w:type="dxa"/>
            <w:vAlign w:val="bottom"/>
          </w:tcPr>
          <w:p>
            <w:pPr>
              <w:ind w:left="2040"/>
              <w:spacing w:after="0"/>
              <w:rPr>
                <w:sz w:val="20"/>
                <w:szCs w:val="20"/>
                <w:color w:val="auto"/>
              </w:rPr>
            </w:pPr>
            <w:r>
              <w:rPr>
                <w:rFonts w:ascii="Arial" w:cs="Arial" w:eastAsia="Arial" w:hAnsi="Arial"/>
                <w:sz w:val="18"/>
                <w:szCs w:val="18"/>
                <w:color w:val="auto"/>
              </w:rPr>
              <w:t>12</w:t>
            </w:r>
          </w:p>
        </w:tc>
        <w:tc>
          <w:tcPr>
            <w:tcW w:w="516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3580" w:type="dxa"/>
            <w:vAlign w:val="bottom"/>
            <w:tcBorders>
              <w:bottom w:val="single" w:sz="8" w:color="010101"/>
            </w:tcBorders>
          </w:tcPr>
          <w:p>
            <w:pPr>
              <w:spacing w:after="0"/>
              <w:rPr>
                <w:sz w:val="11"/>
                <w:szCs w:val="11"/>
                <w:color w:val="auto"/>
              </w:rPr>
            </w:pPr>
          </w:p>
        </w:tc>
        <w:tc>
          <w:tcPr>
            <w:tcW w:w="2680" w:type="dxa"/>
            <w:vAlign w:val="bottom"/>
            <w:tcBorders>
              <w:bottom w:val="single" w:sz="8" w:color="010101"/>
            </w:tcBorders>
          </w:tcPr>
          <w:p>
            <w:pPr>
              <w:spacing w:after="0"/>
              <w:rPr>
                <w:sz w:val="11"/>
                <w:szCs w:val="11"/>
                <w:color w:val="auto"/>
              </w:rPr>
            </w:pPr>
          </w:p>
        </w:tc>
        <w:tc>
          <w:tcPr>
            <w:tcW w:w="516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41" w:right="199" w:bottom="1440" w:gutter="0" w:footer="0" w:header="0"/>
        </w:sectPr>
      </w:pPr>
    </w:p>
    <w:bookmarkStart w:id="7" w:name="page8"/>
    <w:bookmarkEnd w:id="7"/>
    <w:p>
      <w:pPr>
        <w:spacing w:after="0" w:line="62"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154940</wp:posOffset>
            </wp:positionV>
            <wp:extent cx="7246620" cy="61722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6172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FOR IMMEDIATE RELEASE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Plains All American Pipeline, L.P. and Plains GP Holdings Report Second-Quarter 2014 Results</w:t>
      </w:r>
    </w:p>
    <w:p>
      <w:pPr>
        <w:spacing w:after="0" w:line="229" w:lineRule="exact"/>
        <w:rPr>
          <w:sz w:val="20"/>
          <w:szCs w:val="20"/>
          <w:color w:val="auto"/>
        </w:rPr>
      </w:pPr>
    </w:p>
    <w:p>
      <w:pPr>
        <w:jc w:val="both"/>
        <w:ind w:right="380" w:firstLine="702"/>
        <w:spacing w:after="0" w:line="264" w:lineRule="auto"/>
        <w:rPr>
          <w:sz w:val="20"/>
          <w:szCs w:val="20"/>
          <w:color w:val="auto"/>
        </w:rPr>
      </w:pPr>
      <w:r>
        <w:rPr>
          <w:rFonts w:ascii="Arial" w:cs="Arial" w:eastAsia="Arial" w:hAnsi="Arial"/>
          <w:sz w:val="18"/>
          <w:szCs w:val="18"/>
          <w:color w:val="auto"/>
        </w:rPr>
        <w:t>(Houston — August 6, 2014) Plains All American Pipeline, L.P. (NYSE: PAA) and Plains GP Holdings (NYSE: PAGP) today reported second-quarter 2014 results, with PAA’s results exceeding the midpoint of its quarterly guidance range by 13%. PAA’s second-quarter 2014 results exceeded the midpoint of quarterly guidance in all three of PAA’s segments.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Plains All American Pipeline, L.P.</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Summary Financial Information</w:t>
      </w:r>
      <w:r>
        <w:rPr>
          <w:rFonts w:ascii="Arial" w:cs="Arial" w:eastAsia="Arial" w:hAnsi="Arial"/>
          <w:sz w:val="18"/>
          <w:szCs w:val="18"/>
          <w:b w:val="1"/>
          <w:bCs w:val="1"/>
          <w:color w:val="auto"/>
        </w:rPr>
        <w:t xml:space="preserve"> </w:t>
      </w:r>
      <w:r>
        <w:rPr>
          <w:rFonts w:ascii="Arial" w:cs="Arial" w:eastAsia="Arial" w:hAnsi="Arial"/>
          <w:sz w:val="23"/>
          <w:szCs w:val="23"/>
          <w:b w:val="1"/>
          <w:bCs w:val="1"/>
          <w:color w:val="auto"/>
          <w:vertAlign w:val="superscript"/>
        </w:rPr>
        <w:t>(1)</w:t>
      </w:r>
    </w:p>
    <w:p>
      <w:pPr>
        <w:spacing w:after="0"/>
        <w:rPr>
          <w:sz w:val="20"/>
          <w:szCs w:val="20"/>
          <w:color w:val="auto"/>
        </w:rPr>
      </w:pPr>
      <w:r>
        <w:rPr>
          <w:rFonts w:ascii="Arial" w:cs="Arial" w:eastAsia="Arial" w:hAnsi="Arial"/>
          <w:sz w:val="18"/>
          <w:szCs w:val="18"/>
          <w:color w:val="auto"/>
        </w:rPr>
        <w:t>(in millions, except per unit data)</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0" w:type="dxa"/>
            <w:vAlign w:val="bottom"/>
            <w:gridSpan w:val="5"/>
          </w:tcPr>
          <w:p>
            <w:pPr>
              <w:ind w:left="200"/>
              <w:spacing w:after="0"/>
              <w:rPr>
                <w:sz w:val="20"/>
                <w:szCs w:val="20"/>
                <w:color w:val="auto"/>
              </w:rPr>
            </w:pPr>
            <w:r>
              <w:rPr>
                <w:rFonts w:ascii="Arial" w:cs="Arial" w:eastAsia="Arial" w:hAnsi="Arial"/>
                <w:sz w:val="14"/>
                <w:szCs w:val="14"/>
                <w:b w:val="1"/>
                <w:bCs w:val="1"/>
                <w:color w:val="auto"/>
              </w:rPr>
              <w:t>Three Months Ended</w:t>
            </w:r>
          </w:p>
        </w:tc>
        <w:tc>
          <w:tcPr>
            <w:tcW w:w="80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w:t>
            </w:r>
          </w:p>
        </w:tc>
        <w:tc>
          <w:tcPr>
            <w:tcW w:w="3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160" w:type="dxa"/>
            <w:vAlign w:val="bottom"/>
            <w:gridSpan w:val="6"/>
          </w:tcPr>
          <w:p>
            <w:pPr>
              <w:jc w:val="center"/>
              <w:ind w:right="500"/>
              <w:spacing w:after="0"/>
              <w:rPr>
                <w:sz w:val="20"/>
                <w:szCs w:val="20"/>
                <w:color w:val="auto"/>
              </w:rPr>
            </w:pPr>
            <w:r>
              <w:rPr>
                <w:rFonts w:ascii="Arial" w:cs="Arial" w:eastAsia="Arial" w:hAnsi="Arial"/>
                <w:sz w:val="14"/>
                <w:szCs w:val="14"/>
                <w:b w:val="1"/>
                <w:bCs w:val="1"/>
                <w:color w:val="auto"/>
                <w:w w:val="93"/>
              </w:rPr>
              <w:t>Six Months Ended</w:t>
            </w:r>
          </w:p>
        </w:tc>
        <w:tc>
          <w:tcPr>
            <w:tcW w:w="90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gridSpan w:val="3"/>
          </w:tcPr>
          <w:p>
            <w:pPr>
              <w:jc w:val="right"/>
              <w:ind w:right="25"/>
              <w:spacing w:after="0"/>
              <w:rPr>
                <w:sz w:val="20"/>
                <w:szCs w:val="20"/>
                <w:color w:val="auto"/>
              </w:rPr>
            </w:pPr>
            <w:r>
              <w:rPr>
                <w:rFonts w:ascii="Arial" w:cs="Arial" w:eastAsia="Arial" w:hAnsi="Arial"/>
                <w:sz w:val="14"/>
                <w:szCs w:val="14"/>
                <w:b w:val="1"/>
                <w:bCs w:val="1"/>
                <w:color w:val="auto"/>
              </w:rPr>
              <w:t>June 30,</w:t>
            </w:r>
          </w:p>
        </w:tc>
        <w:tc>
          <w:tcPr>
            <w:tcW w:w="70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38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gridSpan w:val="4"/>
          </w:tcPr>
          <w:p>
            <w:pPr>
              <w:jc w:val="center"/>
              <w:ind w:left="419"/>
              <w:spacing w:after="0"/>
              <w:rPr>
                <w:sz w:val="20"/>
                <w:szCs w:val="20"/>
                <w:color w:val="auto"/>
              </w:rPr>
            </w:pPr>
            <w:r>
              <w:rPr>
                <w:rFonts w:ascii="Arial" w:cs="Arial" w:eastAsia="Arial" w:hAnsi="Arial"/>
                <w:sz w:val="14"/>
                <w:szCs w:val="14"/>
                <w:b w:val="1"/>
                <w:bCs w:val="1"/>
                <w:color w:val="auto"/>
                <w:w w:val="92"/>
              </w:rPr>
              <w:t>June 30,</w:t>
            </w:r>
          </w:p>
        </w:tc>
        <w:tc>
          <w:tcPr>
            <w:tcW w:w="68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90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240" w:type="dxa"/>
            <w:vAlign w:val="bottom"/>
            <w:tcBorders>
              <w:bottom w:val="single" w:sz="8" w:color="CCEEFF"/>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238"/>
              <w:spacing w:after="0" w:line="142" w:lineRule="exact"/>
              <w:rPr>
                <w:sz w:val="20"/>
                <w:szCs w:val="20"/>
                <w:color w:val="auto"/>
              </w:rPr>
            </w:pPr>
            <w:r>
              <w:rPr>
                <w:rFonts w:ascii="Arial" w:cs="Arial" w:eastAsia="Arial" w:hAnsi="Arial"/>
                <w:sz w:val="14"/>
                <w:szCs w:val="14"/>
                <w:b w:val="1"/>
                <w:bCs w:val="1"/>
                <w:color w:val="auto"/>
              </w:rPr>
              <w:t>2014</w:t>
            </w:r>
          </w:p>
        </w:tc>
        <w:tc>
          <w:tcPr>
            <w:tcW w:w="30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234"/>
              <w:spacing w:after="0" w:line="142" w:lineRule="exact"/>
              <w:rPr>
                <w:sz w:val="20"/>
                <w:szCs w:val="20"/>
                <w:color w:val="auto"/>
              </w:rPr>
            </w:pPr>
            <w:r>
              <w:rPr>
                <w:rFonts w:ascii="Arial" w:cs="Arial" w:eastAsia="Arial" w:hAnsi="Arial"/>
                <w:sz w:val="14"/>
                <w:szCs w:val="14"/>
                <w:b w:val="1"/>
                <w:bCs w:val="1"/>
                <w:color w:val="auto"/>
              </w:rPr>
              <w:t>2013</w:t>
            </w:r>
          </w:p>
        </w:tc>
        <w:tc>
          <w:tcPr>
            <w:tcW w:w="280" w:type="dxa"/>
            <w:vAlign w:val="bottom"/>
            <w:tcBorders>
              <w:bottom w:val="single" w:sz="8" w:color="CCEEFF"/>
            </w:tcBorders>
          </w:tcPr>
          <w:p>
            <w:pPr>
              <w:spacing w:after="0"/>
              <w:rPr>
                <w:sz w:val="12"/>
                <w:szCs w:val="12"/>
                <w:color w:val="auto"/>
              </w:rPr>
            </w:pPr>
          </w:p>
        </w:tc>
        <w:tc>
          <w:tcPr>
            <w:tcW w:w="80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3"/>
              </w:rPr>
              <w:t>Change</w:t>
            </w:r>
          </w:p>
        </w:tc>
        <w:tc>
          <w:tcPr>
            <w:tcW w:w="38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219"/>
              <w:spacing w:after="0" w:line="142" w:lineRule="exact"/>
              <w:rPr>
                <w:sz w:val="20"/>
                <w:szCs w:val="20"/>
                <w:color w:val="auto"/>
              </w:rPr>
            </w:pPr>
            <w:r>
              <w:rPr>
                <w:rFonts w:ascii="Arial" w:cs="Arial" w:eastAsia="Arial" w:hAnsi="Arial"/>
                <w:sz w:val="14"/>
                <w:szCs w:val="14"/>
                <w:b w:val="1"/>
                <w:bCs w:val="1"/>
                <w:color w:val="auto"/>
              </w:rPr>
              <w:t>2014</w:t>
            </w:r>
          </w:p>
        </w:tc>
        <w:tc>
          <w:tcPr>
            <w:tcW w:w="140" w:type="dxa"/>
            <w:vAlign w:val="bottom"/>
            <w:tcBorders>
              <w:bottom w:val="single" w:sz="8" w:color="CCEEFF"/>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214"/>
              <w:spacing w:after="0" w:line="142" w:lineRule="exact"/>
              <w:rPr>
                <w:sz w:val="20"/>
                <w:szCs w:val="20"/>
                <w:color w:val="auto"/>
              </w:rPr>
            </w:pPr>
            <w:r>
              <w:rPr>
                <w:rFonts w:ascii="Arial" w:cs="Arial" w:eastAsia="Arial" w:hAnsi="Arial"/>
                <w:sz w:val="14"/>
                <w:szCs w:val="14"/>
                <w:b w:val="1"/>
                <w:bCs w:val="1"/>
                <w:color w:val="auto"/>
              </w:rPr>
              <w:t>2013</w:t>
            </w:r>
          </w:p>
        </w:tc>
        <w:tc>
          <w:tcPr>
            <w:tcW w:w="300" w:type="dxa"/>
            <w:vAlign w:val="bottom"/>
            <w:tcBorders>
              <w:bottom w:val="single" w:sz="8" w:color="CCEEFF"/>
            </w:tcBorders>
          </w:tcPr>
          <w:p>
            <w:pPr>
              <w:spacing w:after="0"/>
              <w:rPr>
                <w:sz w:val="12"/>
                <w:szCs w:val="12"/>
                <w:color w:val="auto"/>
              </w:rPr>
            </w:pPr>
          </w:p>
        </w:tc>
        <w:tc>
          <w:tcPr>
            <w:tcW w:w="90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3"/>
              </w:rPr>
              <w:t>Change</w:t>
            </w:r>
          </w:p>
        </w:tc>
        <w:tc>
          <w:tcPr>
            <w:tcW w:w="1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 attributable to PAA</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287</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w:t>
            </w:r>
          </w:p>
        </w:tc>
        <w:tc>
          <w:tcPr>
            <w:tcW w:w="2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671</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821</w:t>
            </w:r>
          </w:p>
        </w:tc>
        <w:tc>
          <w:tcPr>
            <w:tcW w:w="3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6"/>
        </w:trPr>
        <w:tc>
          <w:tcPr>
            <w:tcW w:w="4240" w:type="dxa"/>
            <w:vAlign w:val="bottom"/>
          </w:tcPr>
          <w:p>
            <w:pPr>
              <w:spacing w:after="0"/>
              <w:rPr>
                <w:sz w:val="20"/>
                <w:szCs w:val="20"/>
                <w:color w:val="auto"/>
              </w:rPr>
            </w:pPr>
            <w:r>
              <w:rPr>
                <w:rFonts w:ascii="Arial" w:cs="Arial" w:eastAsia="Arial" w:hAnsi="Arial"/>
                <w:sz w:val="18"/>
                <w:szCs w:val="18"/>
                <w:b w:val="1"/>
                <w:bCs w:val="1"/>
                <w:color w:val="auto"/>
              </w:rPr>
              <w:t>Diluted net income per limited partner unit</w:t>
            </w:r>
          </w:p>
        </w:tc>
        <w:tc>
          <w:tcPr>
            <w:tcW w:w="38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300"/>
              <w:spacing w:after="0"/>
              <w:rPr>
                <w:sz w:val="20"/>
                <w:szCs w:val="20"/>
                <w:color w:val="auto"/>
              </w:rPr>
            </w:pPr>
            <w:r>
              <w:rPr>
                <w:rFonts w:ascii="Arial" w:cs="Arial" w:eastAsia="Arial" w:hAnsi="Arial"/>
                <w:sz w:val="18"/>
                <w:szCs w:val="18"/>
                <w:color w:val="auto"/>
              </w:rPr>
              <w:t>0.45</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280"/>
              <w:spacing w:after="0"/>
              <w:rPr>
                <w:sz w:val="20"/>
                <w:szCs w:val="20"/>
                <w:color w:val="auto"/>
              </w:rPr>
            </w:pPr>
            <w:r>
              <w:rPr>
                <w:rFonts w:ascii="Arial" w:cs="Arial" w:eastAsia="Arial" w:hAnsi="Arial"/>
                <w:sz w:val="18"/>
                <w:szCs w:val="18"/>
                <w:color w:val="auto"/>
              </w:rPr>
              <w:t>0.57</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-21%</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1.18</w:t>
            </w:r>
          </w:p>
        </w:tc>
        <w:tc>
          <w:tcPr>
            <w:tcW w:w="34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300"/>
              <w:spacing w:after="0"/>
              <w:rPr>
                <w:sz w:val="20"/>
                <w:szCs w:val="20"/>
                <w:color w:val="auto"/>
              </w:rPr>
            </w:pPr>
            <w:r>
              <w:rPr>
                <w:rFonts w:ascii="Arial" w:cs="Arial" w:eastAsia="Arial" w:hAnsi="Arial"/>
                <w:sz w:val="18"/>
                <w:szCs w:val="18"/>
                <w:color w:val="auto"/>
              </w:rPr>
              <w:t>1.84</w:t>
            </w: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16"/>
        </w:trPr>
        <w:tc>
          <w:tcPr>
            <w:tcW w:w="4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EBITDA</w:t>
            </w:r>
          </w:p>
        </w:tc>
        <w:tc>
          <w:tcPr>
            <w:tcW w:w="38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492</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484</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1,099</w:t>
            </w:r>
          </w:p>
        </w:tc>
        <w:tc>
          <w:tcPr>
            <w:tcW w:w="340" w:type="dxa"/>
            <w:vAlign w:val="bottom"/>
            <w:gridSpan w:val="2"/>
            <w:shd w:val="clear" w:color="auto" w:fill="CCEEFF"/>
          </w:tcPr>
          <w:p>
            <w:pPr>
              <w:jc w:val="right"/>
              <w:ind w:right="45"/>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1,232</w:t>
            </w:r>
          </w:p>
        </w:tc>
        <w:tc>
          <w:tcPr>
            <w:tcW w:w="3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342"/>
        </w:trPr>
        <w:tc>
          <w:tcPr>
            <w:tcW w:w="4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0" w:type="dxa"/>
            <w:vAlign w:val="bottom"/>
            <w:gridSpan w:val="5"/>
          </w:tcPr>
          <w:p>
            <w:pPr>
              <w:ind w:left="200"/>
              <w:spacing w:after="0"/>
              <w:rPr>
                <w:sz w:val="20"/>
                <w:szCs w:val="20"/>
                <w:color w:val="auto"/>
              </w:rPr>
            </w:pPr>
            <w:r>
              <w:rPr>
                <w:rFonts w:ascii="Arial" w:cs="Arial" w:eastAsia="Arial" w:hAnsi="Arial"/>
                <w:sz w:val="14"/>
                <w:szCs w:val="14"/>
                <w:b w:val="1"/>
                <w:bCs w:val="1"/>
                <w:color w:val="auto"/>
              </w:rPr>
              <w:t>Three Months Ended</w:t>
            </w:r>
          </w:p>
        </w:tc>
        <w:tc>
          <w:tcPr>
            <w:tcW w:w="80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w:t>
            </w: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160" w:type="dxa"/>
            <w:vAlign w:val="bottom"/>
            <w:gridSpan w:val="6"/>
          </w:tcPr>
          <w:p>
            <w:pPr>
              <w:jc w:val="center"/>
              <w:ind w:right="500"/>
              <w:spacing w:after="0"/>
              <w:rPr>
                <w:sz w:val="20"/>
                <w:szCs w:val="20"/>
                <w:color w:val="auto"/>
              </w:rPr>
            </w:pPr>
            <w:r>
              <w:rPr>
                <w:rFonts w:ascii="Arial" w:cs="Arial" w:eastAsia="Arial" w:hAnsi="Arial"/>
                <w:sz w:val="14"/>
                <w:szCs w:val="14"/>
                <w:b w:val="1"/>
                <w:bCs w:val="1"/>
                <w:color w:val="auto"/>
                <w:w w:val="93"/>
              </w:rPr>
              <w:t>Six Months Ended</w:t>
            </w:r>
          </w:p>
        </w:tc>
        <w:tc>
          <w:tcPr>
            <w:tcW w:w="90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4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gridSpan w:val="3"/>
          </w:tcPr>
          <w:p>
            <w:pPr>
              <w:jc w:val="right"/>
              <w:ind w:right="25"/>
              <w:spacing w:after="0"/>
              <w:rPr>
                <w:sz w:val="20"/>
                <w:szCs w:val="20"/>
                <w:color w:val="auto"/>
              </w:rPr>
            </w:pPr>
            <w:r>
              <w:rPr>
                <w:rFonts w:ascii="Arial" w:cs="Arial" w:eastAsia="Arial" w:hAnsi="Arial"/>
                <w:sz w:val="14"/>
                <w:szCs w:val="14"/>
                <w:b w:val="1"/>
                <w:bCs w:val="1"/>
                <w:color w:val="auto"/>
              </w:rPr>
              <w:t>June 30,</w:t>
            </w:r>
          </w:p>
        </w:tc>
        <w:tc>
          <w:tcPr>
            <w:tcW w:w="70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38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gridSpan w:val="4"/>
          </w:tcPr>
          <w:p>
            <w:pPr>
              <w:jc w:val="center"/>
              <w:ind w:left="419"/>
              <w:spacing w:after="0"/>
              <w:rPr>
                <w:sz w:val="20"/>
                <w:szCs w:val="20"/>
                <w:color w:val="auto"/>
              </w:rPr>
            </w:pPr>
            <w:r>
              <w:rPr>
                <w:rFonts w:ascii="Arial" w:cs="Arial" w:eastAsia="Arial" w:hAnsi="Arial"/>
                <w:sz w:val="14"/>
                <w:szCs w:val="14"/>
                <w:b w:val="1"/>
                <w:bCs w:val="1"/>
                <w:color w:val="auto"/>
                <w:w w:val="92"/>
              </w:rPr>
              <w:t>June 30,</w:t>
            </w:r>
          </w:p>
        </w:tc>
        <w:tc>
          <w:tcPr>
            <w:tcW w:w="68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90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240" w:type="dxa"/>
            <w:vAlign w:val="bottom"/>
            <w:tcBorders>
              <w:bottom w:val="single" w:sz="8" w:color="CCEEFF"/>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238"/>
              <w:spacing w:after="0" w:line="142" w:lineRule="exact"/>
              <w:rPr>
                <w:sz w:val="20"/>
                <w:szCs w:val="20"/>
                <w:color w:val="auto"/>
              </w:rPr>
            </w:pPr>
            <w:r>
              <w:rPr>
                <w:rFonts w:ascii="Arial" w:cs="Arial" w:eastAsia="Arial" w:hAnsi="Arial"/>
                <w:sz w:val="14"/>
                <w:szCs w:val="14"/>
                <w:b w:val="1"/>
                <w:bCs w:val="1"/>
                <w:color w:val="auto"/>
              </w:rPr>
              <w:t>2014</w:t>
            </w:r>
          </w:p>
        </w:tc>
        <w:tc>
          <w:tcPr>
            <w:tcW w:w="30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234"/>
              <w:spacing w:after="0" w:line="142" w:lineRule="exact"/>
              <w:rPr>
                <w:sz w:val="20"/>
                <w:szCs w:val="20"/>
                <w:color w:val="auto"/>
              </w:rPr>
            </w:pPr>
            <w:r>
              <w:rPr>
                <w:rFonts w:ascii="Arial" w:cs="Arial" w:eastAsia="Arial" w:hAnsi="Arial"/>
                <w:sz w:val="14"/>
                <w:szCs w:val="14"/>
                <w:b w:val="1"/>
                <w:bCs w:val="1"/>
                <w:color w:val="auto"/>
              </w:rPr>
              <w:t>2013</w:t>
            </w:r>
          </w:p>
        </w:tc>
        <w:tc>
          <w:tcPr>
            <w:tcW w:w="280" w:type="dxa"/>
            <w:vAlign w:val="bottom"/>
            <w:tcBorders>
              <w:bottom w:val="single" w:sz="8" w:color="CCEEFF"/>
            </w:tcBorders>
          </w:tcPr>
          <w:p>
            <w:pPr>
              <w:spacing w:after="0"/>
              <w:rPr>
                <w:sz w:val="12"/>
                <w:szCs w:val="12"/>
                <w:color w:val="auto"/>
              </w:rPr>
            </w:pPr>
          </w:p>
        </w:tc>
        <w:tc>
          <w:tcPr>
            <w:tcW w:w="80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3"/>
              </w:rPr>
              <w:t>Change</w:t>
            </w:r>
          </w:p>
        </w:tc>
        <w:tc>
          <w:tcPr>
            <w:tcW w:w="38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219"/>
              <w:spacing w:after="0" w:line="142" w:lineRule="exact"/>
              <w:rPr>
                <w:sz w:val="20"/>
                <w:szCs w:val="20"/>
                <w:color w:val="auto"/>
              </w:rPr>
            </w:pPr>
            <w:r>
              <w:rPr>
                <w:rFonts w:ascii="Arial" w:cs="Arial" w:eastAsia="Arial" w:hAnsi="Arial"/>
                <w:sz w:val="14"/>
                <w:szCs w:val="14"/>
                <w:b w:val="1"/>
                <w:bCs w:val="1"/>
                <w:color w:val="auto"/>
              </w:rPr>
              <w:t>2014</w:t>
            </w:r>
          </w:p>
        </w:tc>
        <w:tc>
          <w:tcPr>
            <w:tcW w:w="140" w:type="dxa"/>
            <w:vAlign w:val="bottom"/>
            <w:tcBorders>
              <w:bottom w:val="single" w:sz="8" w:color="CCEEFF"/>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214"/>
              <w:spacing w:after="0" w:line="142" w:lineRule="exact"/>
              <w:rPr>
                <w:sz w:val="20"/>
                <w:szCs w:val="20"/>
                <w:color w:val="auto"/>
              </w:rPr>
            </w:pPr>
            <w:r>
              <w:rPr>
                <w:rFonts w:ascii="Arial" w:cs="Arial" w:eastAsia="Arial" w:hAnsi="Arial"/>
                <w:sz w:val="14"/>
                <w:szCs w:val="14"/>
                <w:b w:val="1"/>
                <w:bCs w:val="1"/>
                <w:color w:val="auto"/>
              </w:rPr>
              <w:t>2013</w:t>
            </w:r>
          </w:p>
        </w:tc>
        <w:tc>
          <w:tcPr>
            <w:tcW w:w="300" w:type="dxa"/>
            <w:vAlign w:val="bottom"/>
            <w:tcBorders>
              <w:bottom w:val="single" w:sz="8" w:color="CCEEFF"/>
            </w:tcBorders>
          </w:tcPr>
          <w:p>
            <w:pPr>
              <w:spacing w:after="0"/>
              <w:rPr>
                <w:sz w:val="12"/>
                <w:szCs w:val="12"/>
                <w:color w:val="auto"/>
              </w:rPr>
            </w:pPr>
          </w:p>
        </w:tc>
        <w:tc>
          <w:tcPr>
            <w:tcW w:w="90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3"/>
              </w:rPr>
              <w:t>Change</w:t>
            </w:r>
          </w:p>
        </w:tc>
        <w:tc>
          <w:tcPr>
            <w:tcW w:w="1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Adjusted net income attributable to PAA</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307</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287</w:t>
            </w:r>
          </w:p>
        </w:tc>
        <w:tc>
          <w:tcPr>
            <w:tcW w:w="2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660</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811</w:t>
            </w:r>
          </w:p>
        </w:tc>
        <w:tc>
          <w:tcPr>
            <w:tcW w:w="3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16"/>
        </w:trPr>
        <w:tc>
          <w:tcPr>
            <w:tcW w:w="4240" w:type="dxa"/>
            <w:vAlign w:val="bottom"/>
          </w:tcPr>
          <w:p>
            <w:pPr>
              <w:spacing w:after="0"/>
              <w:rPr>
                <w:sz w:val="20"/>
                <w:szCs w:val="20"/>
                <w:color w:val="auto"/>
              </w:rPr>
            </w:pPr>
            <w:r>
              <w:rPr>
                <w:rFonts w:ascii="Arial" w:cs="Arial" w:eastAsia="Arial" w:hAnsi="Arial"/>
                <w:sz w:val="18"/>
                <w:szCs w:val="18"/>
                <w:b w:val="1"/>
                <w:bCs w:val="1"/>
                <w:color w:val="auto"/>
                <w:w w:val="95"/>
              </w:rPr>
              <w:t>Diluted adjusted net income per limited partner unit</w:t>
            </w:r>
          </w:p>
        </w:tc>
        <w:tc>
          <w:tcPr>
            <w:tcW w:w="38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300"/>
              <w:spacing w:after="0"/>
              <w:rPr>
                <w:sz w:val="20"/>
                <w:szCs w:val="20"/>
                <w:color w:val="auto"/>
              </w:rPr>
            </w:pPr>
            <w:r>
              <w:rPr>
                <w:rFonts w:ascii="Arial" w:cs="Arial" w:eastAsia="Arial" w:hAnsi="Arial"/>
                <w:sz w:val="18"/>
                <w:szCs w:val="18"/>
                <w:color w:val="auto"/>
              </w:rPr>
              <w:t>0.50</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280"/>
              <w:spacing w:after="0"/>
              <w:rPr>
                <w:sz w:val="20"/>
                <w:szCs w:val="20"/>
                <w:color w:val="auto"/>
              </w:rPr>
            </w:pPr>
            <w:r>
              <w:rPr>
                <w:rFonts w:ascii="Arial" w:cs="Arial" w:eastAsia="Arial" w:hAnsi="Arial"/>
                <w:sz w:val="18"/>
                <w:szCs w:val="18"/>
                <w:color w:val="auto"/>
              </w:rPr>
              <w:t>0.56</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-11%</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1.15</w:t>
            </w:r>
          </w:p>
        </w:tc>
        <w:tc>
          <w:tcPr>
            <w:tcW w:w="34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300"/>
              <w:spacing w:after="0"/>
              <w:rPr>
                <w:sz w:val="20"/>
                <w:szCs w:val="20"/>
                <w:color w:val="auto"/>
              </w:rPr>
            </w:pPr>
            <w:r>
              <w:rPr>
                <w:rFonts w:ascii="Arial" w:cs="Arial" w:eastAsia="Arial" w:hAnsi="Arial"/>
                <w:sz w:val="18"/>
                <w:szCs w:val="18"/>
                <w:color w:val="auto"/>
              </w:rPr>
              <w:t>1.82</w:t>
            </w: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16"/>
        </w:trPr>
        <w:tc>
          <w:tcPr>
            <w:tcW w:w="4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Adjusted EBITDA</w:t>
            </w:r>
          </w:p>
        </w:tc>
        <w:tc>
          <w:tcPr>
            <w:tcW w:w="38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512</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478</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1,079</w:t>
            </w:r>
          </w:p>
        </w:tc>
        <w:tc>
          <w:tcPr>
            <w:tcW w:w="340" w:type="dxa"/>
            <w:vAlign w:val="bottom"/>
            <w:gridSpan w:val="2"/>
            <w:shd w:val="clear" w:color="auto" w:fill="CCEEFF"/>
          </w:tcPr>
          <w:p>
            <w:pPr>
              <w:jc w:val="right"/>
              <w:ind w:right="45"/>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1,217</w:t>
            </w:r>
          </w:p>
        </w:tc>
        <w:tc>
          <w:tcPr>
            <w:tcW w:w="3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34"/>
        </w:trPr>
        <w:tc>
          <w:tcPr>
            <w:tcW w:w="4240" w:type="dxa"/>
            <w:vAlign w:val="bottom"/>
          </w:tcPr>
          <w:p>
            <w:pPr>
              <w:spacing w:after="0"/>
              <w:rPr>
                <w:sz w:val="20"/>
                <w:szCs w:val="20"/>
                <w:color w:val="auto"/>
              </w:rPr>
            </w:pPr>
            <w:r>
              <w:rPr>
                <w:rFonts w:ascii="Arial" w:cs="Arial" w:eastAsia="Arial" w:hAnsi="Arial"/>
                <w:sz w:val="18"/>
                <w:szCs w:val="18"/>
                <w:b w:val="1"/>
                <w:bCs w:val="1"/>
                <w:color w:val="auto"/>
              </w:rPr>
              <w:t>Distribution per unit declared for the period</w:t>
            </w:r>
          </w:p>
        </w:tc>
        <w:tc>
          <w:tcPr>
            <w:tcW w:w="38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300"/>
              <w:spacing w:after="0"/>
              <w:rPr>
                <w:sz w:val="20"/>
                <w:szCs w:val="20"/>
                <w:color w:val="auto"/>
              </w:rPr>
            </w:pPr>
            <w:r>
              <w:rPr>
                <w:rFonts w:ascii="Arial" w:cs="Arial" w:eastAsia="Arial" w:hAnsi="Arial"/>
                <w:sz w:val="18"/>
                <w:szCs w:val="18"/>
                <w:color w:val="auto"/>
              </w:rPr>
              <w:t>0.6450</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280"/>
              <w:spacing w:after="0"/>
              <w:rPr>
                <w:sz w:val="20"/>
                <w:szCs w:val="20"/>
                <w:color w:val="auto"/>
              </w:rPr>
            </w:pPr>
            <w:r>
              <w:rPr>
                <w:rFonts w:ascii="Arial" w:cs="Arial" w:eastAsia="Arial" w:hAnsi="Arial"/>
                <w:sz w:val="18"/>
                <w:szCs w:val="18"/>
                <w:color w:val="auto"/>
              </w:rPr>
              <w:t>0.5875</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9.8%</w:t>
            </w:r>
          </w:p>
        </w:tc>
        <w:tc>
          <w:tcPr>
            <w:tcW w:w="2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194310</wp:posOffset>
            </wp:positionV>
            <wp:extent cx="182689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93" w:lineRule="exact"/>
        <w:rPr>
          <w:sz w:val="20"/>
          <w:szCs w:val="20"/>
          <w:color w:val="auto"/>
        </w:rPr>
      </w:pPr>
    </w:p>
    <w:p>
      <w:pPr>
        <w:ind w:left="240" w:right="20" w:hanging="232"/>
        <w:spacing w:after="0"/>
        <w:tabs>
          <w:tab w:leader="none" w:pos="224" w:val="left"/>
        </w:tabs>
        <w:numPr>
          <w:ilvl w:val="0"/>
          <w:numId w:val="17"/>
        </w:numPr>
        <w:rPr>
          <w:rFonts w:ascii="Arial" w:cs="Arial" w:eastAsia="Arial" w:hAnsi="Arial"/>
          <w:sz w:val="23"/>
          <w:szCs w:val="23"/>
          <w:color w:val="auto"/>
          <w:vertAlign w:val="superscript"/>
        </w:rPr>
      </w:pPr>
      <w:r>
        <w:rPr>
          <w:rFonts w:ascii="Arial" w:cs="Arial" w:eastAsia="Arial" w:hAnsi="Arial"/>
          <w:sz w:val="18"/>
          <w:szCs w:val="18"/>
          <w:color w:val="auto"/>
        </w:rPr>
        <w:t>PAA’s reported results include the impact of items that affect comparability between reporting periods. The impact of certain of these items is excluded from adjusted results. See the section of this release entitled “Non-GAAP Financial Measures and Selected Items Impacting Comparability” and the tables attached hereto for information regarding certain selected items that PAA believes impact comparability of financial results between reporting periods, as well as for information regarding non-GAAP financial measures (such as adjusted EBITDA) and their reconciliation to the most directly comparable GAAP measures.</w:t>
      </w:r>
    </w:p>
    <w:p>
      <w:pPr>
        <w:spacing w:after="0" w:line="204" w:lineRule="exact"/>
        <w:rPr>
          <w:sz w:val="20"/>
          <w:szCs w:val="20"/>
          <w:color w:val="auto"/>
        </w:rPr>
      </w:pPr>
    </w:p>
    <w:p>
      <w:pPr>
        <w:ind w:right="20" w:firstLine="648"/>
        <w:spacing w:after="0" w:line="264" w:lineRule="auto"/>
        <w:rPr>
          <w:sz w:val="20"/>
          <w:szCs w:val="20"/>
          <w:color w:val="auto"/>
        </w:rPr>
      </w:pPr>
      <w:r>
        <w:rPr>
          <w:rFonts w:ascii="Arial" w:cs="Arial" w:eastAsia="Arial" w:hAnsi="Arial"/>
          <w:sz w:val="18"/>
          <w:szCs w:val="18"/>
          <w:color w:val="auto"/>
        </w:rPr>
        <w:t>“PAA delivered solid second-quarter results, exceeding the high-end of our initial guidance range and slightly ahead of our updated outlook provided in June,” stated Greg L. Armstrong, Chairman and CEO of Plains All American. “These results were driven by over performance in our Transportation and Supply and Logistics segments.”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more –</w:t>
      </w:r>
    </w:p>
    <w:p>
      <w:pPr>
        <w:spacing w:after="0" w:line="46" w:lineRule="exact"/>
        <w:rPr>
          <w:sz w:val="20"/>
          <w:szCs w:val="20"/>
          <w:color w:val="auto"/>
        </w:rPr>
      </w:pPr>
    </w:p>
    <w:p>
      <w:pPr>
        <w:ind w:left="2200"/>
        <w:spacing w:after="0"/>
        <w:tabs>
          <w:tab w:leader="none" w:pos="4700" w:val="left"/>
          <w:tab w:leader="none" w:pos="6820" w:val="left"/>
        </w:tabs>
        <w:rPr>
          <w:sz w:val="20"/>
          <w:szCs w:val="20"/>
          <w:color w:val="auto"/>
        </w:rPr>
      </w:pPr>
      <w:r>
        <w:rPr>
          <w:rFonts w:ascii="Arial" w:cs="Arial" w:eastAsia="Arial" w:hAnsi="Arial"/>
          <w:sz w:val="18"/>
          <w:szCs w:val="18"/>
          <w:b w:val="1"/>
          <w:bCs w:val="1"/>
          <w:color w:val="auto"/>
        </w:rPr>
        <w:t>333 Clay Street, Suite 1600</w:t>
      </w:r>
      <w:r>
        <w:rPr>
          <w:sz w:val="20"/>
          <w:szCs w:val="20"/>
          <w:color w:val="auto"/>
        </w:rPr>
        <w:tab/>
      </w:r>
      <w:r>
        <w:rPr>
          <w:rFonts w:ascii="Arial" w:cs="Arial" w:eastAsia="Arial" w:hAnsi="Arial"/>
          <w:sz w:val="18"/>
          <w:szCs w:val="18"/>
          <w:b w:val="1"/>
          <w:bCs w:val="1"/>
          <w:color w:val="auto"/>
        </w:rPr>
        <w:t>Houston, Texas 77002</w:t>
      </w:r>
      <w:r>
        <w:rPr>
          <w:sz w:val="20"/>
          <w:szCs w:val="20"/>
          <w:color w:val="auto"/>
        </w:rPr>
        <w:tab/>
      </w:r>
      <w:r>
        <w:rPr>
          <w:rFonts w:ascii="Arial" w:cs="Arial" w:eastAsia="Arial" w:hAnsi="Arial"/>
          <w:sz w:val="16"/>
          <w:szCs w:val="16"/>
          <w:b w:val="1"/>
          <w:bCs w:val="1"/>
          <w:color w:val="auto"/>
        </w:rPr>
        <w:t>(713) 646-4100 / (866) 809-1291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2466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220980</wp:posOffset>
            </wp:positionV>
            <wp:extent cx="7267575" cy="298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Page 2</w:t>
      </w:r>
    </w:p>
    <w:p>
      <w:pPr>
        <w:spacing w:after="0" w:line="225" w:lineRule="exact"/>
        <w:rPr>
          <w:sz w:val="20"/>
          <w:szCs w:val="20"/>
          <w:color w:val="auto"/>
        </w:rPr>
      </w:pPr>
    </w:p>
    <w:p>
      <w:pPr>
        <w:ind w:right="400" w:firstLine="648"/>
        <w:spacing w:after="0" w:line="291" w:lineRule="auto"/>
        <w:rPr>
          <w:sz w:val="20"/>
          <w:szCs w:val="20"/>
          <w:color w:val="auto"/>
        </w:rPr>
      </w:pPr>
      <w:r>
        <w:rPr>
          <w:rFonts w:ascii="Arial" w:cs="Arial" w:eastAsia="Arial" w:hAnsi="Arial"/>
          <w:sz w:val="16"/>
          <w:szCs w:val="16"/>
          <w:color w:val="auto"/>
        </w:rPr>
        <w:t>Armstrong added, “PAA remains on track to achieve its distribution growth objective of 10% for 2014, while maintaining attractive distribution coverage. PAA’s quarterly distribution of $0.6450 per unit, to be paid next week, represents a 9.8% increase over the quarterly distribution paid in</w:t>
      </w:r>
    </w:p>
    <w:p>
      <w:pPr>
        <w:jc w:val="both"/>
        <w:spacing w:after="0" w:line="255" w:lineRule="auto"/>
        <w:rPr>
          <w:sz w:val="20"/>
          <w:szCs w:val="20"/>
          <w:color w:val="auto"/>
        </w:rPr>
      </w:pPr>
      <w:r>
        <w:rPr>
          <w:rFonts w:ascii="Arial" w:cs="Arial" w:eastAsia="Arial" w:hAnsi="Arial"/>
          <w:sz w:val="18"/>
          <w:szCs w:val="18"/>
          <w:color w:val="auto"/>
        </w:rPr>
        <w:t>August 2013. Given PAA’s trajectory, PAGP also remains on track to achieve its distribution growth objective of 25% for 2014. PAGP’s quarterly distribution of $0.1834 per share represents a 7.5% increase over the quarterly distribution paid in May of 2014 and a 23.1% increase over the initial quarterly distribution included in PAGP’s October 2013 initial public offering (“IPO”) prospectus.</w:t>
      </w:r>
    </w:p>
    <w:p>
      <w:pPr>
        <w:spacing w:after="0" w:line="190" w:lineRule="exact"/>
        <w:rPr>
          <w:sz w:val="20"/>
          <w:szCs w:val="20"/>
          <w:color w:val="auto"/>
        </w:rPr>
      </w:pPr>
    </w:p>
    <w:p>
      <w:pPr>
        <w:ind w:right="140" w:firstLine="648"/>
        <w:spacing w:after="0" w:line="257" w:lineRule="auto"/>
        <w:rPr>
          <w:sz w:val="20"/>
          <w:szCs w:val="20"/>
          <w:color w:val="auto"/>
        </w:rPr>
      </w:pPr>
      <w:r>
        <w:rPr>
          <w:rFonts w:ascii="Arial" w:cs="Arial" w:eastAsia="Arial" w:hAnsi="Arial"/>
          <w:sz w:val="18"/>
          <w:szCs w:val="18"/>
          <w:color w:val="auto"/>
        </w:rPr>
        <w:t>As a result of PAA’s first half performance and our outlook for near baseline performance for the remainder of the year, we have increased our full-year adjusted EBITDA guidance by $25 million to a mid-point of $2.175 billion,” said Armstrong. “Our 2014 capital expansion program is proceeding well as we continue to advance a number of attractive projects included in our multi-billion dollar project portfolio. Furthermore, we are well positioned financially, ending the second quarter with a strong balance sheet, credit metrics favorable to PAA’s targeted credit profile and approximately $2.2 billion of committed liquidity.”</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selected PAA financial information by segment for the second quarter and first half of 2014:</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Summary of Selected Financial Data by Segment</w:t>
      </w:r>
      <w:r>
        <w:rPr>
          <w:rFonts w:ascii="Arial" w:cs="Arial" w:eastAsia="Arial" w:hAnsi="Arial"/>
          <w:sz w:val="18"/>
          <w:szCs w:val="18"/>
          <w:b w:val="1"/>
          <w:bCs w:val="1"/>
          <w:color w:val="auto"/>
        </w:rPr>
        <w:t xml:space="preserve"> </w:t>
      </w:r>
      <w:r>
        <w:rPr>
          <w:rFonts w:ascii="Arial" w:cs="Arial" w:eastAsia="Arial" w:hAnsi="Arial"/>
          <w:sz w:val="23"/>
          <w:szCs w:val="23"/>
          <w:b w:val="1"/>
          <w:bCs w:val="1"/>
          <w:color w:val="auto"/>
          <w:vertAlign w:val="superscript"/>
        </w:rPr>
        <w:t>(1)</w:t>
      </w:r>
    </w:p>
    <w:p>
      <w:pPr>
        <w:spacing w:after="0"/>
        <w:rPr>
          <w:sz w:val="20"/>
          <w:szCs w:val="20"/>
          <w:color w:val="auto"/>
        </w:rPr>
      </w:pPr>
      <w:r>
        <w:rPr>
          <w:rFonts w:ascii="Arial" w:cs="Arial" w:eastAsia="Arial" w:hAnsi="Arial"/>
          <w:sz w:val="18"/>
          <w:szCs w:val="18"/>
          <w:color w:val="auto"/>
        </w:rPr>
        <w:t>(in millions)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80" w:type="dxa"/>
            <w:vAlign w:val="bottom"/>
            <w:gridSpan w:val="4"/>
          </w:tcPr>
          <w:p>
            <w:pPr>
              <w:jc w:val="right"/>
              <w:ind w:right="160"/>
              <w:spacing w:after="0"/>
              <w:rPr>
                <w:sz w:val="20"/>
                <w:szCs w:val="20"/>
                <w:color w:val="auto"/>
              </w:rPr>
            </w:pPr>
            <w:r>
              <w:rPr>
                <w:rFonts w:ascii="Arial" w:cs="Arial" w:eastAsia="Arial" w:hAnsi="Arial"/>
                <w:sz w:val="14"/>
                <w:szCs w:val="14"/>
                <w:b w:val="1"/>
                <w:bCs w:val="1"/>
                <w:color w:val="auto"/>
                <w:w w:val="93"/>
              </w:rPr>
              <w:t>Three Months Ended</w:t>
            </w: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380" w:type="dxa"/>
            <w:vAlign w:val="bottom"/>
            <w:gridSpan w:val="4"/>
          </w:tcPr>
          <w:p>
            <w:pPr>
              <w:jc w:val="right"/>
              <w:ind w:right="60"/>
              <w:spacing w:after="0"/>
              <w:rPr>
                <w:sz w:val="20"/>
                <w:szCs w:val="20"/>
                <w:color w:val="auto"/>
              </w:rPr>
            </w:pPr>
            <w:r>
              <w:rPr>
                <w:rFonts w:ascii="Arial" w:cs="Arial" w:eastAsia="Arial" w:hAnsi="Arial"/>
                <w:sz w:val="14"/>
                <w:szCs w:val="14"/>
                <w:b w:val="1"/>
                <w:bCs w:val="1"/>
                <w:color w:val="auto"/>
                <w:w w:val="93"/>
              </w:rPr>
              <w:t>Three Months Ended</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gridSpan w:val="3"/>
          </w:tcPr>
          <w:p>
            <w:pPr>
              <w:jc w:val="right"/>
              <w:ind w:right="380"/>
              <w:spacing w:after="0"/>
              <w:rPr>
                <w:sz w:val="20"/>
                <w:szCs w:val="20"/>
                <w:color w:val="auto"/>
              </w:rPr>
            </w:pPr>
            <w:r>
              <w:rPr>
                <w:rFonts w:ascii="Arial" w:cs="Arial" w:eastAsia="Arial" w:hAnsi="Arial"/>
                <w:sz w:val="14"/>
                <w:szCs w:val="14"/>
                <w:b w:val="1"/>
                <w:bCs w:val="1"/>
                <w:color w:val="auto"/>
                <w:w w:val="96"/>
              </w:rPr>
              <w:t>June 30, 2014</w:t>
            </w:r>
          </w:p>
        </w:tc>
        <w:tc>
          <w:tcPr>
            <w:tcW w:w="1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3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b w:val="1"/>
                <w:bCs w:val="1"/>
                <w:color w:val="auto"/>
              </w:rPr>
              <w:t>June 30, 2013</w:t>
            </w:r>
          </w:p>
        </w:tc>
        <w:tc>
          <w:tcPr>
            <w:tcW w:w="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3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Transportation</w:t>
            </w:r>
          </w:p>
        </w:tc>
        <w:tc>
          <w:tcPr>
            <w:tcW w:w="2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100" w:type="dxa"/>
            <w:vAlign w:val="bottom"/>
            <w:gridSpan w:val="2"/>
            <w:vMerge w:val="restart"/>
          </w:tcPr>
          <w:p>
            <w:pPr>
              <w:jc w:val="right"/>
              <w:ind w:right="480"/>
              <w:spacing w:after="0"/>
              <w:rPr>
                <w:sz w:val="20"/>
                <w:szCs w:val="20"/>
                <w:color w:val="auto"/>
              </w:rPr>
            </w:pPr>
            <w:r>
              <w:rPr>
                <w:rFonts w:ascii="Arial" w:cs="Arial" w:eastAsia="Arial" w:hAnsi="Arial"/>
                <w:sz w:val="14"/>
                <w:szCs w:val="14"/>
                <w:b w:val="1"/>
                <w:bCs w:val="1"/>
                <w:color w:val="auto"/>
              </w:rPr>
              <w:t>Facilities</w:t>
            </w:r>
          </w:p>
        </w:tc>
        <w:tc>
          <w:tcPr>
            <w:tcW w:w="120" w:type="dxa"/>
            <w:vAlign w:val="bottom"/>
          </w:tcPr>
          <w:p>
            <w:pPr>
              <w:spacing w:after="0"/>
              <w:rPr>
                <w:sz w:val="10"/>
                <w:szCs w:val="10"/>
                <w:color w:val="auto"/>
              </w:rPr>
            </w:pPr>
          </w:p>
        </w:tc>
        <w:tc>
          <w:tcPr>
            <w:tcW w:w="920" w:type="dxa"/>
            <w:vAlign w:val="bottom"/>
          </w:tcPr>
          <w:p>
            <w:pPr>
              <w:jc w:val="center"/>
              <w:ind w:right="60"/>
              <w:spacing w:after="0" w:line="119" w:lineRule="exact"/>
              <w:rPr>
                <w:sz w:val="20"/>
                <w:szCs w:val="20"/>
                <w:color w:val="auto"/>
              </w:rPr>
            </w:pPr>
            <w:r>
              <w:rPr>
                <w:rFonts w:ascii="Arial" w:cs="Arial" w:eastAsia="Arial" w:hAnsi="Arial"/>
                <w:sz w:val="13"/>
                <w:szCs w:val="13"/>
                <w:b w:val="1"/>
                <w:bCs w:val="1"/>
                <w:color w:val="auto"/>
                <w:w w:val="99"/>
              </w:rPr>
              <w:t>Supply and</w:t>
            </w:r>
          </w:p>
        </w:tc>
        <w:tc>
          <w:tcPr>
            <w:tcW w:w="360" w:type="dxa"/>
            <w:vAlign w:val="bottom"/>
            <w:tcBorders>
              <w:right w:val="single" w:sz="8" w:color="auto"/>
            </w:tcBorders>
          </w:tcPr>
          <w:p>
            <w:pPr>
              <w:spacing w:after="0"/>
              <w:rPr>
                <w:sz w:val="10"/>
                <w:szCs w:val="10"/>
                <w:color w:val="auto"/>
              </w:rPr>
            </w:pPr>
          </w:p>
        </w:tc>
        <w:tc>
          <w:tcPr>
            <w:tcW w:w="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40" w:type="dxa"/>
            <w:vAlign w:val="bottom"/>
            <w:vMerge w:val="restart"/>
          </w:tcPr>
          <w:p>
            <w:pPr>
              <w:jc w:val="right"/>
              <w:ind w:right="16"/>
              <w:spacing w:after="0"/>
              <w:rPr>
                <w:sz w:val="20"/>
                <w:szCs w:val="20"/>
                <w:color w:val="auto"/>
              </w:rPr>
            </w:pPr>
            <w:r>
              <w:rPr>
                <w:rFonts w:ascii="Arial" w:cs="Arial" w:eastAsia="Arial" w:hAnsi="Arial"/>
                <w:sz w:val="14"/>
                <w:szCs w:val="14"/>
                <w:b w:val="1"/>
                <w:bCs w:val="1"/>
                <w:color w:val="auto"/>
                <w:w w:val="93"/>
              </w:rPr>
              <w:t>Transportation</w:t>
            </w: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0" w:type="dxa"/>
            <w:vAlign w:val="bottom"/>
            <w:gridSpan w:val="2"/>
            <w:vMerge w:val="restart"/>
          </w:tcPr>
          <w:p>
            <w:pPr>
              <w:jc w:val="right"/>
              <w:ind w:right="380"/>
              <w:spacing w:after="0"/>
              <w:rPr>
                <w:sz w:val="20"/>
                <w:szCs w:val="20"/>
                <w:color w:val="auto"/>
              </w:rPr>
            </w:pPr>
            <w:r>
              <w:rPr>
                <w:rFonts w:ascii="Arial" w:cs="Arial" w:eastAsia="Arial" w:hAnsi="Arial"/>
                <w:sz w:val="14"/>
                <w:szCs w:val="14"/>
                <w:b w:val="1"/>
                <w:bCs w:val="1"/>
                <w:color w:val="auto"/>
              </w:rPr>
              <w:t>Facilities</w:t>
            </w: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00" w:type="dxa"/>
            <w:vAlign w:val="bottom"/>
          </w:tcPr>
          <w:p>
            <w:pPr>
              <w:jc w:val="right"/>
              <w:ind w:right="80"/>
              <w:spacing w:after="0" w:line="119" w:lineRule="exact"/>
              <w:rPr>
                <w:sz w:val="20"/>
                <w:szCs w:val="20"/>
                <w:color w:val="auto"/>
              </w:rPr>
            </w:pPr>
            <w:r>
              <w:rPr>
                <w:rFonts w:ascii="Arial" w:cs="Arial" w:eastAsia="Arial" w:hAnsi="Arial"/>
                <w:sz w:val="13"/>
                <w:szCs w:val="13"/>
                <w:b w:val="1"/>
                <w:bCs w:val="1"/>
                <w:color w:val="auto"/>
              </w:rPr>
              <w:t>Supply and</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280" w:type="dxa"/>
            <w:vAlign w:val="bottom"/>
            <w:tcBorders>
              <w:right w:val="single" w:sz="8" w:color="auto"/>
            </w:tcBorders>
            <w:gridSpan w:val="2"/>
          </w:tcPr>
          <w:p>
            <w:pPr>
              <w:jc w:val="center"/>
              <w:ind w:right="500"/>
              <w:spacing w:after="0"/>
              <w:rPr>
                <w:sz w:val="20"/>
                <w:szCs w:val="20"/>
                <w:color w:val="auto"/>
              </w:rPr>
            </w:pPr>
            <w:r>
              <w:rPr>
                <w:rFonts w:ascii="Arial" w:cs="Arial" w:eastAsia="Arial" w:hAnsi="Arial"/>
                <w:sz w:val="14"/>
                <w:szCs w:val="14"/>
                <w:b w:val="1"/>
                <w:bCs w:val="1"/>
                <w:color w:val="auto"/>
                <w:w w:val="87"/>
              </w:rPr>
              <w:t>Logistics</w:t>
            </w: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Logistics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3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Reported segment profit</w:t>
            </w: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221</w:t>
            </w:r>
          </w:p>
        </w:tc>
        <w:tc>
          <w:tcPr>
            <w:tcW w:w="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w:t>
            </w:r>
          </w:p>
        </w:tc>
        <w:tc>
          <w:tcPr>
            <w:tcW w:w="2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w:t>
            </w:r>
          </w:p>
        </w:tc>
        <w:tc>
          <w:tcPr>
            <w:tcW w:w="360" w:type="dxa"/>
            <w:vAlign w:val="bottom"/>
            <w:tcBorders>
              <w:top w:val="single" w:sz="8" w:color="CCEEFF"/>
              <w:right w:val="single" w:sz="8" w:color="auto"/>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160</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w:t>
            </w:r>
          </w:p>
        </w:tc>
        <w:tc>
          <w:tcPr>
            <w:tcW w:w="16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176</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60" w:type="dxa"/>
            <w:vAlign w:val="bottom"/>
            <w:tcBorders>
              <w:right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20"/>
                <w:szCs w:val="20"/>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Selected items impacting the</w:t>
            </w:r>
          </w:p>
        </w:tc>
        <w:tc>
          <w:tcPr>
            <w:tcW w:w="8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w:t>
            </w:r>
          </w:p>
        </w:tc>
        <w:tc>
          <w:tcPr>
            <w:tcW w:w="2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w:t>
            </w:r>
          </w:p>
        </w:tc>
        <w:tc>
          <w:tcPr>
            <w:tcW w:w="120" w:type="dxa"/>
            <w:vAlign w:val="bottom"/>
            <w:shd w:val="clear" w:color="auto" w:fill="CCEEFF"/>
          </w:tcPr>
          <w:p>
            <w:pPr>
              <w:spacing w:after="0"/>
              <w:rPr>
                <w:sz w:val="20"/>
                <w:szCs w:val="20"/>
                <w:color w:val="auto"/>
              </w:rPr>
            </w:pPr>
          </w:p>
        </w:tc>
        <w:tc>
          <w:tcPr>
            <w:tcW w:w="1280" w:type="dxa"/>
            <w:vAlign w:val="bottom"/>
            <w:tcBorders>
              <w:right w:val="single" w:sz="8" w:color="auto"/>
            </w:tcBorders>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11</w:t>
            </w:r>
          </w:p>
        </w:tc>
        <w:tc>
          <w:tcPr>
            <w:tcW w:w="3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2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w:t>
            </w:r>
          </w:p>
        </w:tc>
        <w:tc>
          <w:tcPr>
            <w:tcW w:w="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3320" w:type="dxa"/>
            <w:vAlign w:val="bottom"/>
            <w:shd w:val="clear" w:color="auto" w:fill="CCEEFF"/>
          </w:tcPr>
          <w:p>
            <w:pPr>
              <w:spacing w:after="0"/>
              <w:rPr>
                <w:sz w:val="4"/>
                <w:szCs w:val="4"/>
                <w:color w:val="auto"/>
              </w:rPr>
            </w:pPr>
          </w:p>
        </w:tc>
        <w:tc>
          <w:tcPr>
            <w:tcW w:w="80" w:type="dxa"/>
            <w:vAlign w:val="bottom"/>
            <w:shd w:val="clear" w:color="auto" w:fill="CCEEFF"/>
          </w:tcPr>
          <w:p>
            <w:pPr>
              <w:spacing w:after="0"/>
              <w:rPr>
                <w:sz w:val="4"/>
                <w:szCs w:val="4"/>
                <w:color w:val="auto"/>
              </w:rPr>
            </w:pPr>
          </w:p>
        </w:tc>
        <w:tc>
          <w:tcPr>
            <w:tcW w:w="1060" w:type="dxa"/>
            <w:vAlign w:val="bottom"/>
            <w:shd w:val="clear" w:color="auto" w:fill="CCEEFF"/>
          </w:tcPr>
          <w:p>
            <w:pPr>
              <w:spacing w:after="0"/>
              <w:rPr>
                <w:sz w:val="4"/>
                <w:szCs w:val="4"/>
                <w:color w:val="auto"/>
              </w:rPr>
            </w:pPr>
          </w:p>
        </w:tc>
        <w:tc>
          <w:tcPr>
            <w:tcW w:w="20" w:type="dxa"/>
            <w:vAlign w:val="bottom"/>
            <w:shd w:val="clear" w:color="auto" w:fill="CCEEFF"/>
          </w:tcPr>
          <w:p>
            <w:pPr>
              <w:spacing w:after="0"/>
              <w:rPr>
                <w:sz w:val="4"/>
                <w:szCs w:val="4"/>
                <w:color w:val="auto"/>
              </w:rPr>
            </w:pPr>
          </w:p>
        </w:tc>
        <w:tc>
          <w:tcPr>
            <w:tcW w:w="200" w:type="dxa"/>
            <w:vAlign w:val="bottom"/>
            <w:shd w:val="clear" w:color="auto" w:fill="CCEEFF"/>
          </w:tcPr>
          <w:p>
            <w:pPr>
              <w:spacing w:after="0"/>
              <w:rPr>
                <w:sz w:val="4"/>
                <w:szCs w:val="4"/>
                <w:color w:val="auto"/>
              </w:rPr>
            </w:pPr>
          </w:p>
        </w:tc>
        <w:tc>
          <w:tcPr>
            <w:tcW w:w="180" w:type="dxa"/>
            <w:vAlign w:val="bottom"/>
            <w:shd w:val="clear" w:color="auto" w:fill="CCEEFF"/>
          </w:tcPr>
          <w:p>
            <w:pPr>
              <w:spacing w:after="0"/>
              <w:rPr>
                <w:sz w:val="4"/>
                <w:szCs w:val="4"/>
                <w:color w:val="auto"/>
              </w:rPr>
            </w:pPr>
          </w:p>
        </w:tc>
        <w:tc>
          <w:tcPr>
            <w:tcW w:w="860" w:type="dxa"/>
            <w:vAlign w:val="bottom"/>
            <w:shd w:val="clear" w:color="auto" w:fill="CCEEFF"/>
          </w:tcPr>
          <w:p>
            <w:pPr>
              <w:spacing w:after="0"/>
              <w:rPr>
                <w:sz w:val="4"/>
                <w:szCs w:val="4"/>
                <w:color w:val="auto"/>
              </w:rPr>
            </w:pPr>
          </w:p>
        </w:tc>
        <w:tc>
          <w:tcPr>
            <w:tcW w:w="240" w:type="dxa"/>
            <w:vAlign w:val="bottom"/>
            <w:shd w:val="clear" w:color="auto" w:fill="CCEEFF"/>
          </w:tcPr>
          <w:p>
            <w:pPr>
              <w:spacing w:after="0"/>
              <w:rPr>
                <w:sz w:val="4"/>
                <w:szCs w:val="4"/>
                <w:color w:val="auto"/>
              </w:rPr>
            </w:pPr>
          </w:p>
        </w:tc>
        <w:tc>
          <w:tcPr>
            <w:tcW w:w="120" w:type="dxa"/>
            <w:vAlign w:val="bottom"/>
            <w:shd w:val="clear" w:color="auto" w:fill="CCEEFF"/>
          </w:tcPr>
          <w:p>
            <w:pPr>
              <w:spacing w:after="0"/>
              <w:rPr>
                <w:sz w:val="4"/>
                <w:szCs w:val="4"/>
                <w:color w:val="auto"/>
              </w:rPr>
            </w:pPr>
          </w:p>
        </w:tc>
        <w:tc>
          <w:tcPr>
            <w:tcW w:w="920" w:type="dxa"/>
            <w:vAlign w:val="bottom"/>
            <w:shd w:val="clear" w:color="auto" w:fill="CCEEFF"/>
          </w:tcPr>
          <w:p>
            <w:pPr>
              <w:spacing w:after="0"/>
              <w:rPr>
                <w:sz w:val="4"/>
                <w:szCs w:val="4"/>
                <w:color w:val="auto"/>
              </w:rPr>
            </w:pPr>
          </w:p>
        </w:tc>
        <w:tc>
          <w:tcPr>
            <w:tcW w:w="360" w:type="dxa"/>
            <w:vAlign w:val="bottom"/>
            <w:tcBorders>
              <w:right w:val="single" w:sz="8" w:color="auto"/>
            </w:tcBorders>
            <w:shd w:val="clear" w:color="auto" w:fill="CCEEFF"/>
          </w:tcPr>
          <w:p>
            <w:pPr>
              <w:spacing w:after="0"/>
              <w:rPr>
                <w:sz w:val="4"/>
                <w:szCs w:val="4"/>
                <w:color w:val="auto"/>
              </w:rPr>
            </w:pPr>
          </w:p>
        </w:tc>
        <w:tc>
          <w:tcPr>
            <w:tcW w:w="34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1040" w:type="dxa"/>
            <w:vAlign w:val="bottom"/>
            <w:shd w:val="clear" w:color="auto" w:fill="CCEEFF"/>
          </w:tcPr>
          <w:p>
            <w:pPr>
              <w:spacing w:after="0"/>
              <w:rPr>
                <w:sz w:val="4"/>
                <w:szCs w:val="4"/>
                <w:color w:val="auto"/>
              </w:rPr>
            </w:pPr>
          </w:p>
        </w:tc>
        <w:tc>
          <w:tcPr>
            <w:tcW w:w="220" w:type="dxa"/>
            <w:vAlign w:val="bottom"/>
            <w:shd w:val="clear" w:color="auto" w:fill="CCEEFF"/>
          </w:tcPr>
          <w:p>
            <w:pPr>
              <w:spacing w:after="0"/>
              <w:rPr>
                <w:sz w:val="4"/>
                <w:szCs w:val="4"/>
                <w:color w:val="auto"/>
              </w:rPr>
            </w:pPr>
          </w:p>
        </w:tc>
        <w:tc>
          <w:tcPr>
            <w:tcW w:w="160" w:type="dxa"/>
            <w:vAlign w:val="bottom"/>
            <w:shd w:val="clear" w:color="auto" w:fill="CCEEFF"/>
          </w:tcPr>
          <w:p>
            <w:pPr>
              <w:spacing w:after="0"/>
              <w:rPr>
                <w:sz w:val="4"/>
                <w:szCs w:val="4"/>
                <w:color w:val="auto"/>
              </w:rPr>
            </w:pPr>
          </w:p>
        </w:tc>
        <w:tc>
          <w:tcPr>
            <w:tcW w:w="840" w:type="dxa"/>
            <w:vAlign w:val="bottom"/>
            <w:shd w:val="clear" w:color="auto" w:fill="CCEEFF"/>
          </w:tcPr>
          <w:p>
            <w:pPr>
              <w:spacing w:after="0"/>
              <w:rPr>
                <w:sz w:val="4"/>
                <w:szCs w:val="4"/>
                <w:color w:val="auto"/>
              </w:rPr>
            </w:pPr>
          </w:p>
        </w:tc>
        <w:tc>
          <w:tcPr>
            <w:tcW w:w="160" w:type="dxa"/>
            <w:vAlign w:val="bottom"/>
            <w:shd w:val="clear" w:color="auto" w:fill="CCEEFF"/>
          </w:tcPr>
          <w:p>
            <w:pPr>
              <w:spacing w:after="0"/>
              <w:rPr>
                <w:sz w:val="4"/>
                <w:szCs w:val="4"/>
                <w:color w:val="auto"/>
              </w:rPr>
            </w:pPr>
          </w:p>
        </w:tc>
        <w:tc>
          <w:tcPr>
            <w:tcW w:w="60" w:type="dxa"/>
            <w:vAlign w:val="bottom"/>
            <w:shd w:val="clear" w:color="auto" w:fill="CCEEFF"/>
          </w:tcPr>
          <w:p>
            <w:pPr>
              <w:spacing w:after="0"/>
              <w:rPr>
                <w:sz w:val="4"/>
                <w:szCs w:val="4"/>
                <w:color w:val="auto"/>
              </w:rPr>
            </w:pPr>
          </w:p>
        </w:tc>
        <w:tc>
          <w:tcPr>
            <w:tcW w:w="120" w:type="dxa"/>
            <w:vAlign w:val="bottom"/>
            <w:shd w:val="clear" w:color="auto" w:fill="CCEEFF"/>
          </w:tcPr>
          <w:p>
            <w:pPr>
              <w:spacing w:after="0"/>
              <w:rPr>
                <w:sz w:val="4"/>
                <w:szCs w:val="4"/>
                <w:color w:val="auto"/>
              </w:rPr>
            </w:pPr>
          </w:p>
        </w:tc>
        <w:tc>
          <w:tcPr>
            <w:tcW w:w="90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0" w:type="dxa"/>
            <w:vAlign w:val="bottom"/>
          </w:tcPr>
          <w:p>
            <w:pPr>
              <w:spacing w:after="0"/>
              <w:rPr>
                <w:sz w:val="1"/>
                <w:szCs w:val="1"/>
                <w:color w:val="auto"/>
              </w:rPr>
            </w:pPr>
          </w:p>
        </w:tc>
      </w:tr>
    </w:tbl>
    <w:p>
      <w:pPr>
        <w:sectPr>
          <w:pgSz w:w="11900" w:h="16900" w:orient="portrait"/>
          <w:cols w:equalWidth="0" w:num="1">
            <w:col w:w="11420"/>
          </w:cols>
          <w:pgMar w:left="240" w:top="121" w:right="239" w:bottom="0" w:gutter="0" w:footer="0" w:header="0"/>
        </w:sectPr>
      </w:pPr>
    </w:p>
    <w:bookmarkStart w:id="8" w:name="page9"/>
    <w:bookmarkEnd w:id="8"/>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20" w:type="dxa"/>
            <w:vAlign w:val="bottom"/>
          </w:tcPr>
          <w:p>
            <w:pPr>
              <w:spacing w:after="0"/>
              <w:rPr>
                <w:sz w:val="22"/>
                <w:szCs w:val="22"/>
                <w:color w:val="auto"/>
              </w:rPr>
            </w:pPr>
          </w:p>
        </w:tc>
        <w:tc>
          <w:tcPr>
            <w:tcW w:w="3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 xml:space="preserve">comparability of segment profit </w:t>
            </w:r>
            <w:r>
              <w:rPr>
                <w:rFonts w:ascii="Arial" w:cs="Arial" w:eastAsia="Arial" w:hAnsi="Arial"/>
                <w:sz w:val="23"/>
                <w:szCs w:val="23"/>
                <w:color w:val="auto"/>
                <w:vertAlign w:val="superscript"/>
              </w:rPr>
              <w:t>(2)</w:t>
            </w:r>
          </w:p>
        </w:tc>
        <w:tc>
          <w:tcPr>
            <w:tcW w:w="80" w:type="dxa"/>
            <w:vAlign w:val="bottom"/>
            <w:tcBorders>
              <w:bottom w:val="single" w:sz="8" w:color="auto"/>
            </w:tcBorders>
            <w:shd w:val="clear" w:color="auto" w:fill="CCEEFF"/>
          </w:tcPr>
          <w:p>
            <w:pPr>
              <w:spacing w:after="0"/>
              <w:rPr>
                <w:sz w:val="22"/>
                <w:szCs w:val="22"/>
                <w:color w:val="auto"/>
              </w:rPr>
            </w:pPr>
          </w:p>
        </w:tc>
        <w:tc>
          <w:tcPr>
            <w:tcW w:w="1060" w:type="dxa"/>
            <w:vAlign w:val="bottom"/>
            <w:tcBorders>
              <w:bottom w:val="single" w:sz="8" w:color="auto"/>
            </w:tcBorders>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860" w:type="dxa"/>
            <w:vAlign w:val="bottom"/>
            <w:tcBorders>
              <w:bottom w:val="single" w:sz="8" w:color="auto"/>
            </w:tcBorders>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920" w:type="dxa"/>
            <w:vAlign w:val="bottom"/>
            <w:tcBorders>
              <w:bottom w:val="single" w:sz="8" w:color="auto"/>
            </w:tcBorders>
            <w:shd w:val="clear" w:color="auto" w:fill="CCEEFF"/>
          </w:tcPr>
          <w:p>
            <w:pPr>
              <w:spacing w:after="0"/>
              <w:rPr>
                <w:sz w:val="22"/>
                <w:szCs w:val="22"/>
                <w:color w:val="auto"/>
              </w:rPr>
            </w:pPr>
          </w:p>
        </w:tc>
        <w:tc>
          <w:tcPr>
            <w:tcW w:w="360" w:type="dxa"/>
            <w:vAlign w:val="bottom"/>
            <w:tcBorders>
              <w:right w:val="single" w:sz="8" w:color="auto"/>
            </w:tcBorders>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1040" w:type="dxa"/>
            <w:vAlign w:val="bottom"/>
            <w:tcBorders>
              <w:bottom w:val="single" w:sz="8" w:color="auto"/>
            </w:tcBorders>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840" w:type="dxa"/>
            <w:vAlign w:val="bottom"/>
            <w:tcBorders>
              <w:bottom w:val="single" w:sz="8" w:color="auto"/>
            </w:tcBorders>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60" w:type="dxa"/>
            <w:vAlign w:val="bottom"/>
            <w:tcBorders>
              <w:right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Adjusted segment profit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b w:val="1"/>
                <w:bCs w:val="1"/>
                <w:i w:val="1"/>
                <w:iCs w:val="1"/>
                <w:color w:val="auto"/>
                <w:w w:val="71"/>
              </w:rPr>
              <w:t>$</w:t>
            </w:r>
          </w:p>
        </w:tc>
        <w:tc>
          <w:tcPr>
            <w:tcW w:w="1240" w:type="dxa"/>
            <w:vAlign w:val="bottom"/>
            <w:gridSpan w:val="2"/>
            <w:shd w:val="clear" w:color="auto" w:fill="CCEEFF"/>
          </w:tcPr>
          <w:p>
            <w:pPr>
              <w:jc w:val="right"/>
              <w:ind w:right="108"/>
              <w:spacing w:after="0"/>
              <w:rPr>
                <w:sz w:val="20"/>
                <w:szCs w:val="20"/>
                <w:color w:val="auto"/>
              </w:rPr>
            </w:pPr>
            <w:r>
              <w:rPr>
                <w:rFonts w:ascii="Arial" w:cs="Arial" w:eastAsia="Arial" w:hAnsi="Arial"/>
                <w:sz w:val="18"/>
                <w:szCs w:val="18"/>
                <w:b w:val="1"/>
                <w:bCs w:val="1"/>
                <w:i w:val="1"/>
                <w:iCs w:val="1"/>
                <w:color w:val="auto"/>
              </w:rPr>
              <w:t>229</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rPr>
              <w:t>$</w:t>
            </w: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i w:val="1"/>
                <w:iCs w:val="1"/>
                <w:color w:val="auto"/>
              </w:rPr>
              <w:t>138</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b w:val="1"/>
                <w:bCs w:val="1"/>
                <w:i w:val="1"/>
                <w:iCs w:val="1"/>
                <w:color w:val="auto"/>
                <w:w w:val="71"/>
              </w:rPr>
              <w:t>$</w:t>
            </w:r>
          </w:p>
        </w:tc>
        <w:tc>
          <w:tcPr>
            <w:tcW w:w="1280" w:type="dxa"/>
            <w:vAlign w:val="bottom"/>
            <w:tcBorders>
              <w:right w:val="single" w:sz="8" w:color="auto"/>
            </w:tcBorders>
            <w:gridSpan w:val="2"/>
            <w:shd w:val="clear" w:color="auto" w:fill="CCEEFF"/>
          </w:tcPr>
          <w:p>
            <w:pPr>
              <w:jc w:val="right"/>
              <w:ind w:right="360"/>
              <w:spacing w:after="0"/>
              <w:rPr>
                <w:sz w:val="20"/>
                <w:szCs w:val="20"/>
                <w:color w:val="auto"/>
              </w:rPr>
            </w:pPr>
            <w:r>
              <w:rPr>
                <w:rFonts w:ascii="Arial" w:cs="Arial" w:eastAsia="Arial" w:hAnsi="Arial"/>
                <w:sz w:val="18"/>
                <w:szCs w:val="18"/>
                <w:b w:val="1"/>
                <w:bCs w:val="1"/>
                <w:i w:val="1"/>
                <w:iCs w:val="1"/>
                <w:color w:val="auto"/>
              </w:rPr>
              <w:t>144</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b w:val="1"/>
                <w:bCs w:val="1"/>
                <w:i w:val="1"/>
                <w:iCs w:val="1"/>
                <w:color w:val="auto"/>
                <w:w w:val="71"/>
              </w:rPr>
              <w:t>$</w:t>
            </w: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i w:val="1"/>
                <w:iCs w:val="1"/>
                <w:color w:val="auto"/>
              </w:rPr>
              <w:t>167</w:t>
            </w:r>
          </w:p>
        </w:tc>
        <w:tc>
          <w:tcPr>
            <w:tcW w:w="340" w:type="dxa"/>
            <w:vAlign w:val="bottom"/>
            <w:gridSpan w:val="2"/>
            <w:shd w:val="clear" w:color="auto" w:fill="CCEEFF"/>
          </w:tcPr>
          <w:p>
            <w:pPr>
              <w:jc w:val="right"/>
              <w:ind w:right="7"/>
              <w:spacing w:after="0"/>
              <w:rPr>
                <w:sz w:val="20"/>
                <w:szCs w:val="20"/>
                <w:color w:val="auto"/>
              </w:rPr>
            </w:pPr>
            <w:r>
              <w:rPr>
                <w:rFonts w:ascii="Arial" w:cs="Arial" w:eastAsia="Arial" w:hAnsi="Arial"/>
                <w:sz w:val="18"/>
                <w:szCs w:val="18"/>
                <w:b w:val="1"/>
                <w:bCs w:val="1"/>
                <w:i w:val="1"/>
                <w:iCs w:val="1"/>
                <w:color w:val="auto"/>
              </w:rPr>
              <w:t>$</w:t>
            </w: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i w:val="1"/>
                <w:iCs w:val="1"/>
                <w:color w:val="auto"/>
              </w:rPr>
              <w:t>153</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i w:val="1"/>
                <w:iCs w:val="1"/>
                <w:color w:val="auto"/>
              </w:rPr>
              <w:t>154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CCEEFF"/>
              <w:right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3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60" w:type="dxa"/>
            <w:vAlign w:val="bottom"/>
            <w:tcBorders>
              <w:right w:val="single" w:sz="8" w:color="auto"/>
            </w:tcBorders>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3320" w:type="dxa"/>
            <w:vAlign w:val="bottom"/>
            <w:shd w:val="clear" w:color="auto" w:fill="CCEEFF"/>
          </w:tcPr>
          <w:p>
            <w:pPr>
              <w:spacing w:after="0" w:line="201" w:lineRule="exact"/>
              <w:rPr>
                <w:sz w:val="20"/>
                <w:szCs w:val="20"/>
                <w:color w:val="auto"/>
              </w:rPr>
            </w:pPr>
            <w:r>
              <w:rPr>
                <w:rFonts w:ascii="Arial" w:cs="Arial" w:eastAsia="Arial" w:hAnsi="Arial"/>
                <w:sz w:val="18"/>
                <w:szCs w:val="18"/>
                <w:b w:val="1"/>
                <w:bCs w:val="1"/>
                <w:i w:val="1"/>
                <w:iCs w:val="1"/>
                <w:color w:val="auto"/>
                <w:w w:val="95"/>
              </w:rPr>
              <w:t>Percentage change in adjusted segment</w:t>
            </w:r>
          </w:p>
        </w:tc>
        <w:tc>
          <w:tcPr>
            <w:tcW w:w="80" w:type="dxa"/>
            <w:vAlign w:val="bottom"/>
            <w:shd w:val="clear" w:color="auto" w:fill="CCEEFF"/>
          </w:tcPr>
          <w:p>
            <w:pPr>
              <w:spacing w:after="0"/>
              <w:rPr>
                <w:sz w:val="17"/>
                <w:szCs w:val="17"/>
                <w:color w:val="auto"/>
              </w:rPr>
            </w:pPr>
          </w:p>
        </w:tc>
        <w:tc>
          <w:tcPr>
            <w:tcW w:w="124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rPr>
              <w:t>37%</w:t>
            </w: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0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8"/>
                <w:szCs w:val="18"/>
                <w:b w:val="1"/>
                <w:bCs w:val="1"/>
                <w:i w:val="1"/>
                <w:iCs w:val="1"/>
                <w:color w:val="auto"/>
              </w:rPr>
              <w:t>-10%</w:t>
            </w:r>
          </w:p>
        </w:tc>
        <w:tc>
          <w:tcPr>
            <w:tcW w:w="120" w:type="dxa"/>
            <w:vAlign w:val="bottom"/>
            <w:shd w:val="clear" w:color="auto" w:fill="CCEEFF"/>
          </w:tcPr>
          <w:p>
            <w:pPr>
              <w:spacing w:after="0"/>
              <w:rPr>
                <w:sz w:val="17"/>
                <w:szCs w:val="17"/>
                <w:color w:val="auto"/>
              </w:rPr>
            </w:pPr>
          </w:p>
        </w:tc>
        <w:tc>
          <w:tcPr>
            <w:tcW w:w="1280" w:type="dxa"/>
            <w:vAlign w:val="bottom"/>
            <w:tcBorders>
              <w:right w:val="single" w:sz="8" w:color="auto"/>
            </w:tcBorders>
            <w:gridSpan w:val="2"/>
            <w:vMerge w:val="restart"/>
            <w:shd w:val="clear" w:color="auto" w:fill="CCEEFF"/>
          </w:tcPr>
          <w:p>
            <w:pPr>
              <w:jc w:val="right"/>
              <w:ind w:right="220"/>
              <w:spacing w:after="0"/>
              <w:rPr>
                <w:sz w:val="20"/>
                <w:szCs w:val="20"/>
                <w:color w:val="auto"/>
              </w:rPr>
            </w:pPr>
            <w:r>
              <w:rPr>
                <w:rFonts w:ascii="Arial" w:cs="Arial" w:eastAsia="Arial" w:hAnsi="Arial"/>
                <w:sz w:val="18"/>
                <w:szCs w:val="18"/>
                <w:b w:val="1"/>
                <w:bCs w:val="1"/>
                <w:i w:val="1"/>
                <w:iCs w:val="1"/>
                <w:color w:val="auto"/>
              </w:rPr>
              <w:t>-6%</w:t>
            </w: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320" w:type="dxa"/>
            <w:vAlign w:val="bottom"/>
            <w:shd w:val="clear" w:color="auto" w:fill="CCEEFF"/>
          </w:tcPr>
          <w:p>
            <w:pPr>
              <w:ind w:left="160"/>
              <w:spacing w:after="0"/>
              <w:rPr>
                <w:sz w:val="20"/>
                <w:szCs w:val="20"/>
                <w:color w:val="auto"/>
              </w:rPr>
            </w:pPr>
            <w:r>
              <w:rPr>
                <w:rFonts w:ascii="Arial" w:cs="Arial" w:eastAsia="Arial" w:hAnsi="Arial"/>
                <w:sz w:val="18"/>
                <w:szCs w:val="18"/>
                <w:b w:val="1"/>
                <w:bCs w:val="1"/>
                <w:i w:val="1"/>
                <w:iCs w:val="1"/>
                <w:color w:val="auto"/>
              </w:rPr>
              <w:t>profit versus 2013 period</w:t>
            </w:r>
          </w:p>
        </w:tc>
        <w:tc>
          <w:tcPr>
            <w:tcW w:w="80" w:type="dxa"/>
            <w:vAlign w:val="bottom"/>
            <w:shd w:val="clear" w:color="auto" w:fill="CCEEFF"/>
          </w:tcPr>
          <w:p>
            <w:pPr>
              <w:spacing w:after="0"/>
              <w:rPr>
                <w:sz w:val="18"/>
                <w:szCs w:val="18"/>
                <w:color w:val="auto"/>
              </w:rPr>
            </w:pPr>
          </w:p>
        </w:tc>
        <w:tc>
          <w:tcPr>
            <w:tcW w:w="1240" w:type="dxa"/>
            <w:vAlign w:val="bottom"/>
            <w:gridSpan w:val="2"/>
            <w:vMerge w:val="continue"/>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tcBorders>
              <w:right w:val="single" w:sz="8" w:color="auto"/>
            </w:tcBorders>
            <w:gridSpan w:val="2"/>
            <w:vMerge w:val="continue"/>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gridSpan w:val="2"/>
          </w:tcPr>
          <w:p>
            <w:pPr>
              <w:spacing w:after="0" w:line="20" w:lineRule="exact"/>
              <w:rPr>
                <w:sz w:val="1"/>
                <w:szCs w:val="1"/>
                <w:color w:val="auto"/>
              </w:rPr>
            </w:pPr>
          </w:p>
        </w:tc>
        <w:tc>
          <w:tcPr>
            <w:tcW w:w="1040" w:type="dxa"/>
            <w:vAlign w:val="bottom"/>
            <w:tcBorders>
              <w:top w:val="single" w:sz="8" w:color="auto"/>
              <w:bottom w:val="single" w:sz="8" w:color="auto"/>
            </w:tcBorders>
            <w:gridSpan w:val="2"/>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2"/>
        </w:trPr>
        <w:tc>
          <w:tcPr>
            <w:tcW w:w="2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500" w:type="dxa"/>
            <w:vAlign w:val="bottom"/>
            <w:gridSpan w:val="5"/>
          </w:tcPr>
          <w:p>
            <w:pPr>
              <w:jc w:val="right"/>
              <w:ind w:right="240"/>
              <w:spacing w:after="0"/>
              <w:rPr>
                <w:sz w:val="20"/>
                <w:szCs w:val="20"/>
                <w:color w:val="auto"/>
              </w:rPr>
            </w:pPr>
            <w:r>
              <w:rPr>
                <w:rFonts w:ascii="Arial" w:cs="Arial" w:eastAsia="Arial" w:hAnsi="Arial"/>
                <w:sz w:val="14"/>
                <w:szCs w:val="14"/>
                <w:b w:val="1"/>
                <w:bCs w:val="1"/>
                <w:color w:val="auto"/>
              </w:rPr>
              <w:t>Six Months Ended</w:t>
            </w: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300" w:type="dxa"/>
            <w:vAlign w:val="bottom"/>
            <w:gridSpan w:val="4"/>
          </w:tcPr>
          <w:p>
            <w:pPr>
              <w:jc w:val="right"/>
              <w:ind w:right="120"/>
              <w:spacing w:after="0"/>
              <w:rPr>
                <w:sz w:val="20"/>
                <w:szCs w:val="20"/>
                <w:color w:val="auto"/>
              </w:rPr>
            </w:pPr>
            <w:r>
              <w:rPr>
                <w:rFonts w:ascii="Arial" w:cs="Arial" w:eastAsia="Arial" w:hAnsi="Arial"/>
                <w:sz w:val="14"/>
                <w:szCs w:val="14"/>
                <w:b w:val="1"/>
                <w:bCs w:val="1"/>
                <w:color w:val="auto"/>
                <w:w w:val="95"/>
              </w:rPr>
              <w:t>Six Months Ended</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gridSpan w:val="3"/>
          </w:tcPr>
          <w:p>
            <w:pPr>
              <w:jc w:val="right"/>
              <w:ind w:right="380"/>
              <w:spacing w:after="0"/>
              <w:rPr>
                <w:sz w:val="20"/>
                <w:szCs w:val="20"/>
                <w:color w:val="auto"/>
              </w:rPr>
            </w:pPr>
            <w:r>
              <w:rPr>
                <w:rFonts w:ascii="Arial" w:cs="Arial" w:eastAsia="Arial" w:hAnsi="Arial"/>
                <w:sz w:val="14"/>
                <w:szCs w:val="14"/>
                <w:b w:val="1"/>
                <w:bCs w:val="1"/>
                <w:color w:val="auto"/>
                <w:w w:val="96"/>
              </w:rPr>
              <w:t>June 30, 2014</w:t>
            </w:r>
          </w:p>
        </w:tc>
        <w:tc>
          <w:tcPr>
            <w:tcW w:w="1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3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gridSpan w:val="3"/>
          </w:tcPr>
          <w:p>
            <w:pPr>
              <w:jc w:val="right"/>
              <w:ind w:right="260"/>
              <w:spacing w:after="0"/>
              <w:rPr>
                <w:sz w:val="20"/>
                <w:szCs w:val="20"/>
                <w:color w:val="auto"/>
              </w:rPr>
            </w:pPr>
            <w:r>
              <w:rPr>
                <w:rFonts w:ascii="Arial" w:cs="Arial" w:eastAsia="Arial" w:hAnsi="Arial"/>
                <w:sz w:val="14"/>
                <w:szCs w:val="14"/>
                <w:b w:val="1"/>
                <w:bCs w:val="1"/>
                <w:color w:val="auto"/>
                <w:w w:val="92"/>
              </w:rPr>
              <w:t>June 30, 2013</w:t>
            </w: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3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40" w:type="dxa"/>
            <w:vAlign w:val="bottom"/>
            <w:gridSpan w:val="2"/>
            <w:vMerge w:val="restart"/>
          </w:tcPr>
          <w:p>
            <w:pPr>
              <w:jc w:val="right"/>
              <w:ind w:right="208"/>
              <w:spacing w:after="0"/>
              <w:rPr>
                <w:sz w:val="20"/>
                <w:szCs w:val="20"/>
                <w:color w:val="auto"/>
              </w:rPr>
            </w:pPr>
            <w:r>
              <w:rPr>
                <w:rFonts w:ascii="Arial" w:cs="Arial" w:eastAsia="Arial" w:hAnsi="Arial"/>
                <w:sz w:val="14"/>
                <w:szCs w:val="14"/>
                <w:b w:val="1"/>
                <w:bCs w:val="1"/>
                <w:color w:val="auto"/>
                <w:w w:val="95"/>
              </w:rPr>
              <w:t>Transportation</w:t>
            </w:r>
          </w:p>
        </w:tc>
        <w:tc>
          <w:tcPr>
            <w:tcW w:w="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100" w:type="dxa"/>
            <w:vAlign w:val="bottom"/>
            <w:gridSpan w:val="2"/>
            <w:vMerge w:val="restart"/>
          </w:tcPr>
          <w:p>
            <w:pPr>
              <w:jc w:val="right"/>
              <w:ind w:right="480"/>
              <w:spacing w:after="0"/>
              <w:rPr>
                <w:sz w:val="20"/>
                <w:szCs w:val="20"/>
                <w:color w:val="auto"/>
              </w:rPr>
            </w:pPr>
            <w:r>
              <w:rPr>
                <w:rFonts w:ascii="Arial" w:cs="Arial" w:eastAsia="Arial" w:hAnsi="Arial"/>
                <w:sz w:val="14"/>
                <w:szCs w:val="14"/>
                <w:b w:val="1"/>
                <w:bCs w:val="1"/>
                <w:color w:val="auto"/>
              </w:rPr>
              <w:t>Facilities</w:t>
            </w:r>
          </w:p>
        </w:tc>
        <w:tc>
          <w:tcPr>
            <w:tcW w:w="120" w:type="dxa"/>
            <w:vAlign w:val="bottom"/>
          </w:tcPr>
          <w:p>
            <w:pPr>
              <w:spacing w:after="0"/>
              <w:rPr>
                <w:sz w:val="10"/>
                <w:szCs w:val="10"/>
                <w:color w:val="auto"/>
              </w:rPr>
            </w:pPr>
          </w:p>
        </w:tc>
        <w:tc>
          <w:tcPr>
            <w:tcW w:w="920" w:type="dxa"/>
            <w:vAlign w:val="bottom"/>
          </w:tcPr>
          <w:p>
            <w:pPr>
              <w:jc w:val="right"/>
              <w:ind w:right="95"/>
              <w:spacing w:after="0" w:line="119" w:lineRule="exact"/>
              <w:rPr>
                <w:sz w:val="20"/>
                <w:szCs w:val="20"/>
                <w:color w:val="auto"/>
              </w:rPr>
            </w:pPr>
            <w:r>
              <w:rPr>
                <w:rFonts w:ascii="Arial" w:cs="Arial" w:eastAsia="Arial" w:hAnsi="Arial"/>
                <w:sz w:val="13"/>
                <w:szCs w:val="13"/>
                <w:b w:val="1"/>
                <w:bCs w:val="1"/>
                <w:color w:val="auto"/>
              </w:rPr>
              <w:t>Supply and</w:t>
            </w:r>
          </w:p>
        </w:tc>
        <w:tc>
          <w:tcPr>
            <w:tcW w:w="360" w:type="dxa"/>
            <w:vAlign w:val="bottom"/>
            <w:tcBorders>
              <w:right w:val="single" w:sz="8" w:color="auto"/>
            </w:tcBorders>
          </w:tcPr>
          <w:p>
            <w:pPr>
              <w:spacing w:after="0"/>
              <w:rPr>
                <w:sz w:val="10"/>
                <w:szCs w:val="10"/>
                <w:color w:val="auto"/>
              </w:rPr>
            </w:pPr>
          </w:p>
        </w:tc>
        <w:tc>
          <w:tcPr>
            <w:tcW w:w="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Transportation</w:t>
            </w:r>
          </w:p>
        </w:tc>
        <w:tc>
          <w:tcPr>
            <w:tcW w:w="1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60" w:type="dxa"/>
            <w:vAlign w:val="bottom"/>
            <w:gridSpan w:val="2"/>
            <w:vMerge w:val="restart"/>
          </w:tcPr>
          <w:p>
            <w:pPr>
              <w:jc w:val="right"/>
              <w:ind w:right="340"/>
              <w:spacing w:after="0"/>
              <w:rPr>
                <w:sz w:val="20"/>
                <w:szCs w:val="20"/>
                <w:color w:val="auto"/>
              </w:rPr>
            </w:pPr>
            <w:r>
              <w:rPr>
                <w:rFonts w:ascii="Arial" w:cs="Arial" w:eastAsia="Arial" w:hAnsi="Arial"/>
                <w:sz w:val="14"/>
                <w:szCs w:val="14"/>
                <w:b w:val="1"/>
                <w:bCs w:val="1"/>
                <w:color w:val="auto"/>
              </w:rPr>
              <w:t>Facilities</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00" w:type="dxa"/>
            <w:vAlign w:val="bottom"/>
          </w:tcPr>
          <w:p>
            <w:pPr>
              <w:jc w:val="right"/>
              <w:ind w:right="77"/>
              <w:spacing w:after="0" w:line="119" w:lineRule="exact"/>
              <w:rPr>
                <w:sz w:val="20"/>
                <w:szCs w:val="20"/>
                <w:color w:val="auto"/>
              </w:rPr>
            </w:pPr>
            <w:r>
              <w:rPr>
                <w:rFonts w:ascii="Arial" w:cs="Arial" w:eastAsia="Arial" w:hAnsi="Arial"/>
                <w:sz w:val="13"/>
                <w:szCs w:val="13"/>
                <w:b w:val="1"/>
                <w:bCs w:val="1"/>
                <w:color w:val="auto"/>
              </w:rPr>
              <w:t>Supply and</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4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280" w:type="dxa"/>
            <w:vAlign w:val="bottom"/>
            <w:tcBorders>
              <w:right w:val="single" w:sz="8" w:color="auto"/>
            </w:tcBorders>
            <w:gridSpan w:val="2"/>
          </w:tcPr>
          <w:p>
            <w:pPr>
              <w:jc w:val="right"/>
              <w:ind w:right="620"/>
              <w:spacing w:after="0"/>
              <w:rPr>
                <w:sz w:val="20"/>
                <w:szCs w:val="20"/>
                <w:color w:val="auto"/>
              </w:rPr>
            </w:pPr>
            <w:r>
              <w:rPr>
                <w:rFonts w:ascii="Arial" w:cs="Arial" w:eastAsia="Arial" w:hAnsi="Arial"/>
                <w:sz w:val="14"/>
                <w:szCs w:val="14"/>
                <w:b w:val="1"/>
                <w:bCs w:val="1"/>
                <w:color w:val="auto"/>
              </w:rPr>
              <w:t>Logistics</w:t>
            </w: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Logistics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3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Reported segment profit</w:t>
            </w: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427</w:t>
            </w:r>
          </w:p>
        </w:tc>
        <w:tc>
          <w:tcPr>
            <w:tcW w:w="18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288</w:t>
            </w:r>
          </w:p>
        </w:tc>
        <w:tc>
          <w:tcPr>
            <w:tcW w:w="2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382</w:t>
            </w:r>
          </w:p>
        </w:tc>
        <w:tc>
          <w:tcPr>
            <w:tcW w:w="360" w:type="dxa"/>
            <w:vAlign w:val="bottom"/>
            <w:tcBorders>
              <w:top w:val="single" w:sz="8" w:color="CCEEFF"/>
              <w:right w:val="single" w:sz="8" w:color="auto"/>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323</w:t>
            </w:r>
          </w:p>
        </w:tc>
        <w:tc>
          <w:tcPr>
            <w:tcW w:w="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300</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60" w:type="dxa"/>
            <w:vAlign w:val="bottom"/>
            <w:tcBorders>
              <w:right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33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Selected items impacting the</w:t>
            </w:r>
          </w:p>
        </w:tc>
        <w:tc>
          <w:tcPr>
            <w:tcW w:w="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360" w:type="dxa"/>
            <w:vAlign w:val="bottom"/>
            <w:tcBorders>
              <w:right w:val="single" w:sz="8" w:color="auto"/>
            </w:tcBorders>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20" w:type="dxa"/>
            <w:vAlign w:val="bottom"/>
            <w:shd w:val="clear" w:color="auto" w:fill="CCEEFF"/>
          </w:tcPr>
          <w:p>
            <w:pPr>
              <w:ind w:left="160"/>
              <w:spacing w:after="0" w:line="231" w:lineRule="exact"/>
              <w:rPr>
                <w:sz w:val="20"/>
                <w:szCs w:val="20"/>
                <w:color w:val="auto"/>
              </w:rPr>
            </w:pPr>
            <w:r>
              <w:rPr>
                <w:rFonts w:ascii="Arial" w:cs="Arial" w:eastAsia="Arial" w:hAnsi="Arial"/>
                <w:sz w:val="18"/>
                <w:szCs w:val="18"/>
                <w:color w:val="auto"/>
              </w:rPr>
              <w:t xml:space="preserve">comparability of segment profit </w:t>
            </w:r>
            <w:r>
              <w:rPr>
                <w:rFonts w:ascii="Arial" w:cs="Arial" w:eastAsia="Arial" w:hAnsi="Arial"/>
                <w:sz w:val="23"/>
                <w:szCs w:val="23"/>
                <w:color w:val="auto"/>
                <w:vertAlign w:val="superscript"/>
              </w:rPr>
              <w:t>(2)</w:t>
            </w:r>
          </w:p>
        </w:tc>
        <w:tc>
          <w:tcPr>
            <w:tcW w:w="8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w:t>
            </w:r>
          </w:p>
        </w:tc>
        <w:tc>
          <w:tcPr>
            <w:tcW w:w="120" w:type="dxa"/>
            <w:vAlign w:val="bottom"/>
            <w:shd w:val="clear" w:color="auto" w:fill="CCEEFF"/>
          </w:tcPr>
          <w:p>
            <w:pPr>
              <w:spacing w:after="0"/>
              <w:rPr>
                <w:sz w:val="20"/>
                <w:szCs w:val="20"/>
                <w:color w:val="auto"/>
              </w:rPr>
            </w:pPr>
          </w:p>
        </w:tc>
        <w:tc>
          <w:tcPr>
            <w:tcW w:w="1280" w:type="dxa"/>
            <w:vAlign w:val="bottom"/>
            <w:tcBorders>
              <w:right w:val="single" w:sz="8" w:color="auto"/>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(44)</w:t>
            </w:r>
          </w:p>
        </w:tc>
        <w:tc>
          <w:tcPr>
            <w:tcW w:w="3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w:t>
            </w:r>
          </w:p>
        </w:tc>
        <w:tc>
          <w:tcPr>
            <w:tcW w:w="1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32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360" w:type="dxa"/>
            <w:vAlign w:val="bottom"/>
            <w:tcBorders>
              <w:right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Adjusted segment profit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b w:val="1"/>
                <w:bCs w:val="1"/>
                <w:i w:val="1"/>
                <w:iCs w:val="1"/>
                <w:color w:val="auto"/>
                <w:w w:val="71"/>
              </w:rPr>
              <w:t>$</w:t>
            </w:r>
          </w:p>
        </w:tc>
        <w:tc>
          <w:tcPr>
            <w:tcW w:w="1240" w:type="dxa"/>
            <w:vAlign w:val="bottom"/>
            <w:gridSpan w:val="2"/>
            <w:shd w:val="clear" w:color="auto" w:fill="CCEEFF"/>
          </w:tcPr>
          <w:p>
            <w:pPr>
              <w:jc w:val="right"/>
              <w:ind w:right="108"/>
              <w:spacing w:after="0"/>
              <w:rPr>
                <w:sz w:val="20"/>
                <w:szCs w:val="20"/>
                <w:color w:val="auto"/>
              </w:rPr>
            </w:pPr>
            <w:r>
              <w:rPr>
                <w:rFonts w:ascii="Arial" w:cs="Arial" w:eastAsia="Arial" w:hAnsi="Arial"/>
                <w:sz w:val="18"/>
                <w:szCs w:val="18"/>
                <w:b w:val="1"/>
                <w:bCs w:val="1"/>
                <w:i w:val="1"/>
                <w:iCs w:val="1"/>
                <w:color w:val="auto"/>
              </w:rPr>
              <w:t>443</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rPr>
              <w:t>$</w:t>
            </w: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i w:val="1"/>
                <w:iCs w:val="1"/>
                <w:color w:val="auto"/>
              </w:rPr>
              <w:t>297</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b w:val="1"/>
                <w:bCs w:val="1"/>
                <w:i w:val="1"/>
                <w:iCs w:val="1"/>
                <w:color w:val="auto"/>
                <w:w w:val="71"/>
              </w:rPr>
              <w:t>$</w:t>
            </w:r>
          </w:p>
        </w:tc>
        <w:tc>
          <w:tcPr>
            <w:tcW w:w="1280" w:type="dxa"/>
            <w:vAlign w:val="bottom"/>
            <w:tcBorders>
              <w:right w:val="single" w:sz="8" w:color="auto"/>
            </w:tcBorders>
            <w:gridSpan w:val="2"/>
            <w:shd w:val="clear" w:color="auto" w:fill="CCEEFF"/>
          </w:tcPr>
          <w:p>
            <w:pPr>
              <w:jc w:val="right"/>
              <w:ind w:right="360"/>
              <w:spacing w:after="0"/>
              <w:rPr>
                <w:sz w:val="20"/>
                <w:szCs w:val="20"/>
                <w:color w:val="auto"/>
              </w:rPr>
            </w:pPr>
            <w:r>
              <w:rPr>
                <w:rFonts w:ascii="Arial" w:cs="Arial" w:eastAsia="Arial" w:hAnsi="Arial"/>
                <w:sz w:val="18"/>
                <w:szCs w:val="18"/>
                <w:b w:val="1"/>
                <w:bCs w:val="1"/>
                <w:i w:val="1"/>
                <w:iCs w:val="1"/>
                <w:color w:val="auto"/>
              </w:rPr>
              <w:t>338</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b w:val="1"/>
                <w:bCs w:val="1"/>
                <w:i w:val="1"/>
                <w:iCs w:val="1"/>
                <w:color w:val="auto"/>
                <w:w w:val="71"/>
              </w:rPr>
              <w:t>$</w:t>
            </w: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i w:val="1"/>
                <w:iCs w:val="1"/>
                <w:color w:val="auto"/>
              </w:rPr>
              <w:t>341</w:t>
            </w:r>
          </w:p>
        </w:tc>
        <w:tc>
          <w:tcPr>
            <w:tcW w:w="340" w:type="dxa"/>
            <w:vAlign w:val="bottom"/>
            <w:gridSpan w:val="2"/>
            <w:shd w:val="clear" w:color="auto" w:fill="CCEEFF"/>
          </w:tcPr>
          <w:p>
            <w:pPr>
              <w:jc w:val="right"/>
              <w:ind w:right="7"/>
              <w:spacing w:after="0"/>
              <w:rPr>
                <w:sz w:val="20"/>
                <w:szCs w:val="20"/>
                <w:color w:val="auto"/>
              </w:rPr>
            </w:pPr>
            <w:r>
              <w:rPr>
                <w:rFonts w:ascii="Arial" w:cs="Arial" w:eastAsia="Arial" w:hAnsi="Arial"/>
                <w:sz w:val="18"/>
                <w:szCs w:val="18"/>
                <w:b w:val="1"/>
                <w:bCs w:val="1"/>
                <w:i w:val="1"/>
                <w:iCs w:val="1"/>
                <w:color w:val="auto"/>
              </w:rPr>
              <w:t>$</w:t>
            </w: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i w:val="1"/>
                <w:iCs w:val="1"/>
                <w:color w:val="auto"/>
              </w:rPr>
              <w:t>310</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i w:val="1"/>
                <w:iCs w:val="1"/>
                <w:color w:val="auto"/>
              </w:rPr>
              <w:t>561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CCEEFF"/>
              <w:right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3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60" w:type="dxa"/>
            <w:vAlign w:val="bottom"/>
            <w:tcBorders>
              <w:right w:val="single" w:sz="8" w:color="auto"/>
            </w:tcBorders>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3320" w:type="dxa"/>
            <w:vAlign w:val="bottom"/>
            <w:shd w:val="clear" w:color="auto" w:fill="CCEEFF"/>
          </w:tcPr>
          <w:p>
            <w:pPr>
              <w:spacing w:after="0" w:line="201" w:lineRule="exact"/>
              <w:rPr>
                <w:sz w:val="20"/>
                <w:szCs w:val="20"/>
                <w:color w:val="auto"/>
              </w:rPr>
            </w:pPr>
            <w:r>
              <w:rPr>
                <w:rFonts w:ascii="Arial" w:cs="Arial" w:eastAsia="Arial" w:hAnsi="Arial"/>
                <w:sz w:val="18"/>
                <w:szCs w:val="18"/>
                <w:b w:val="1"/>
                <w:bCs w:val="1"/>
                <w:i w:val="1"/>
                <w:iCs w:val="1"/>
                <w:color w:val="auto"/>
                <w:w w:val="95"/>
              </w:rPr>
              <w:t>Percentage change in adjusted segment</w:t>
            </w:r>
          </w:p>
        </w:tc>
        <w:tc>
          <w:tcPr>
            <w:tcW w:w="80" w:type="dxa"/>
            <w:vAlign w:val="bottom"/>
            <w:shd w:val="clear" w:color="auto" w:fill="CCEEFF"/>
          </w:tcPr>
          <w:p>
            <w:pPr>
              <w:spacing w:after="0"/>
              <w:rPr>
                <w:sz w:val="17"/>
                <w:szCs w:val="17"/>
                <w:color w:val="auto"/>
              </w:rPr>
            </w:pPr>
          </w:p>
        </w:tc>
        <w:tc>
          <w:tcPr>
            <w:tcW w:w="124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rPr>
              <w:t>30%</w:t>
            </w: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0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8"/>
                <w:szCs w:val="18"/>
                <w:b w:val="1"/>
                <w:bCs w:val="1"/>
                <w:i w:val="1"/>
                <w:iCs w:val="1"/>
                <w:color w:val="auto"/>
              </w:rPr>
              <w:t>-4%</w:t>
            </w:r>
          </w:p>
        </w:tc>
        <w:tc>
          <w:tcPr>
            <w:tcW w:w="120" w:type="dxa"/>
            <w:vAlign w:val="bottom"/>
            <w:shd w:val="clear" w:color="auto" w:fill="CCEEFF"/>
          </w:tcPr>
          <w:p>
            <w:pPr>
              <w:spacing w:after="0"/>
              <w:rPr>
                <w:sz w:val="17"/>
                <w:szCs w:val="17"/>
                <w:color w:val="auto"/>
              </w:rPr>
            </w:pPr>
          </w:p>
        </w:tc>
        <w:tc>
          <w:tcPr>
            <w:tcW w:w="1280" w:type="dxa"/>
            <w:vAlign w:val="bottom"/>
            <w:tcBorders>
              <w:right w:val="single" w:sz="8" w:color="auto"/>
            </w:tcBorders>
            <w:gridSpan w:val="2"/>
            <w:vMerge w:val="restart"/>
            <w:shd w:val="clear" w:color="auto" w:fill="CCEEFF"/>
          </w:tcPr>
          <w:p>
            <w:pPr>
              <w:jc w:val="right"/>
              <w:ind w:right="220"/>
              <w:spacing w:after="0"/>
              <w:rPr>
                <w:sz w:val="20"/>
                <w:szCs w:val="20"/>
                <w:color w:val="auto"/>
              </w:rPr>
            </w:pPr>
            <w:r>
              <w:rPr>
                <w:rFonts w:ascii="Arial" w:cs="Arial" w:eastAsia="Arial" w:hAnsi="Arial"/>
                <w:sz w:val="18"/>
                <w:szCs w:val="18"/>
                <w:b w:val="1"/>
                <w:bCs w:val="1"/>
                <w:i w:val="1"/>
                <w:iCs w:val="1"/>
                <w:color w:val="auto"/>
              </w:rPr>
              <w:t>-40%</w:t>
            </w: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320" w:type="dxa"/>
            <w:vAlign w:val="bottom"/>
            <w:shd w:val="clear" w:color="auto" w:fill="CCEEFF"/>
          </w:tcPr>
          <w:p>
            <w:pPr>
              <w:ind w:left="160"/>
              <w:spacing w:after="0"/>
              <w:rPr>
                <w:sz w:val="20"/>
                <w:szCs w:val="20"/>
                <w:color w:val="auto"/>
              </w:rPr>
            </w:pPr>
            <w:r>
              <w:rPr>
                <w:rFonts w:ascii="Arial" w:cs="Arial" w:eastAsia="Arial" w:hAnsi="Arial"/>
                <w:sz w:val="18"/>
                <w:szCs w:val="18"/>
                <w:b w:val="1"/>
                <w:bCs w:val="1"/>
                <w:i w:val="1"/>
                <w:iCs w:val="1"/>
                <w:color w:val="auto"/>
              </w:rPr>
              <w:t>profit versus 2013 period</w:t>
            </w:r>
          </w:p>
        </w:tc>
        <w:tc>
          <w:tcPr>
            <w:tcW w:w="80" w:type="dxa"/>
            <w:vAlign w:val="bottom"/>
            <w:shd w:val="clear" w:color="auto" w:fill="CCEEFF"/>
          </w:tcPr>
          <w:p>
            <w:pPr>
              <w:spacing w:after="0"/>
              <w:rPr>
                <w:sz w:val="18"/>
                <w:szCs w:val="18"/>
                <w:color w:val="auto"/>
              </w:rPr>
            </w:pPr>
          </w:p>
        </w:tc>
        <w:tc>
          <w:tcPr>
            <w:tcW w:w="1240" w:type="dxa"/>
            <w:vAlign w:val="bottom"/>
            <w:gridSpan w:val="2"/>
            <w:vMerge w:val="continue"/>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tcBorders>
              <w:right w:val="single" w:sz="8" w:color="auto"/>
            </w:tcBorders>
            <w:gridSpan w:val="2"/>
            <w:vMerge w:val="continue"/>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240" w:right="20" w:hanging="232"/>
        <w:spacing w:after="0" w:line="260" w:lineRule="auto"/>
        <w:tabs>
          <w:tab w:leader="none" w:pos="224" w:val="left"/>
        </w:tabs>
        <w:numPr>
          <w:ilvl w:val="0"/>
          <w:numId w:val="18"/>
        </w:numPr>
        <w:rPr>
          <w:rFonts w:ascii="Arial" w:cs="Arial" w:eastAsia="Arial" w:hAnsi="Arial"/>
          <w:sz w:val="21"/>
          <w:szCs w:val="21"/>
          <w:color w:val="auto"/>
          <w:vertAlign w:val="superscript"/>
        </w:rPr>
      </w:pPr>
      <w:r>
        <w:rPr>
          <w:rFonts w:ascii="Arial" w:cs="Arial" w:eastAsia="Arial" w:hAnsi="Arial"/>
          <w:sz w:val="16"/>
          <w:szCs w:val="16"/>
          <w:color w:val="auto"/>
        </w:rPr>
        <w:t>PAA’s reported results include the impact of items that affect comparability between reporting periods. The impact of certain of these items is excluded from adjusted results. See the section of this release entitled “Non-GAAP Financial Measures and Selected Items Impacting Comparability” and the tables attached hereto for information regarding certain selected items that PAA believes impact comparability of financial results between reporting periods.</w:t>
      </w:r>
    </w:p>
    <w:p>
      <w:pPr>
        <w:spacing w:after="0" w:line="2" w:lineRule="exact"/>
        <w:rPr>
          <w:rFonts w:ascii="Arial" w:cs="Arial" w:eastAsia="Arial" w:hAnsi="Arial"/>
          <w:sz w:val="21"/>
          <w:szCs w:val="21"/>
          <w:color w:val="auto"/>
          <w:vertAlign w:val="superscript"/>
        </w:rPr>
      </w:pPr>
    </w:p>
    <w:p>
      <w:pPr>
        <w:ind w:left="220" w:hanging="212"/>
        <w:spacing w:after="0" w:line="196" w:lineRule="auto"/>
        <w:tabs>
          <w:tab w:leader="none" w:pos="220" w:val="left"/>
        </w:tabs>
        <w:numPr>
          <w:ilvl w:val="0"/>
          <w:numId w:val="18"/>
        </w:numPr>
        <w:rPr>
          <w:rFonts w:ascii="Arial" w:cs="Arial" w:eastAsia="Arial" w:hAnsi="Arial"/>
          <w:sz w:val="23"/>
          <w:szCs w:val="23"/>
          <w:color w:val="auto"/>
          <w:vertAlign w:val="superscript"/>
        </w:rPr>
      </w:pPr>
      <w:r>
        <w:rPr>
          <w:rFonts w:ascii="Arial" w:cs="Arial" w:eastAsia="Arial" w:hAnsi="Arial"/>
          <w:sz w:val="18"/>
          <w:szCs w:val="18"/>
          <w:color w:val="auto"/>
        </w:rPr>
        <w:t>Certain of our non-GAAP financial measures may not be impacted by each of the selected items impacting comparability.</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more –</w:t>
      </w:r>
    </w:p>
    <w:p>
      <w:pPr>
        <w:spacing w:after="0" w:line="32" w:lineRule="exact"/>
        <w:rPr>
          <w:sz w:val="20"/>
          <w:szCs w:val="20"/>
          <w:color w:val="auto"/>
        </w:rPr>
      </w:pPr>
    </w:p>
    <w:p>
      <w:pPr>
        <w:ind w:left="2200"/>
        <w:spacing w:after="0"/>
        <w:tabs>
          <w:tab w:leader="none" w:pos="4700" w:val="left"/>
          <w:tab w:leader="none" w:pos="6820" w:val="left"/>
        </w:tabs>
        <w:rPr>
          <w:sz w:val="20"/>
          <w:szCs w:val="20"/>
          <w:color w:val="auto"/>
        </w:rPr>
      </w:pPr>
      <w:r>
        <w:rPr>
          <w:rFonts w:ascii="Arial" w:cs="Arial" w:eastAsia="Arial" w:hAnsi="Arial"/>
          <w:sz w:val="18"/>
          <w:szCs w:val="18"/>
          <w:b w:val="1"/>
          <w:bCs w:val="1"/>
          <w:color w:val="auto"/>
        </w:rPr>
        <w:t>333 Clay Street, Suite 1600</w:t>
      </w:r>
      <w:r>
        <w:rPr>
          <w:sz w:val="20"/>
          <w:szCs w:val="20"/>
          <w:color w:val="auto"/>
        </w:rPr>
        <w:tab/>
      </w:r>
      <w:r>
        <w:rPr>
          <w:rFonts w:ascii="Arial" w:cs="Arial" w:eastAsia="Arial" w:hAnsi="Arial"/>
          <w:sz w:val="18"/>
          <w:szCs w:val="18"/>
          <w:b w:val="1"/>
          <w:bCs w:val="1"/>
          <w:color w:val="auto"/>
        </w:rPr>
        <w:t>Houston, Texas 77002</w:t>
      </w:r>
      <w:r>
        <w:rPr>
          <w:sz w:val="20"/>
          <w:szCs w:val="20"/>
          <w:color w:val="auto"/>
        </w:rPr>
        <w:tab/>
      </w:r>
      <w:r>
        <w:rPr>
          <w:rFonts w:ascii="Arial" w:cs="Arial" w:eastAsia="Arial" w:hAnsi="Arial"/>
          <w:sz w:val="16"/>
          <w:szCs w:val="16"/>
          <w:b w:val="1"/>
          <w:bCs w:val="1"/>
          <w:color w:val="auto"/>
        </w:rPr>
        <w:t>(713) 646-4100 / (866) 809-1291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2466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220980</wp:posOffset>
            </wp:positionV>
            <wp:extent cx="7267575" cy="298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Page 3</w:t>
      </w:r>
    </w:p>
    <w:p>
      <w:pPr>
        <w:spacing w:after="0" w:line="225" w:lineRule="exact"/>
        <w:rPr>
          <w:sz w:val="20"/>
          <w:szCs w:val="20"/>
          <w:color w:val="auto"/>
        </w:rPr>
      </w:pPr>
    </w:p>
    <w:p>
      <w:pPr>
        <w:ind w:right="60" w:firstLine="648"/>
        <w:spacing w:after="0" w:line="264" w:lineRule="auto"/>
        <w:rPr>
          <w:sz w:val="20"/>
          <w:szCs w:val="20"/>
          <w:color w:val="auto"/>
        </w:rPr>
      </w:pPr>
      <w:r>
        <w:rPr>
          <w:rFonts w:ascii="Arial" w:cs="Arial" w:eastAsia="Arial" w:hAnsi="Arial"/>
          <w:sz w:val="18"/>
          <w:szCs w:val="18"/>
          <w:color w:val="auto"/>
        </w:rPr>
        <w:t>Second-quarter 2014 Transportation adjusted segment profit increased 37% versus comparable 2013 results. This increase was primarily driven by higher crude oil pipeline volumes associated with recently completed organic growth projects and increased producer drilling activities, partially offset by the sale of our refined products pipelines in 2013.</w:t>
      </w:r>
    </w:p>
    <w:p>
      <w:pPr>
        <w:spacing w:after="0" w:line="181" w:lineRule="exact"/>
        <w:rPr>
          <w:sz w:val="20"/>
          <w:szCs w:val="20"/>
          <w:color w:val="auto"/>
        </w:rPr>
      </w:pPr>
    </w:p>
    <w:p>
      <w:pPr>
        <w:jc w:val="both"/>
        <w:ind w:right="40" w:firstLine="648"/>
        <w:spacing w:after="0" w:line="264" w:lineRule="auto"/>
        <w:rPr>
          <w:sz w:val="20"/>
          <w:szCs w:val="20"/>
          <w:color w:val="auto"/>
        </w:rPr>
      </w:pPr>
      <w:r>
        <w:rPr>
          <w:rFonts w:ascii="Arial" w:cs="Arial" w:eastAsia="Arial" w:hAnsi="Arial"/>
          <w:sz w:val="18"/>
          <w:szCs w:val="18"/>
          <w:color w:val="auto"/>
        </w:rPr>
        <w:t>Second-quarter 2014 Facilities adjusted segment profit decreased 10% over comparable 2013 results. This decrease was primarily due to the impact of recontracting capacity originally contracted at higher rates within our natural gas storage operations, as well as increased field operating costs. This impact was partially offset by increased profitability from our NGL storage and fractionation activities.</w:t>
      </w:r>
    </w:p>
    <w:p>
      <w:pPr>
        <w:spacing w:after="0" w:line="181" w:lineRule="exact"/>
        <w:rPr>
          <w:sz w:val="20"/>
          <w:szCs w:val="20"/>
          <w:color w:val="auto"/>
        </w:rPr>
      </w:pPr>
    </w:p>
    <w:p>
      <w:pPr>
        <w:ind w:right="140" w:firstLine="648"/>
        <w:spacing w:after="0" w:line="259" w:lineRule="auto"/>
        <w:rPr>
          <w:sz w:val="20"/>
          <w:szCs w:val="20"/>
          <w:color w:val="auto"/>
        </w:rPr>
      </w:pPr>
      <w:r>
        <w:rPr>
          <w:rFonts w:ascii="Arial" w:cs="Arial" w:eastAsia="Arial" w:hAnsi="Arial"/>
          <w:sz w:val="18"/>
          <w:szCs w:val="18"/>
          <w:color w:val="auto"/>
        </w:rPr>
        <w:t>Second-quarter 2014 Supply and Logistics adjusted segment profit decreased by approximately 6% relative to comparable 2013 results. This decrease was primarily related to less favorable NGL market conditions and higher costs, primarily related to increased facility fees, in the second quarter of 2014 compared to the same 2013 period. These impacts were partially offset by more favorable crude oil market conditions during the second quarter of 2014.</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Plains GP Holdings</w:t>
      </w:r>
    </w:p>
    <w:p>
      <w:pPr>
        <w:spacing w:after="0" w:line="229" w:lineRule="exact"/>
        <w:rPr>
          <w:sz w:val="20"/>
          <w:szCs w:val="20"/>
          <w:color w:val="auto"/>
        </w:rPr>
      </w:pPr>
    </w:p>
    <w:p>
      <w:pPr>
        <w:ind w:right="140" w:firstLine="648"/>
        <w:spacing w:after="0" w:line="264" w:lineRule="auto"/>
        <w:rPr>
          <w:sz w:val="20"/>
          <w:szCs w:val="20"/>
          <w:color w:val="auto"/>
        </w:rPr>
      </w:pPr>
      <w:r>
        <w:rPr>
          <w:rFonts w:ascii="Arial" w:cs="Arial" w:eastAsia="Arial" w:hAnsi="Arial"/>
          <w:sz w:val="18"/>
          <w:szCs w:val="18"/>
          <w:color w:val="auto"/>
        </w:rPr>
        <w:t>PAGP’s sole assets are its ownership interest in PAA’s general partner and incentive distribution rights. As the control entity of PAA, PAGP consolidates PAA’s results into its financial statements, which is reflected in the condensed consolidating balance sheet and income statement included at the end of this release. Information regarding PAGP’s distributions is reflected below:</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Summary Financial Information</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6"/>
              </w:rPr>
              <w:t>Distribution</w:t>
            </w:r>
          </w:p>
        </w:tc>
        <w:tc>
          <w:tcPr>
            <w:tcW w:w="0" w:type="dxa"/>
            <w:vAlign w:val="bottom"/>
          </w:tcPr>
          <w:p>
            <w:pPr>
              <w:spacing w:after="0"/>
              <w:rPr>
                <w:sz w:val="1"/>
                <w:szCs w:val="1"/>
                <w:color w:val="auto"/>
              </w:rPr>
            </w:pPr>
          </w:p>
        </w:tc>
      </w:tr>
      <w:tr>
        <w:trPr>
          <w:trHeight w:val="149"/>
        </w:trPr>
        <w:tc>
          <w:tcPr>
            <w:tcW w:w="58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8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Q2 2014</w:t>
            </w:r>
          </w:p>
        </w:tc>
        <w:tc>
          <w:tcPr>
            <w:tcW w:w="260" w:type="dxa"/>
            <w:vAlign w:val="bottom"/>
          </w:tcPr>
          <w:p>
            <w:pPr>
              <w:spacing w:after="0"/>
              <w:rPr>
                <w:sz w:val="12"/>
                <w:szCs w:val="12"/>
                <w:color w:val="auto"/>
              </w:rPr>
            </w:pPr>
          </w:p>
        </w:tc>
        <w:tc>
          <w:tcPr>
            <w:tcW w:w="1480" w:type="dxa"/>
            <w:vAlign w:val="bottom"/>
            <w:gridSpan w:val="2"/>
            <w:vMerge w:val="restart"/>
          </w:tcPr>
          <w:p>
            <w:pPr>
              <w:jc w:val="right"/>
              <w:ind w:right="800"/>
              <w:spacing w:after="0"/>
              <w:rPr>
                <w:sz w:val="20"/>
                <w:szCs w:val="20"/>
                <w:color w:val="auto"/>
              </w:rPr>
            </w:pPr>
            <w:r>
              <w:rPr>
                <w:rFonts w:ascii="Arial" w:cs="Arial" w:eastAsia="Arial" w:hAnsi="Arial"/>
                <w:sz w:val="14"/>
                <w:szCs w:val="14"/>
                <w:b w:val="1"/>
                <w:bCs w:val="1"/>
                <w:color w:val="auto"/>
              </w:rPr>
              <w:t>Q1 2014</w:t>
            </w:r>
          </w:p>
        </w:tc>
        <w:tc>
          <w:tcPr>
            <w:tcW w:w="160" w:type="dxa"/>
            <w:vAlign w:val="bottom"/>
          </w:tcPr>
          <w:p>
            <w:pPr>
              <w:spacing w:after="0"/>
              <w:rPr>
                <w:sz w:val="12"/>
                <w:szCs w:val="12"/>
                <w:color w:val="auto"/>
              </w:rPr>
            </w:pPr>
          </w:p>
        </w:tc>
        <w:tc>
          <w:tcPr>
            <w:tcW w:w="13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2"/>
              </w:rPr>
              <w:t>provided in</w:t>
            </w:r>
          </w:p>
        </w:tc>
        <w:tc>
          <w:tcPr>
            <w:tcW w:w="0" w:type="dxa"/>
            <w:vAlign w:val="bottom"/>
          </w:tcPr>
          <w:p>
            <w:pPr>
              <w:spacing w:after="0"/>
              <w:rPr>
                <w:sz w:val="1"/>
                <w:szCs w:val="1"/>
                <w:color w:val="auto"/>
              </w:rPr>
            </w:pPr>
          </w:p>
        </w:tc>
      </w:tr>
      <w:tr>
        <w:trPr>
          <w:trHeight w:val="171"/>
        </w:trPr>
        <w:tc>
          <w:tcPr>
            <w:tcW w:w="58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80" w:type="dxa"/>
            <w:vAlign w:val="bottom"/>
            <w:gridSpan w:val="2"/>
            <w:vMerge w:val="continue"/>
          </w:tcPr>
          <w:p>
            <w:pPr>
              <w:spacing w:after="0"/>
              <w:rPr>
                <w:sz w:val="14"/>
                <w:szCs w:val="14"/>
                <w:color w:val="auto"/>
              </w:rPr>
            </w:pPr>
          </w:p>
        </w:tc>
        <w:tc>
          <w:tcPr>
            <w:tcW w:w="260" w:type="dxa"/>
            <w:vAlign w:val="bottom"/>
          </w:tcPr>
          <w:p>
            <w:pPr>
              <w:spacing w:after="0"/>
              <w:rPr>
                <w:sz w:val="14"/>
                <w:szCs w:val="14"/>
                <w:color w:val="auto"/>
              </w:rPr>
            </w:pPr>
          </w:p>
        </w:tc>
        <w:tc>
          <w:tcPr>
            <w:tcW w:w="148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3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2"/>
              </w:rPr>
              <w:t>IPO prospectus</w:t>
            </w:r>
          </w:p>
        </w:tc>
        <w:tc>
          <w:tcPr>
            <w:tcW w:w="0" w:type="dxa"/>
            <w:vAlign w:val="bottom"/>
          </w:tcPr>
          <w:p>
            <w:pPr>
              <w:spacing w:after="0"/>
              <w:rPr>
                <w:sz w:val="1"/>
                <w:szCs w:val="1"/>
                <w:color w:val="auto"/>
              </w:rPr>
            </w:pPr>
          </w:p>
        </w:tc>
      </w:tr>
      <w:tr>
        <w:trPr>
          <w:trHeight w:val="210"/>
        </w:trPr>
        <w:tc>
          <w:tcPr>
            <w:tcW w:w="58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Distribution per share for the period</w:t>
            </w:r>
          </w:p>
        </w:tc>
        <w:tc>
          <w:tcPr>
            <w:tcW w:w="7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0.18340</w:t>
            </w:r>
          </w:p>
        </w:tc>
        <w:tc>
          <w:tcPr>
            <w:tcW w:w="2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0.17055</w:t>
            </w:r>
          </w:p>
        </w:tc>
        <w:tc>
          <w:tcPr>
            <w:tcW w:w="3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0.14904</w:t>
            </w:r>
          </w:p>
        </w:tc>
        <w:tc>
          <w:tcPr>
            <w:tcW w:w="1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840" w:type="dxa"/>
            <w:vAlign w:val="bottom"/>
          </w:tcPr>
          <w:p>
            <w:pPr>
              <w:spacing w:after="0"/>
              <w:rPr>
                <w:sz w:val="20"/>
                <w:szCs w:val="20"/>
                <w:color w:val="auto"/>
              </w:rPr>
            </w:pPr>
            <w:r>
              <w:rPr>
                <w:rFonts w:ascii="Arial" w:cs="Arial" w:eastAsia="Arial" w:hAnsi="Arial"/>
                <w:sz w:val="18"/>
                <w:szCs w:val="18"/>
                <w:b w:val="1"/>
                <w:bCs w:val="1"/>
                <w:color w:val="auto"/>
              </w:rPr>
              <w:t>Q2 2014 distribution percentage growth over previous benchmarks</w:t>
            </w:r>
          </w:p>
        </w:tc>
        <w:tc>
          <w:tcPr>
            <w:tcW w:w="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80" w:type="dxa"/>
            <w:vAlign w:val="bottom"/>
            <w:gridSpan w:val="2"/>
          </w:tcPr>
          <w:p>
            <w:pPr>
              <w:jc w:val="right"/>
              <w:ind w:right="240"/>
              <w:spacing w:after="0"/>
              <w:rPr>
                <w:sz w:val="20"/>
                <w:szCs w:val="20"/>
                <w:color w:val="auto"/>
              </w:rPr>
            </w:pPr>
            <w:r>
              <w:rPr>
                <w:rFonts w:ascii="Arial" w:cs="Arial" w:eastAsia="Arial" w:hAnsi="Arial"/>
                <w:sz w:val="18"/>
                <w:szCs w:val="18"/>
                <w:color w:val="auto"/>
              </w:rPr>
              <w:t>7.5%</w:t>
            </w:r>
          </w:p>
        </w:tc>
        <w:tc>
          <w:tcPr>
            <w:tcW w:w="160" w:type="dxa"/>
            <w:vAlign w:val="bottom"/>
          </w:tcPr>
          <w:p>
            <w:pPr>
              <w:spacing w:after="0"/>
              <w:rPr>
                <w:sz w:val="18"/>
                <w:szCs w:val="18"/>
                <w:color w:val="auto"/>
              </w:rPr>
            </w:pPr>
          </w:p>
        </w:tc>
        <w:tc>
          <w:tcPr>
            <w:tcW w:w="1360" w:type="dxa"/>
            <w:vAlign w:val="bottom"/>
            <w:gridSpan w:val="2"/>
          </w:tcPr>
          <w:p>
            <w:pPr>
              <w:jc w:val="right"/>
              <w:ind w:right="20"/>
              <w:spacing w:after="0"/>
              <w:rPr>
                <w:sz w:val="20"/>
                <w:szCs w:val="20"/>
                <w:color w:val="auto"/>
              </w:rPr>
            </w:pPr>
            <w:r>
              <w:rPr>
                <w:rFonts w:ascii="Arial" w:cs="Arial" w:eastAsia="Arial" w:hAnsi="Arial"/>
                <w:sz w:val="18"/>
                <w:szCs w:val="18"/>
                <w:color w:val="auto"/>
              </w:rPr>
              <w:t>23.1%</w:t>
            </w:r>
          </w:p>
        </w:tc>
        <w:tc>
          <w:tcPr>
            <w:tcW w:w="0" w:type="dxa"/>
            <w:vAlign w:val="bottom"/>
          </w:tcPr>
          <w:p>
            <w:pPr>
              <w:spacing w:after="0"/>
              <w:rPr>
                <w:sz w:val="1"/>
                <w:szCs w:val="1"/>
                <w:color w:val="auto"/>
              </w:rPr>
            </w:pPr>
          </w:p>
        </w:tc>
      </w:tr>
      <w:tr>
        <w:trPr>
          <w:trHeight w:val="20"/>
        </w:trPr>
        <w:tc>
          <w:tcPr>
            <w:tcW w:w="58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Conference Call</w:t>
      </w:r>
    </w:p>
    <w:p>
      <w:pPr>
        <w:spacing w:after="0" w:line="225" w:lineRule="exact"/>
        <w:rPr>
          <w:sz w:val="20"/>
          <w:szCs w:val="20"/>
          <w:color w:val="auto"/>
        </w:rPr>
      </w:pPr>
    </w:p>
    <w:p>
      <w:pPr>
        <w:jc w:val="both"/>
        <w:ind w:right="80" w:firstLine="648"/>
        <w:spacing w:after="0" w:line="286" w:lineRule="auto"/>
        <w:rPr>
          <w:sz w:val="20"/>
          <w:szCs w:val="20"/>
          <w:color w:val="auto"/>
        </w:rPr>
      </w:pPr>
      <w:r>
        <w:rPr>
          <w:rFonts w:ascii="Arial" w:cs="Arial" w:eastAsia="Arial" w:hAnsi="Arial"/>
          <w:sz w:val="17"/>
          <w:szCs w:val="17"/>
          <w:color w:val="auto"/>
        </w:rPr>
        <w:t>PAA and PAGP will hold a conference call on August 7, 2014 (see details below). Prior to this conference call, PAA will furnish a current report on Form 8-K, which will include material in this news release as well as PAA’s financial and operational guidance for the third quarter and full year of 2014. A copy of the Form 8-K will be available at www.plainsallamerican.com, where PAA and PAGP routinely post important information.</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PAA and PAGP conference call will be held at 11:00 a.m. EDT on Thursday, August 7, 2014 to discuss the following items:</w:t>
      </w:r>
    </w:p>
    <w:p>
      <w:pPr>
        <w:spacing w:after="0" w:line="225" w:lineRule="exact"/>
        <w:rPr>
          <w:sz w:val="20"/>
          <w:szCs w:val="20"/>
          <w:color w:val="auto"/>
        </w:rPr>
      </w:pPr>
    </w:p>
    <w:p>
      <w:pPr>
        <w:ind w:left="1300" w:hanging="320"/>
        <w:spacing w:after="0"/>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PAA’s second-quarter 2014 performance;</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status of major expansion projects;</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Capitalization and liquidity;</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Financial and operating guidance for the third quarter and full year of 2014; and</w:t>
      </w:r>
    </w:p>
    <w:p>
      <w:pPr>
        <w:sectPr>
          <w:pgSz w:w="11900" w:h="16847" w:orient="portrait"/>
          <w:cols w:equalWidth="0" w:num="1">
            <w:col w:w="11420"/>
          </w:cols>
          <w:pgMar w:left="240" w:top="91" w:right="239" w:bottom="0" w:gutter="0" w:footer="0" w:header="0"/>
        </w:sectPr>
      </w:pPr>
    </w:p>
    <w:bookmarkStart w:id="9" w:name="page10"/>
    <w:bookmarkEnd w:id="9"/>
    <w:p>
      <w:pPr>
        <w:ind w:left="1300" w:hanging="320"/>
        <w:spacing w:after="0"/>
        <w:tabs>
          <w:tab w:leader="none" w:pos="13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PAA’s and PAGP’s outlook for the future.</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more –</w:t>
      </w:r>
    </w:p>
    <w:p>
      <w:pPr>
        <w:spacing w:after="0" w:line="46" w:lineRule="exact"/>
        <w:rPr>
          <w:sz w:val="20"/>
          <w:szCs w:val="20"/>
          <w:color w:val="auto"/>
        </w:rPr>
      </w:pPr>
    </w:p>
    <w:p>
      <w:pPr>
        <w:ind w:left="2200"/>
        <w:spacing w:after="0"/>
        <w:tabs>
          <w:tab w:leader="none" w:pos="4700" w:val="left"/>
          <w:tab w:leader="none" w:pos="6820" w:val="left"/>
        </w:tabs>
        <w:rPr>
          <w:sz w:val="20"/>
          <w:szCs w:val="20"/>
          <w:color w:val="auto"/>
        </w:rPr>
      </w:pPr>
      <w:r>
        <w:rPr>
          <w:rFonts w:ascii="Arial" w:cs="Arial" w:eastAsia="Arial" w:hAnsi="Arial"/>
          <w:sz w:val="18"/>
          <w:szCs w:val="18"/>
          <w:b w:val="1"/>
          <w:bCs w:val="1"/>
          <w:color w:val="auto"/>
        </w:rPr>
        <w:t>333 Clay Street, Suite 1600</w:t>
      </w:r>
      <w:r>
        <w:rPr>
          <w:sz w:val="20"/>
          <w:szCs w:val="20"/>
          <w:color w:val="auto"/>
        </w:rPr>
        <w:tab/>
      </w:r>
      <w:r>
        <w:rPr>
          <w:rFonts w:ascii="Arial" w:cs="Arial" w:eastAsia="Arial" w:hAnsi="Arial"/>
          <w:sz w:val="18"/>
          <w:szCs w:val="18"/>
          <w:b w:val="1"/>
          <w:bCs w:val="1"/>
          <w:color w:val="auto"/>
        </w:rPr>
        <w:t>Houston, Texas 77002</w:t>
      </w:r>
      <w:r>
        <w:rPr>
          <w:sz w:val="20"/>
          <w:szCs w:val="20"/>
          <w:color w:val="auto"/>
        </w:rPr>
        <w:tab/>
      </w:r>
      <w:r>
        <w:rPr>
          <w:rFonts w:ascii="Arial" w:cs="Arial" w:eastAsia="Arial" w:hAnsi="Arial"/>
          <w:sz w:val="16"/>
          <w:szCs w:val="16"/>
          <w:b w:val="1"/>
          <w:bCs w:val="1"/>
          <w:color w:val="auto"/>
        </w:rPr>
        <w:t>(713) 646-4100 / (866) 809-1291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2466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220980</wp:posOffset>
            </wp:positionV>
            <wp:extent cx="7267575" cy="298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Page 4</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Conference Call Access Instructions</w:t>
      </w:r>
    </w:p>
    <w:p>
      <w:pPr>
        <w:spacing w:after="0" w:line="225" w:lineRule="exact"/>
        <w:rPr>
          <w:sz w:val="20"/>
          <w:szCs w:val="20"/>
          <w:color w:val="auto"/>
        </w:rPr>
      </w:pPr>
    </w:p>
    <w:p>
      <w:pPr>
        <w:ind w:right="580" w:firstLine="648"/>
        <w:spacing w:after="0" w:line="308" w:lineRule="auto"/>
        <w:rPr>
          <w:sz w:val="20"/>
          <w:szCs w:val="20"/>
          <w:color w:val="auto"/>
        </w:rPr>
      </w:pPr>
      <w:r>
        <w:rPr>
          <w:rFonts w:ascii="Arial" w:cs="Arial" w:eastAsia="Arial" w:hAnsi="Arial"/>
          <w:sz w:val="17"/>
          <w:szCs w:val="17"/>
          <w:color w:val="auto"/>
        </w:rPr>
        <w:t>To access the Internet webcast of the conference call, please go to www.plainsallamerican.com, choose “Investor Relations,” and then choose “Events and Presentations.” Following the live webcast, the call will be archived for a period of sixty (60) days on the website.</w:t>
      </w:r>
    </w:p>
    <w:p>
      <w:pPr>
        <w:spacing w:after="0" w:line="147" w:lineRule="exact"/>
        <w:rPr>
          <w:sz w:val="20"/>
          <w:szCs w:val="20"/>
          <w:color w:val="auto"/>
        </w:rPr>
      </w:pPr>
    </w:p>
    <w:p>
      <w:pPr>
        <w:ind w:right="80" w:firstLine="648"/>
        <w:spacing w:after="0" w:line="264" w:lineRule="auto"/>
        <w:rPr>
          <w:sz w:val="20"/>
          <w:szCs w:val="20"/>
          <w:color w:val="auto"/>
        </w:rPr>
      </w:pPr>
      <w:r>
        <w:rPr>
          <w:rFonts w:ascii="Arial" w:cs="Arial" w:eastAsia="Arial" w:hAnsi="Arial"/>
          <w:sz w:val="18"/>
          <w:szCs w:val="18"/>
          <w:color w:val="auto"/>
        </w:rPr>
        <w:t>Alternatively, access to the live conference call is available by dialing toll free (800) 230-1085. International callers should dial (612) 332-0107. No password is required. The slide presentation accompanying the conference call will be available a few minutes prior to the call under the “Events and Presentations” tab of the PAA and PAGP Investor Relations sections of the above referenced website.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Telephonic Replay Instructions</w:t>
      </w:r>
    </w:p>
    <w:p>
      <w:pPr>
        <w:spacing w:after="0" w:line="225" w:lineRule="exact"/>
        <w:rPr>
          <w:sz w:val="20"/>
          <w:szCs w:val="20"/>
          <w:color w:val="auto"/>
        </w:rPr>
      </w:pPr>
    </w:p>
    <w:p>
      <w:pPr>
        <w:ind w:right="40" w:firstLine="648"/>
        <w:spacing w:after="0" w:line="264" w:lineRule="auto"/>
        <w:rPr>
          <w:sz w:val="20"/>
          <w:szCs w:val="20"/>
          <w:color w:val="auto"/>
        </w:rPr>
      </w:pPr>
      <w:r>
        <w:rPr>
          <w:rFonts w:ascii="Arial" w:cs="Arial" w:eastAsia="Arial" w:hAnsi="Arial"/>
          <w:sz w:val="18"/>
          <w:szCs w:val="18"/>
          <w:color w:val="auto"/>
        </w:rPr>
        <w:t>To listen to a telephonic replay of the conference call, please dial (800) 475-6701, or (320) 365-3844 for international callers, and enter replay access code 331340. The replay will be available beginning Thursday, August 7, 2014, at approximately 1:00 p.m. EDT and will continue until 11:59 p.m. EDT on September 7, 2014.</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Non-GAAP Financial Measures and Selected Items Impacting Comparability</w:t>
      </w:r>
    </w:p>
    <w:p>
      <w:pPr>
        <w:spacing w:after="0" w:line="225" w:lineRule="exact"/>
        <w:rPr>
          <w:sz w:val="20"/>
          <w:szCs w:val="20"/>
          <w:color w:val="auto"/>
        </w:rPr>
      </w:pPr>
    </w:p>
    <w:p>
      <w:pPr>
        <w:ind w:right="20" w:firstLine="648"/>
        <w:spacing w:after="0" w:line="283" w:lineRule="auto"/>
        <w:rPr>
          <w:sz w:val="20"/>
          <w:szCs w:val="20"/>
          <w:color w:val="auto"/>
        </w:rPr>
      </w:pPr>
      <w:r>
        <w:rPr>
          <w:rFonts w:ascii="Arial" w:cs="Arial" w:eastAsia="Arial" w:hAnsi="Arial"/>
          <w:sz w:val="16"/>
          <w:szCs w:val="16"/>
          <w:color w:val="auto"/>
        </w:rPr>
        <w:t>To supplement our financial information presented in accordance with GAAP, management uses additional measures that are known as “non-GAAP financial measures” (such as adjusted EBITDA and implied distributable cash flow) in its evaluation of past performance and prospects for the future. Management believes that the presentation of such additional financial measures provides useful information to investors regarding our performance and results of operations because these measures, when used in conjunction with related GAAP financial measures, (i) provide additional information about our core operating performance and ability to generate and distribute cash flow, (ii) provide investors with the financial analytical framework upon which management bases financial, operational, compensation and planning decisions and (iii) present measurements that investors, rating agencies and debt holders have indicated are useful in assessing us and our results of operations. These measures may exclude, for example, (i) charges for obligations that are expected to be settled with the issuance of equity instruments, (ii) the mark-to-market of derivative instruments that are related to underlying activities in another period (or the reversal of such adjustments from a prior period), (iii) items that are not indicative of our core operating results and business outlook and/or</w:t>
      </w:r>
    </w:p>
    <w:p>
      <w:pPr>
        <w:spacing w:after="0" w:line="7" w:lineRule="exact"/>
        <w:rPr>
          <w:sz w:val="20"/>
          <w:szCs w:val="20"/>
          <w:color w:val="auto"/>
        </w:rPr>
      </w:pPr>
    </w:p>
    <w:p>
      <w:pPr>
        <w:ind w:right="320" w:firstLine="8"/>
        <w:spacing w:after="0" w:line="255" w:lineRule="auto"/>
        <w:tabs>
          <w:tab w:leader="none" w:pos="305" w:val="left"/>
        </w:tabs>
        <w:numPr>
          <w:ilvl w:val="0"/>
          <w:numId w:val="21"/>
        </w:numPr>
        <w:rPr>
          <w:rFonts w:ascii="Arial" w:cs="Arial" w:eastAsia="Arial" w:hAnsi="Arial"/>
          <w:sz w:val="18"/>
          <w:szCs w:val="18"/>
          <w:color w:val="auto"/>
        </w:rPr>
      </w:pPr>
      <w:r>
        <w:rPr>
          <w:rFonts w:ascii="Arial" w:cs="Arial" w:eastAsia="Arial" w:hAnsi="Arial"/>
          <w:sz w:val="18"/>
          <w:szCs w:val="18"/>
          <w:color w:val="auto"/>
        </w:rPr>
        <w:t>other items that we believe should be excluded in understanding our core operating performance. We have defined all such items as “selected items impacting comparability.” We consider an understanding of these selected items impacting comparability to be material to the evaluation of our operating results and prospects.</w:t>
      </w:r>
    </w:p>
    <w:p>
      <w:pPr>
        <w:spacing w:after="0" w:line="190" w:lineRule="exact"/>
        <w:rPr>
          <w:sz w:val="20"/>
          <w:szCs w:val="20"/>
          <w:color w:val="auto"/>
        </w:rPr>
      </w:pPr>
    </w:p>
    <w:p>
      <w:pPr>
        <w:ind w:right="140" w:firstLine="648"/>
        <w:spacing w:after="0" w:line="302" w:lineRule="auto"/>
        <w:rPr>
          <w:sz w:val="20"/>
          <w:szCs w:val="20"/>
          <w:color w:val="auto"/>
        </w:rPr>
      </w:pPr>
      <w:r>
        <w:rPr>
          <w:rFonts w:ascii="Arial" w:cs="Arial" w:eastAsia="Arial" w:hAnsi="Arial"/>
          <w:sz w:val="16"/>
          <w:szCs w:val="16"/>
          <w:color w:val="auto"/>
        </w:rPr>
        <w:t>Although we present selected items that we consider in evaluating our performance, you should also be aware that the items presented do not represent all items that affect comparability between the periods presented. Variations in our operating results are also caused by changes in volumes, prices, exchange rates, mechanical interruptions, acquisitions and numerous other factors. These types of variations are not separately identified in this release, but will be discussed, as applicable, in management’s discussion and analysis of operating results in our Quarterly Report on Form 10-Q.</w:t>
      </w:r>
    </w:p>
    <w:p>
      <w:pPr>
        <w:spacing w:after="0" w:line="154" w:lineRule="exact"/>
        <w:rPr>
          <w:sz w:val="20"/>
          <w:szCs w:val="20"/>
          <w:color w:val="auto"/>
        </w:rPr>
      </w:pPr>
    </w:p>
    <w:p>
      <w:pPr>
        <w:ind w:right="100" w:firstLine="648"/>
        <w:spacing w:after="0" w:line="297" w:lineRule="auto"/>
        <w:rPr>
          <w:sz w:val="20"/>
          <w:szCs w:val="20"/>
          <w:color w:val="auto"/>
        </w:rPr>
      </w:pPr>
      <w:r>
        <w:rPr>
          <w:rFonts w:ascii="Arial" w:cs="Arial" w:eastAsia="Arial" w:hAnsi="Arial"/>
          <w:sz w:val="16"/>
          <w:szCs w:val="16"/>
          <w:color w:val="auto"/>
        </w:rPr>
        <w:t>Adjusted EBITDA and other non-GAAP financial measures are reconciled to the most comparable GAAP measures for the periods presented in the tables attached to this release, and should be viewed in addition to, and not in lieu of, our consolidated financial statements and notes thereto. In addition, PAA maintains on its website (www.plainsallamerican.com) a reconciliation of adjusted EBITDA and certain commonly used non-GAAP financial information to the most comparable GAAP measures. To access the information, investors should click on “Plains All American Pipeline, L.P.” under the “Investor Relations” link on the home page, select the “Guidance &amp; Non-GAAP Reconciliations” link and navigate to the “Non-GAAP Reconciliations” tab.</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more –</w:t>
      </w:r>
    </w:p>
    <w:p>
      <w:pPr>
        <w:spacing w:after="0" w:line="32" w:lineRule="exact"/>
        <w:rPr>
          <w:sz w:val="20"/>
          <w:szCs w:val="20"/>
          <w:color w:val="auto"/>
        </w:rPr>
      </w:pPr>
    </w:p>
    <w:p>
      <w:pPr>
        <w:ind w:left="2200"/>
        <w:spacing w:after="0"/>
        <w:tabs>
          <w:tab w:leader="none" w:pos="4700" w:val="left"/>
          <w:tab w:leader="none" w:pos="6820" w:val="left"/>
        </w:tabs>
        <w:rPr>
          <w:sz w:val="20"/>
          <w:szCs w:val="20"/>
          <w:color w:val="auto"/>
        </w:rPr>
      </w:pPr>
      <w:r>
        <w:rPr>
          <w:rFonts w:ascii="Arial" w:cs="Arial" w:eastAsia="Arial" w:hAnsi="Arial"/>
          <w:sz w:val="18"/>
          <w:szCs w:val="18"/>
          <w:b w:val="1"/>
          <w:bCs w:val="1"/>
          <w:color w:val="auto"/>
        </w:rPr>
        <w:t>333 Clay Street, Suite 1600</w:t>
      </w:r>
      <w:r>
        <w:rPr>
          <w:sz w:val="20"/>
          <w:szCs w:val="20"/>
          <w:color w:val="auto"/>
        </w:rPr>
        <w:tab/>
      </w:r>
      <w:r>
        <w:rPr>
          <w:rFonts w:ascii="Arial" w:cs="Arial" w:eastAsia="Arial" w:hAnsi="Arial"/>
          <w:sz w:val="18"/>
          <w:szCs w:val="18"/>
          <w:b w:val="1"/>
          <w:bCs w:val="1"/>
          <w:color w:val="auto"/>
        </w:rPr>
        <w:t>Houston, Texas 77002</w:t>
      </w:r>
      <w:r>
        <w:rPr>
          <w:sz w:val="20"/>
          <w:szCs w:val="20"/>
          <w:color w:val="auto"/>
        </w:rPr>
        <w:tab/>
      </w:r>
      <w:r>
        <w:rPr>
          <w:rFonts w:ascii="Arial" w:cs="Arial" w:eastAsia="Arial" w:hAnsi="Arial"/>
          <w:sz w:val="16"/>
          <w:szCs w:val="16"/>
          <w:b w:val="1"/>
          <w:bCs w:val="1"/>
          <w:color w:val="auto"/>
        </w:rPr>
        <w:t>(713) 646-4100 / (866) 809-1291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24662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220980</wp:posOffset>
            </wp:positionV>
            <wp:extent cx="7267575" cy="298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Page 5</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Forward Looking Statements</w:t>
      </w:r>
    </w:p>
    <w:p>
      <w:pPr>
        <w:spacing w:after="0" w:line="225" w:lineRule="exact"/>
        <w:rPr>
          <w:sz w:val="20"/>
          <w:szCs w:val="20"/>
          <w:color w:val="auto"/>
        </w:rPr>
      </w:pPr>
    </w:p>
    <w:p>
      <w:pPr>
        <w:ind w:firstLine="648"/>
        <w:spacing w:after="0" w:line="286" w:lineRule="auto"/>
        <w:rPr>
          <w:sz w:val="20"/>
          <w:szCs w:val="20"/>
          <w:color w:val="auto"/>
        </w:rPr>
      </w:pPr>
      <w:r>
        <w:rPr>
          <w:rFonts w:ascii="Arial" w:cs="Arial" w:eastAsia="Arial" w:hAnsi="Arial"/>
          <w:sz w:val="16"/>
          <w:szCs w:val="16"/>
          <w:color w:val="auto"/>
        </w:rPr>
        <w:t>Except for the historical information contained herein, the matters discussed in this release are forward-looking statements that involve certain risks and uncertainties that could cause actual results to differ materially from results anticipated in the forward-looking statements. These risks and uncertainties include, among other things, failure to implement or capitalize, or delays in implementing or capitalizing, on planned internal growth projects; unanticipated changes in crude oil market structure, grade differentials and volatility (or lack thereof); environmental liabilities or events that are not covered by an indemnity, insurance or existing reserves; declines in the volume of crude oil, refined product and NGL shipped, processed, purchased, stored, fractionated and/or gathered at or through the use of our facilities, whether due to declines in production from existing oil and gas reserves, failure to develop or slowdown in the development of additional oil and gas reserves or other factors; fluctuations in refinery capacity in areas supplied by our mainlines and other factors affecting demand for various grades of crude oil, refined products and natural gas and resulting changes in pricing conditions or transportation throughput requirements; the occurrence of a natural disaster, catastrophe, terrorist attack or other event, including attacks on our electronic and computer systems; weather interference with business operations or project construction, including the impact of extreme weather events or conditions; tightened capital markets or other factors that increase our cost of capital or limit our access to capital; maintenance of our credit rating and ability to receive open credit from our suppliers and trade counterparties; continued creditworthiness of, and performance by, our counterparties, including financial institutions and trading companies with which we do business; the currency exchange rate of the Canadian dollar; the availability of, and our ability to consummate, acquisition or</w:t>
      </w:r>
    </w:p>
    <w:p>
      <w:pPr>
        <w:sectPr>
          <w:pgSz w:w="11900" w:h="16838" w:orient="portrait"/>
          <w:cols w:equalWidth="0" w:num="1">
            <w:col w:w="11420"/>
          </w:cols>
          <w:pgMar w:left="240" w:top="341" w:right="239" w:bottom="0" w:gutter="0" w:footer="0" w:header="0"/>
        </w:sectPr>
      </w:pPr>
    </w:p>
    <w:bookmarkStart w:id="10" w:name="page11"/>
    <w:bookmarkEnd w:id="10"/>
    <w:p>
      <w:pPr>
        <w:spacing w:after="0" w:line="62"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combination opportunities; the successful integration and future performance of acquired assets or businesses and the risks associated with operating in lines of business that are distinct and separate from our historical operations; shortages or cost increases of supplies, materials or labor; the effectiveness of our risk management activities; our ability to obtain debt or equity financing on satisfactory terms to fund additional acquisitions, expansion projects, working capital requirements and the repayment or refinancing of indebtedness; the impact of current and future laws, rulings, governmental regulations, accounting standards and statements, and related interpretations; non-utilization of our assets and facilities; the effects of competition; increased costs or lack of availability of insurance; fluctuations in the debt and equity markets, including the price of our units at the time of vesting under our long-term incentive plans; risks related to the development and operation of our facilities, including our ability to satisfy our contractual obligations to our customers at our facilities; factors affecting demand for natural gas and natural gas storage services and rates; general economic, market or business conditions and the amplification of other risks caused by volatile financial markets, capital constraints and pervasive liquidity concerns; and other factors and uncertainties inherent in the transportation, storage, terminalling and marketing of crude oil and refined products, as well as in the storage of natural gas and the processing, transportation, fractionation, storage and marketing of natural gas liquids discussed in the Partnerships’ filings with the Securities and Exchange Commission.</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more –</w:t>
      </w:r>
    </w:p>
    <w:p>
      <w:pPr>
        <w:spacing w:after="0" w:line="46" w:lineRule="exact"/>
        <w:rPr>
          <w:sz w:val="20"/>
          <w:szCs w:val="20"/>
          <w:color w:val="auto"/>
        </w:rPr>
      </w:pPr>
    </w:p>
    <w:p>
      <w:pPr>
        <w:ind w:left="2200"/>
        <w:spacing w:after="0"/>
        <w:tabs>
          <w:tab w:leader="none" w:pos="4700" w:val="left"/>
          <w:tab w:leader="none" w:pos="6820" w:val="left"/>
        </w:tabs>
        <w:rPr>
          <w:sz w:val="20"/>
          <w:szCs w:val="20"/>
          <w:color w:val="auto"/>
        </w:rPr>
      </w:pPr>
      <w:r>
        <w:rPr>
          <w:rFonts w:ascii="Arial" w:cs="Arial" w:eastAsia="Arial" w:hAnsi="Arial"/>
          <w:sz w:val="18"/>
          <w:szCs w:val="18"/>
          <w:b w:val="1"/>
          <w:bCs w:val="1"/>
          <w:color w:val="auto"/>
        </w:rPr>
        <w:t>333 Clay Street, Suite 1600</w:t>
      </w:r>
      <w:r>
        <w:rPr>
          <w:sz w:val="20"/>
          <w:szCs w:val="20"/>
          <w:color w:val="auto"/>
        </w:rPr>
        <w:tab/>
      </w:r>
      <w:r>
        <w:rPr>
          <w:rFonts w:ascii="Arial" w:cs="Arial" w:eastAsia="Arial" w:hAnsi="Arial"/>
          <w:sz w:val="18"/>
          <w:szCs w:val="18"/>
          <w:b w:val="1"/>
          <w:bCs w:val="1"/>
          <w:color w:val="auto"/>
        </w:rPr>
        <w:t>Houston, Texas 77002</w:t>
      </w:r>
      <w:r>
        <w:rPr>
          <w:sz w:val="20"/>
          <w:szCs w:val="20"/>
          <w:color w:val="auto"/>
        </w:rPr>
        <w:tab/>
      </w:r>
      <w:r>
        <w:rPr>
          <w:rFonts w:ascii="Arial" w:cs="Arial" w:eastAsia="Arial" w:hAnsi="Arial"/>
          <w:sz w:val="16"/>
          <w:szCs w:val="16"/>
          <w:b w:val="1"/>
          <w:bCs w:val="1"/>
          <w:color w:val="auto"/>
        </w:rPr>
        <w:t>(713) 646-4100 / (866) 809-1291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24662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220980</wp:posOffset>
            </wp:positionV>
            <wp:extent cx="7267575" cy="298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Page 6</w:t>
      </w:r>
    </w:p>
    <w:p>
      <w:pPr>
        <w:spacing w:after="0" w:line="225" w:lineRule="exact"/>
        <w:rPr>
          <w:sz w:val="20"/>
          <w:szCs w:val="20"/>
          <w:color w:val="auto"/>
        </w:rPr>
      </w:pPr>
    </w:p>
    <w:p>
      <w:pPr>
        <w:ind w:right="80" w:firstLine="648"/>
        <w:spacing w:after="0" w:line="257" w:lineRule="auto"/>
        <w:rPr>
          <w:sz w:val="20"/>
          <w:szCs w:val="20"/>
          <w:color w:val="auto"/>
        </w:rPr>
      </w:pPr>
      <w:r>
        <w:rPr>
          <w:rFonts w:ascii="Arial" w:cs="Arial" w:eastAsia="Arial" w:hAnsi="Arial"/>
          <w:sz w:val="18"/>
          <w:szCs w:val="18"/>
          <w:color w:val="auto"/>
        </w:rPr>
        <w:t>Plains All American Pipeline, L.P. is a publicly traded master limited partnership that owns and operates midstream energy infrastructure and provides logistics services for crude oil, natural gas liquids (“NGL”), natural gas and refined products. PAA owns an extensive network of pipeline transportation, terminalling, storage and gathering assets in key crude oil and NGL producing basins and transportation corridors and at major market hubs in the United States and Canada. On average, PAA handles over 3.5 million barrels per day of crude oil and NGL on its pipelines. PAA is headquartered in Houston, Texas.</w:t>
      </w:r>
    </w:p>
    <w:p>
      <w:pPr>
        <w:spacing w:after="0" w:line="188" w:lineRule="exact"/>
        <w:rPr>
          <w:sz w:val="20"/>
          <w:szCs w:val="20"/>
          <w:color w:val="auto"/>
        </w:rPr>
      </w:pPr>
    </w:p>
    <w:p>
      <w:pPr>
        <w:ind w:right="320" w:firstLine="648"/>
        <w:spacing w:after="0" w:line="342" w:lineRule="auto"/>
        <w:rPr>
          <w:sz w:val="20"/>
          <w:szCs w:val="20"/>
          <w:color w:val="auto"/>
        </w:rPr>
      </w:pPr>
      <w:r>
        <w:rPr>
          <w:rFonts w:ascii="Arial" w:cs="Arial" w:eastAsia="Arial" w:hAnsi="Arial"/>
          <w:sz w:val="16"/>
          <w:szCs w:val="16"/>
          <w:color w:val="auto"/>
        </w:rPr>
        <w:t>Plains GP Holdings is a publicly traded entity that owns an interest in the general partner and incentive distribution rights of Plains All American Pipeline, L.P., one of the largest energy infrastructure and logistics companies in North America. PAGP is headquartered in Houston, Texas.</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more –</w:t>
      </w:r>
    </w:p>
    <w:p>
      <w:pPr>
        <w:spacing w:after="0" w:line="32" w:lineRule="exact"/>
        <w:rPr>
          <w:sz w:val="20"/>
          <w:szCs w:val="20"/>
          <w:color w:val="auto"/>
        </w:rPr>
      </w:pPr>
    </w:p>
    <w:p>
      <w:pPr>
        <w:ind w:left="2200"/>
        <w:spacing w:after="0"/>
        <w:tabs>
          <w:tab w:leader="none" w:pos="4700" w:val="left"/>
          <w:tab w:leader="none" w:pos="6820" w:val="left"/>
        </w:tabs>
        <w:rPr>
          <w:sz w:val="20"/>
          <w:szCs w:val="20"/>
          <w:color w:val="auto"/>
        </w:rPr>
      </w:pPr>
      <w:r>
        <w:rPr>
          <w:rFonts w:ascii="Arial" w:cs="Arial" w:eastAsia="Arial" w:hAnsi="Arial"/>
          <w:sz w:val="18"/>
          <w:szCs w:val="18"/>
          <w:b w:val="1"/>
          <w:bCs w:val="1"/>
          <w:color w:val="auto"/>
        </w:rPr>
        <w:t>333 Clay Street, Suite 1600</w:t>
      </w:r>
      <w:r>
        <w:rPr>
          <w:sz w:val="20"/>
          <w:szCs w:val="20"/>
          <w:color w:val="auto"/>
        </w:rPr>
        <w:tab/>
      </w:r>
      <w:r>
        <w:rPr>
          <w:rFonts w:ascii="Arial" w:cs="Arial" w:eastAsia="Arial" w:hAnsi="Arial"/>
          <w:sz w:val="18"/>
          <w:szCs w:val="18"/>
          <w:b w:val="1"/>
          <w:bCs w:val="1"/>
          <w:color w:val="auto"/>
        </w:rPr>
        <w:t>Houston, Texas 77002</w:t>
      </w:r>
      <w:r>
        <w:rPr>
          <w:sz w:val="20"/>
          <w:szCs w:val="20"/>
          <w:color w:val="auto"/>
        </w:rPr>
        <w:tab/>
      </w:r>
      <w:r>
        <w:rPr>
          <w:rFonts w:ascii="Arial" w:cs="Arial" w:eastAsia="Arial" w:hAnsi="Arial"/>
          <w:sz w:val="16"/>
          <w:szCs w:val="16"/>
          <w:b w:val="1"/>
          <w:bCs w:val="1"/>
          <w:color w:val="auto"/>
        </w:rPr>
        <w:t>(713) 646-4100 / (866) 809-1291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24662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220980</wp:posOffset>
            </wp:positionV>
            <wp:extent cx="7267575" cy="298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Page 7</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FINANCIAL SUMMARY </w:t>
      </w:r>
      <w:r>
        <w:rPr>
          <w:rFonts w:ascii="Arial" w:cs="Arial" w:eastAsia="Arial" w:hAnsi="Arial"/>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24662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CONDENSED CONSOLIDATED STATEMENTS OF OPERATIONS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(in millions, except per unit data)</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8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520" w:type="dxa"/>
            <w:vAlign w:val="bottom"/>
            <w:gridSpan w:val="6"/>
          </w:tcPr>
          <w:p>
            <w:pPr>
              <w:jc w:val="right"/>
              <w:ind w:right="820"/>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380" w:type="dxa"/>
            <w:vAlign w:val="bottom"/>
            <w:gridSpan w:val="5"/>
          </w:tcPr>
          <w:p>
            <w:pPr>
              <w:jc w:val="right"/>
              <w:ind w:right="80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8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gridSpan w:val="4"/>
          </w:tcPr>
          <w:p>
            <w:pPr>
              <w:jc w:val="right"/>
              <w:ind w:right="85"/>
              <w:spacing w:after="0"/>
              <w:rPr>
                <w:sz w:val="20"/>
                <w:szCs w:val="20"/>
                <w:color w:val="auto"/>
              </w:rPr>
            </w:pPr>
            <w:r>
              <w:rPr>
                <w:rFonts w:ascii="Arial" w:cs="Arial" w:eastAsia="Arial" w:hAnsi="Arial"/>
                <w:sz w:val="14"/>
                <w:szCs w:val="14"/>
                <w:b w:val="1"/>
                <w:bCs w:val="1"/>
                <w:color w:val="auto"/>
              </w:rPr>
              <w:t>June 30,</w:t>
            </w:r>
          </w:p>
        </w:tc>
        <w:tc>
          <w:tcPr>
            <w:tcW w:w="88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3"/>
          </w:tcPr>
          <w:p>
            <w:pPr>
              <w:jc w:val="right"/>
              <w:ind w:right="85"/>
              <w:spacing w:after="0"/>
              <w:rPr>
                <w:sz w:val="20"/>
                <w:szCs w:val="20"/>
                <w:color w:val="auto"/>
              </w:rPr>
            </w:pPr>
            <w:r>
              <w:rPr>
                <w:rFonts w:ascii="Arial" w:cs="Arial" w:eastAsia="Arial" w:hAnsi="Arial"/>
                <w:sz w:val="14"/>
                <w:szCs w:val="14"/>
                <w:b w:val="1"/>
                <w:bCs w:val="1"/>
                <w:color w:val="auto"/>
              </w:rPr>
              <w:t>June 30,</w:t>
            </w:r>
          </w:p>
        </w:tc>
        <w:tc>
          <w:tcPr>
            <w:tcW w:w="8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8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353"/>
              <w:spacing w:after="0" w:line="142" w:lineRule="exact"/>
              <w:rPr>
                <w:sz w:val="20"/>
                <w:szCs w:val="20"/>
                <w:color w:val="auto"/>
              </w:rPr>
            </w:pPr>
            <w:r>
              <w:rPr>
                <w:rFonts w:ascii="Arial" w:cs="Arial" w:eastAsia="Arial" w:hAnsi="Arial"/>
                <w:sz w:val="14"/>
                <w:szCs w:val="14"/>
                <w:b w:val="1"/>
                <w:bCs w:val="1"/>
                <w:color w:val="auto"/>
              </w:rPr>
              <w:t>2014</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331"/>
              <w:spacing w:after="0" w:line="142" w:lineRule="exact"/>
              <w:rPr>
                <w:sz w:val="20"/>
                <w:szCs w:val="20"/>
                <w:color w:val="auto"/>
              </w:rPr>
            </w:pPr>
            <w:r>
              <w:rPr>
                <w:rFonts w:ascii="Arial" w:cs="Arial" w:eastAsia="Arial" w:hAnsi="Arial"/>
                <w:sz w:val="14"/>
                <w:szCs w:val="14"/>
                <w:b w:val="1"/>
                <w:bCs w:val="1"/>
                <w:color w:val="auto"/>
              </w:rPr>
              <w:t>2013</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313"/>
              <w:spacing w:after="0" w:line="142" w:lineRule="exact"/>
              <w:rPr>
                <w:sz w:val="20"/>
                <w:szCs w:val="20"/>
                <w:color w:val="auto"/>
              </w:rPr>
            </w:pPr>
            <w:r>
              <w:rPr>
                <w:rFonts w:ascii="Arial" w:cs="Arial" w:eastAsia="Arial" w:hAnsi="Arial"/>
                <w:sz w:val="14"/>
                <w:szCs w:val="14"/>
                <w:b w:val="1"/>
                <w:bCs w:val="1"/>
                <w:color w:val="auto"/>
              </w:rPr>
              <w:t>2014</w:t>
            </w:r>
          </w:p>
        </w:tc>
        <w:tc>
          <w:tcPr>
            <w:tcW w:w="30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331"/>
              <w:spacing w:after="0" w:line="142" w:lineRule="exact"/>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8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REVENUES</w:t>
            </w:r>
          </w:p>
        </w:tc>
        <w:tc>
          <w:tcPr>
            <w:tcW w:w="130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11,195</w:t>
            </w:r>
          </w:p>
        </w:tc>
        <w:tc>
          <w:tcPr>
            <w:tcW w:w="380" w:type="dxa"/>
            <w:vAlign w:val="bottom"/>
            <w:gridSpan w:val="2"/>
            <w:shd w:val="clear" w:color="auto" w:fill="CCEEFF"/>
          </w:tcPr>
          <w:p>
            <w:pPr>
              <w:jc w:val="right"/>
              <w:ind w:right="105"/>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10,295</w:t>
            </w:r>
          </w:p>
        </w:tc>
        <w:tc>
          <w:tcPr>
            <w:tcW w:w="36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22,878</w:t>
            </w: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20,915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8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COSTS AND EXPENSES</w:t>
            </w:r>
          </w:p>
        </w:tc>
        <w:tc>
          <w:tcPr>
            <w:tcW w:w="10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tcPr>
          <w:p>
            <w:pPr>
              <w:spacing w:after="0"/>
              <w:rPr>
                <w:sz w:val="20"/>
                <w:szCs w:val="20"/>
                <w:color w:val="auto"/>
              </w:rPr>
            </w:pPr>
            <w:r>
              <w:rPr>
                <w:rFonts w:ascii="Arial" w:cs="Arial" w:eastAsia="Arial" w:hAnsi="Arial"/>
                <w:sz w:val="18"/>
                <w:szCs w:val="18"/>
                <w:color w:val="auto"/>
              </w:rPr>
              <w:t>Purchases and related costs</w:t>
            </w:r>
          </w:p>
        </w:tc>
        <w:tc>
          <w:tcPr>
            <w:tcW w:w="1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10,280</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9,387</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gridSpan w:val="2"/>
          </w:tcPr>
          <w:p>
            <w:pPr>
              <w:jc w:val="right"/>
              <w:ind w:right="300"/>
              <w:spacing w:after="0"/>
              <w:rPr>
                <w:sz w:val="20"/>
                <w:szCs w:val="20"/>
                <w:color w:val="auto"/>
              </w:rPr>
            </w:pPr>
            <w:r>
              <w:rPr>
                <w:rFonts w:ascii="Arial" w:cs="Arial" w:eastAsia="Arial" w:hAnsi="Arial"/>
                <w:sz w:val="18"/>
                <w:szCs w:val="18"/>
                <w:color w:val="auto"/>
              </w:rPr>
              <w:t>20,950</w:t>
            </w:r>
          </w:p>
        </w:tc>
        <w:tc>
          <w:tcPr>
            <w:tcW w:w="26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18,825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Field operating costs</w:t>
            </w:r>
          </w:p>
        </w:tc>
        <w:tc>
          <w:tcPr>
            <w:tcW w:w="10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360</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343</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696</w:t>
            </w:r>
          </w:p>
        </w:tc>
        <w:tc>
          <w:tcPr>
            <w:tcW w:w="2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tcPr>
          <w:p>
            <w:pPr>
              <w:spacing w:after="0"/>
              <w:rPr>
                <w:sz w:val="20"/>
                <w:szCs w:val="20"/>
                <w:color w:val="auto"/>
              </w:rPr>
            </w:pPr>
            <w:r>
              <w:rPr>
                <w:rFonts w:ascii="Arial" w:cs="Arial" w:eastAsia="Arial" w:hAnsi="Arial"/>
                <w:sz w:val="18"/>
                <w:szCs w:val="18"/>
                <w:color w:val="auto"/>
              </w:rPr>
              <w:t>General and administrative expenses</w:t>
            </w:r>
          </w:p>
        </w:tc>
        <w:tc>
          <w:tcPr>
            <w:tcW w:w="1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90</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91</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gridSpan w:val="2"/>
          </w:tcPr>
          <w:p>
            <w:pPr>
              <w:jc w:val="right"/>
              <w:ind w:right="300"/>
              <w:spacing w:after="0"/>
              <w:rPr>
                <w:sz w:val="20"/>
                <w:szCs w:val="20"/>
                <w:color w:val="auto"/>
              </w:rPr>
            </w:pPr>
            <w:r>
              <w:rPr>
                <w:rFonts w:ascii="Arial" w:cs="Arial" w:eastAsia="Arial" w:hAnsi="Arial"/>
                <w:sz w:val="18"/>
                <w:szCs w:val="18"/>
                <w:color w:val="auto"/>
              </w:rPr>
              <w:t>179</w:t>
            </w:r>
          </w:p>
        </w:tc>
        <w:tc>
          <w:tcPr>
            <w:tcW w:w="26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10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100</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196</w:t>
            </w:r>
          </w:p>
        </w:tc>
        <w:tc>
          <w:tcPr>
            <w:tcW w:w="2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40" w:type="dxa"/>
            <w:vAlign w:val="bottom"/>
            <w:tcBorders>
              <w:bottom w:val="single" w:sz="8" w:color="CCEEFF"/>
            </w:tcBorders>
          </w:tcPr>
          <w:p>
            <w:pPr>
              <w:ind w:left="160"/>
              <w:spacing w:after="0"/>
              <w:rPr>
                <w:sz w:val="20"/>
                <w:szCs w:val="20"/>
                <w:color w:val="auto"/>
              </w:rPr>
            </w:pPr>
            <w:r>
              <w:rPr>
                <w:rFonts w:ascii="Arial" w:cs="Arial" w:eastAsia="Arial" w:hAnsi="Arial"/>
                <w:sz w:val="18"/>
                <w:szCs w:val="18"/>
                <w:color w:val="auto"/>
              </w:rPr>
              <w:t>Total costs and expenses</w:t>
            </w:r>
          </w:p>
        </w:tc>
        <w:tc>
          <w:tcPr>
            <w:tcW w:w="104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10,830</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9,912</w:t>
            </w:r>
          </w:p>
        </w:tc>
        <w:tc>
          <w:tcPr>
            <w:tcW w:w="1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22,021</w:t>
            </w:r>
          </w:p>
        </w:tc>
        <w:tc>
          <w:tcPr>
            <w:tcW w:w="30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19,878</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8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40" w:type="dxa"/>
            <w:vAlign w:val="bottom"/>
          </w:tcPr>
          <w:p>
            <w:pPr>
              <w:spacing w:after="0"/>
              <w:rPr>
                <w:sz w:val="20"/>
                <w:szCs w:val="20"/>
                <w:color w:val="auto"/>
              </w:rPr>
            </w:pPr>
            <w:r>
              <w:rPr>
                <w:rFonts w:ascii="Arial" w:cs="Arial" w:eastAsia="Arial" w:hAnsi="Arial"/>
                <w:sz w:val="18"/>
                <w:szCs w:val="18"/>
                <w:b w:val="1"/>
                <w:bCs w:val="1"/>
                <w:color w:val="auto"/>
              </w:rPr>
              <w:t>OPERATING INCOME</w:t>
            </w:r>
          </w:p>
        </w:tc>
        <w:tc>
          <w:tcPr>
            <w:tcW w:w="1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365</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383</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gridSpan w:val="2"/>
          </w:tcPr>
          <w:p>
            <w:pPr>
              <w:jc w:val="right"/>
              <w:ind w:right="300"/>
              <w:spacing w:after="0"/>
              <w:rPr>
                <w:sz w:val="20"/>
                <w:szCs w:val="20"/>
                <w:color w:val="auto"/>
              </w:rPr>
            </w:pPr>
            <w:r>
              <w:rPr>
                <w:rFonts w:ascii="Arial" w:cs="Arial" w:eastAsia="Arial" w:hAnsi="Arial"/>
                <w:sz w:val="18"/>
                <w:szCs w:val="18"/>
                <w:color w:val="auto"/>
              </w:rPr>
              <w:t>857</w:t>
            </w:r>
          </w:p>
        </w:tc>
        <w:tc>
          <w:tcPr>
            <w:tcW w:w="26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1,037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8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40" w:type="dxa"/>
            <w:vAlign w:val="bottom"/>
          </w:tcPr>
          <w:p>
            <w:pPr>
              <w:spacing w:after="0"/>
              <w:rPr>
                <w:sz w:val="20"/>
                <w:szCs w:val="20"/>
                <w:color w:val="auto"/>
              </w:rPr>
            </w:pPr>
            <w:r>
              <w:rPr>
                <w:rFonts w:ascii="Arial" w:cs="Arial" w:eastAsia="Arial" w:hAnsi="Arial"/>
                <w:sz w:val="18"/>
                <w:szCs w:val="18"/>
                <w:b w:val="1"/>
                <w:bCs w:val="1"/>
                <w:color w:val="auto"/>
              </w:rPr>
              <w:t>OTHER INCOME/(EXPENSE)</w:t>
            </w:r>
          </w:p>
        </w:tc>
        <w:tc>
          <w:tcPr>
            <w:tcW w:w="1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Equity earnings in unconsolidated entities</w:t>
            </w:r>
          </w:p>
        </w:tc>
        <w:tc>
          <w:tcPr>
            <w:tcW w:w="10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23</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44</w:t>
            </w:r>
          </w:p>
        </w:tc>
        <w:tc>
          <w:tcPr>
            <w:tcW w:w="2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tcPr>
          <w:p>
            <w:pPr>
              <w:spacing w:after="0"/>
              <w:rPr>
                <w:sz w:val="20"/>
                <w:szCs w:val="20"/>
                <w:color w:val="auto"/>
              </w:rPr>
            </w:pPr>
            <w:r>
              <w:rPr>
                <w:rFonts w:ascii="Arial" w:cs="Arial" w:eastAsia="Arial" w:hAnsi="Arial"/>
                <w:sz w:val="18"/>
                <w:szCs w:val="18"/>
                <w:color w:val="auto"/>
              </w:rPr>
              <w:t>Interest expense, net</w:t>
            </w:r>
          </w:p>
        </w:tc>
        <w:tc>
          <w:tcPr>
            <w:tcW w:w="1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(82)</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(75)</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(161)</w:t>
            </w:r>
          </w:p>
        </w:tc>
        <w:tc>
          <w:tcPr>
            <w:tcW w:w="26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(152)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Other income/(expense), net</w:t>
            </w:r>
          </w:p>
        </w:tc>
        <w:tc>
          <w:tcPr>
            <w:tcW w:w="10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w:t>
            </w:r>
          </w:p>
        </w:tc>
        <w:tc>
          <w:tcPr>
            <w:tcW w:w="2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8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INCOME BEFORE TAX</w:t>
            </w:r>
          </w:p>
        </w:tc>
        <w:tc>
          <w:tcPr>
            <w:tcW w:w="10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310</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318</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742</w:t>
            </w:r>
          </w:p>
        </w:tc>
        <w:tc>
          <w:tcPr>
            <w:tcW w:w="2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tcPr>
          <w:p>
            <w:pPr>
              <w:spacing w:after="0"/>
              <w:rPr>
                <w:sz w:val="20"/>
                <w:szCs w:val="20"/>
                <w:color w:val="auto"/>
              </w:rPr>
            </w:pPr>
            <w:r>
              <w:rPr>
                <w:rFonts w:ascii="Arial" w:cs="Arial" w:eastAsia="Arial" w:hAnsi="Arial"/>
                <w:sz w:val="18"/>
                <w:szCs w:val="18"/>
                <w:color w:val="auto"/>
              </w:rPr>
              <w:t>Current income tax expense</w:t>
            </w:r>
          </w:p>
        </w:tc>
        <w:tc>
          <w:tcPr>
            <w:tcW w:w="1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(52)</w:t>
            </w:r>
          </w:p>
        </w:tc>
        <w:tc>
          <w:tcPr>
            <w:tcW w:w="26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Deferred income tax expense</w:t>
            </w:r>
          </w:p>
        </w:tc>
        <w:tc>
          <w:tcPr>
            <w:tcW w:w="10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(18)</w:t>
            </w:r>
          </w:p>
        </w:tc>
        <w:tc>
          <w:tcPr>
            <w:tcW w:w="2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8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w:t>
            </w:r>
          </w:p>
        </w:tc>
        <w:tc>
          <w:tcPr>
            <w:tcW w:w="10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288</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300</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672</w:t>
            </w:r>
          </w:p>
        </w:tc>
        <w:tc>
          <w:tcPr>
            <w:tcW w:w="2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tcPr>
          <w:p>
            <w:pPr>
              <w:ind w:left="160"/>
              <w:spacing w:after="0"/>
              <w:rPr>
                <w:sz w:val="20"/>
                <w:szCs w:val="20"/>
                <w:color w:val="auto"/>
              </w:rPr>
            </w:pPr>
            <w:r>
              <w:rPr>
                <w:rFonts w:ascii="Arial" w:cs="Arial" w:eastAsia="Arial" w:hAnsi="Arial"/>
                <w:sz w:val="18"/>
                <w:szCs w:val="18"/>
                <w:color w:val="auto"/>
              </w:rPr>
              <w:t>Net income attributable to noncontrolling interests</w:t>
            </w:r>
          </w:p>
        </w:tc>
        <w:tc>
          <w:tcPr>
            <w:tcW w:w="1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(1)</w:t>
            </w:r>
          </w:p>
        </w:tc>
        <w:tc>
          <w:tcPr>
            <w:tcW w:w="26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NET INCOME ATTRIBUTABLE TO PAA</w:t>
            </w:r>
          </w:p>
        </w:tc>
        <w:tc>
          <w:tcPr>
            <w:tcW w:w="104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287</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292</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671</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821</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48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 ATTRIBUTABLE TO PAA:</w:t>
            </w:r>
          </w:p>
        </w:tc>
        <w:tc>
          <w:tcPr>
            <w:tcW w:w="10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4840" w:type="dxa"/>
            <w:vAlign w:val="bottom"/>
          </w:tcPr>
          <w:p>
            <w:pPr>
              <w:ind w:left="160"/>
              <w:spacing w:after="0"/>
              <w:rPr>
                <w:sz w:val="20"/>
                <w:szCs w:val="20"/>
                <w:color w:val="auto"/>
              </w:rPr>
            </w:pPr>
            <w:r>
              <w:rPr>
                <w:rFonts w:ascii="Arial" w:cs="Arial" w:eastAsia="Arial" w:hAnsi="Arial"/>
                <w:sz w:val="18"/>
                <w:szCs w:val="18"/>
                <w:b w:val="1"/>
                <w:bCs w:val="1"/>
                <w:color w:val="auto"/>
              </w:rPr>
              <w:t>LIMITED PARTNERS</w:t>
            </w:r>
          </w:p>
        </w:tc>
        <w:tc>
          <w:tcPr>
            <w:tcW w:w="130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166</w:t>
            </w:r>
          </w:p>
        </w:tc>
        <w:tc>
          <w:tcPr>
            <w:tcW w:w="380" w:type="dxa"/>
            <w:vAlign w:val="bottom"/>
            <w:gridSpan w:val="2"/>
          </w:tcPr>
          <w:p>
            <w:pPr>
              <w:jc w:val="right"/>
              <w:ind w:right="105"/>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197</w:t>
            </w:r>
          </w:p>
        </w:tc>
        <w:tc>
          <w:tcPr>
            <w:tcW w:w="36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300"/>
              <w:spacing w:after="0"/>
              <w:rPr>
                <w:sz w:val="20"/>
                <w:szCs w:val="20"/>
                <w:color w:val="auto"/>
              </w:rPr>
            </w:pPr>
            <w:r>
              <w:rPr>
                <w:rFonts w:ascii="Arial" w:cs="Arial" w:eastAsia="Arial" w:hAnsi="Arial"/>
                <w:sz w:val="18"/>
                <w:szCs w:val="18"/>
                <w:color w:val="auto"/>
              </w:rPr>
              <w:t>435</w:t>
            </w: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631</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4840" w:type="dxa"/>
            <w:vAlign w:val="bottom"/>
            <w:tcBorders>
              <w:top w:val="single" w:sz="8" w:color="CCEEFF"/>
              <w:bottom w:val="single" w:sz="8" w:color="CCEEFF"/>
            </w:tcBorders>
            <w:shd w:val="clear" w:color="auto" w:fill="CCEEFF"/>
          </w:tcPr>
          <w:p>
            <w:pPr>
              <w:ind w:left="160"/>
              <w:spacing w:after="0" w:line="195" w:lineRule="exact"/>
              <w:rPr>
                <w:sz w:val="20"/>
                <w:szCs w:val="20"/>
                <w:color w:val="auto"/>
              </w:rPr>
            </w:pPr>
            <w:r>
              <w:rPr>
                <w:rFonts w:ascii="Arial" w:cs="Arial" w:eastAsia="Arial" w:hAnsi="Arial"/>
                <w:sz w:val="18"/>
                <w:szCs w:val="18"/>
                <w:b w:val="1"/>
                <w:bCs w:val="1"/>
                <w:color w:val="auto"/>
              </w:rPr>
              <w:t>GENERAL PARTNER</w:t>
            </w:r>
          </w:p>
        </w:tc>
        <w:tc>
          <w:tcPr>
            <w:tcW w:w="1040" w:type="dxa"/>
            <w:vAlign w:val="bottom"/>
            <w:tcBorders>
              <w:top w:val="single" w:sz="8" w:color="CCEEFF"/>
              <w:bottom w:val="single" w:sz="8" w:color="CCEEFF"/>
            </w:tcBorders>
            <w:shd w:val="clear" w:color="auto" w:fill="CCEEFF"/>
          </w:tcPr>
          <w:p>
            <w:pPr>
              <w:spacing w:after="0"/>
              <w:rPr>
                <w:sz w:val="17"/>
                <w:szCs w:val="17"/>
                <w:color w:val="auto"/>
              </w:rPr>
            </w:pPr>
          </w:p>
        </w:tc>
        <w:tc>
          <w:tcPr>
            <w:tcW w:w="260" w:type="dxa"/>
            <w:vAlign w:val="bottom"/>
            <w:tcBorders>
              <w:top w:val="single" w:sz="8" w:color="auto"/>
              <w:bottom w:val="single" w:sz="8" w:color="auto"/>
            </w:tcBorders>
            <w:shd w:val="clear" w:color="auto" w:fill="CCEEFF"/>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121</w:t>
            </w:r>
          </w:p>
        </w:tc>
        <w:tc>
          <w:tcPr>
            <w:tcW w:w="18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260" w:type="dxa"/>
            <w:vAlign w:val="bottom"/>
            <w:tcBorders>
              <w:top w:val="single" w:sz="8" w:color="auto"/>
              <w:bottom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95</w:t>
            </w:r>
          </w:p>
        </w:tc>
        <w:tc>
          <w:tcPr>
            <w:tcW w:w="18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260" w:type="dxa"/>
            <w:vAlign w:val="bottom"/>
            <w:tcBorders>
              <w:top w:val="single" w:sz="8" w:color="auto"/>
              <w:bottom w:val="single" w:sz="8" w:color="auto"/>
            </w:tcBorders>
            <w:shd w:val="clear" w:color="auto" w:fill="CCEEFF"/>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236</w:t>
            </w:r>
          </w:p>
        </w:tc>
        <w:tc>
          <w:tcPr>
            <w:tcW w:w="300" w:type="dxa"/>
            <w:vAlign w:val="bottom"/>
            <w:tcBorders>
              <w:top w:val="single" w:sz="8" w:color="CCEEFF"/>
              <w:bottom w:val="single" w:sz="8" w:color="CCEEFF"/>
            </w:tcBorders>
            <w:shd w:val="clear" w:color="auto" w:fill="CCEEFF"/>
          </w:tcPr>
          <w:p>
            <w:pPr>
              <w:spacing w:after="0"/>
              <w:rPr>
                <w:sz w:val="17"/>
                <w:szCs w:val="17"/>
                <w:color w:val="auto"/>
              </w:rPr>
            </w:pPr>
          </w:p>
        </w:tc>
        <w:tc>
          <w:tcPr>
            <w:tcW w:w="260" w:type="dxa"/>
            <w:vAlign w:val="bottom"/>
            <w:tcBorders>
              <w:top w:val="single" w:sz="8" w:color="auto"/>
              <w:bottom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190</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48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4840" w:type="dxa"/>
            <w:vAlign w:val="bottom"/>
            <w:shd w:val="clear" w:color="auto" w:fill="CCEEFF"/>
          </w:tcPr>
          <w:p>
            <w:pPr>
              <w:spacing w:after="0"/>
              <w:rPr>
                <w:sz w:val="8"/>
                <w:szCs w:val="8"/>
                <w:color w:val="auto"/>
              </w:rPr>
            </w:pPr>
          </w:p>
        </w:tc>
        <w:tc>
          <w:tcPr>
            <w:tcW w:w="1040" w:type="dxa"/>
            <w:vAlign w:val="bottom"/>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90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88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860" w:type="dxa"/>
            <w:vAlign w:val="bottom"/>
            <w:shd w:val="clear" w:color="auto" w:fill="CCEEFF"/>
          </w:tcPr>
          <w:p>
            <w:pPr>
              <w:spacing w:after="0"/>
              <w:rPr>
                <w:sz w:val="8"/>
                <w:szCs w:val="8"/>
                <w:color w:val="auto"/>
              </w:rPr>
            </w:pPr>
          </w:p>
        </w:tc>
        <w:tc>
          <w:tcPr>
            <w:tcW w:w="300" w:type="dxa"/>
            <w:vAlign w:val="bottom"/>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8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bl>
    <w:p>
      <w:pPr>
        <w:sectPr>
          <w:pgSz w:w="11900" w:h="16900" w:orient="portrait"/>
          <w:cols w:equalWidth="0" w:num="1">
            <w:col w:w="11420"/>
          </w:cols>
          <w:pgMar w:left="240" w:top="125" w:right="239" w:bottom="0" w:gutter="0" w:footer="0" w:header="0"/>
        </w:sectPr>
      </w:pPr>
    </w:p>
    <w:bookmarkStart w:id="11" w:name="page12"/>
    <w:bookmarkEnd w:id="11"/>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740" w:type="dxa"/>
            <w:vAlign w:val="bottom"/>
            <w:gridSpan w:val="2"/>
            <w:shd w:val="clear" w:color="auto" w:fill="CCEEFF"/>
          </w:tcPr>
          <w:p>
            <w:pPr>
              <w:ind w:left="160"/>
              <w:spacing w:after="0"/>
              <w:rPr>
                <w:sz w:val="20"/>
                <w:szCs w:val="20"/>
                <w:color w:val="auto"/>
              </w:rPr>
            </w:pPr>
            <w:r>
              <w:rPr>
                <w:rFonts w:ascii="Arial" w:cs="Arial" w:eastAsia="Arial" w:hAnsi="Arial"/>
                <w:sz w:val="18"/>
                <w:szCs w:val="18"/>
                <w:b w:val="1"/>
                <w:bCs w:val="1"/>
                <w:color w:val="auto"/>
              </w:rPr>
              <w:t>BASIC NET INCOME PER LIMITED PARTNER UNIT</w:t>
            </w:r>
          </w:p>
        </w:tc>
        <w:tc>
          <w:tcPr>
            <w:tcW w:w="5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599"/>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0.45</w:t>
            </w:r>
          </w:p>
        </w:tc>
        <w:tc>
          <w:tcPr>
            <w:tcW w:w="94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6"/>
              </w:rPr>
              <w:t>0.58</w:t>
            </w:r>
          </w:p>
        </w:tc>
        <w:tc>
          <w:tcPr>
            <w:tcW w:w="5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1.19</w:t>
            </w: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780" w:type="dxa"/>
            <w:vAlign w:val="bottom"/>
            <w:tcBorders>
              <w:top w:val="single" w:sz="8" w:color="CCEEFF"/>
            </w:tcBorders>
          </w:tcPr>
          <w:p>
            <w:pPr>
              <w:spacing w:after="0" w:line="20" w:lineRule="exact"/>
              <w:rPr>
                <w:sz w:val="1"/>
                <w:szCs w:val="1"/>
                <w:color w:val="auto"/>
              </w:rPr>
            </w:pPr>
          </w:p>
        </w:tc>
        <w:tc>
          <w:tcPr>
            <w:tcW w:w="3500" w:type="dxa"/>
            <w:vAlign w:val="bottom"/>
            <w:tcBorders>
              <w:top w:val="single" w:sz="8" w:color="CCEEFF"/>
            </w:tcBorders>
            <w:gridSpan w:val="2"/>
          </w:tcPr>
          <w:p>
            <w:pPr>
              <w:spacing w:after="0" w:line="20" w:lineRule="exact"/>
              <w:rPr>
                <w:sz w:val="1"/>
                <w:szCs w:val="1"/>
                <w:color w:val="auto"/>
              </w:rPr>
            </w:pPr>
          </w:p>
        </w:tc>
        <w:tc>
          <w:tcPr>
            <w:tcW w:w="60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29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gridSpan w:val="3"/>
            <w:shd w:val="clear" w:color="auto" w:fill="CCEEFF"/>
          </w:tcPr>
          <w:p>
            <w:pPr>
              <w:ind w:left="160"/>
              <w:spacing w:after="0"/>
              <w:rPr>
                <w:sz w:val="20"/>
                <w:szCs w:val="20"/>
                <w:color w:val="auto"/>
              </w:rPr>
            </w:pPr>
            <w:r>
              <w:rPr>
                <w:rFonts w:ascii="Arial" w:cs="Arial" w:eastAsia="Arial" w:hAnsi="Arial"/>
                <w:sz w:val="18"/>
                <w:szCs w:val="18"/>
                <w:b w:val="1"/>
                <w:bCs w:val="1"/>
                <w:color w:val="auto"/>
              </w:rPr>
              <w:t>DILUTED NET INCOME PER LIMITED PARTNER UNIT</w:t>
            </w:r>
          </w:p>
        </w:tc>
        <w:tc>
          <w:tcPr>
            <w:tcW w:w="1380" w:type="dxa"/>
            <w:vAlign w:val="bottom"/>
            <w:gridSpan w:val="2"/>
            <w:shd w:val="clear" w:color="auto" w:fill="CCEEFF"/>
          </w:tcPr>
          <w:p>
            <w:pPr>
              <w:jc w:val="right"/>
              <w:ind w:right="599"/>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0.45</w:t>
            </w:r>
          </w:p>
        </w:tc>
        <w:tc>
          <w:tcPr>
            <w:tcW w:w="94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6"/>
              </w:rPr>
              <w:t>0.57</w:t>
            </w:r>
          </w:p>
        </w:tc>
        <w:tc>
          <w:tcPr>
            <w:tcW w:w="5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1.18</w:t>
            </w: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780" w:type="dxa"/>
            <w:vAlign w:val="bottom"/>
            <w:tcBorders>
              <w:top w:val="single" w:sz="8" w:color="CCEEFF"/>
            </w:tcBorders>
          </w:tcPr>
          <w:p>
            <w:pPr>
              <w:spacing w:after="0" w:line="20" w:lineRule="exact"/>
              <w:rPr>
                <w:sz w:val="1"/>
                <w:szCs w:val="1"/>
                <w:color w:val="auto"/>
              </w:rPr>
            </w:pPr>
          </w:p>
        </w:tc>
        <w:tc>
          <w:tcPr>
            <w:tcW w:w="296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29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gridSpan w:val="2"/>
            <w:shd w:val="clear" w:color="auto" w:fill="CCEEFF"/>
          </w:tcPr>
          <w:p>
            <w:pPr>
              <w:ind w:left="160"/>
              <w:spacing w:after="0"/>
              <w:rPr>
                <w:sz w:val="20"/>
                <w:szCs w:val="20"/>
                <w:color w:val="auto"/>
              </w:rPr>
            </w:pPr>
            <w:r>
              <w:rPr>
                <w:rFonts w:ascii="Arial" w:cs="Arial" w:eastAsia="Arial" w:hAnsi="Arial"/>
                <w:sz w:val="18"/>
                <w:szCs w:val="18"/>
                <w:b w:val="1"/>
                <w:bCs w:val="1"/>
                <w:color w:val="auto"/>
              </w:rPr>
              <w:t>BASIC WEIGHTED AVERAGE UNITS OUTSTANDING</w:t>
            </w:r>
          </w:p>
        </w:tc>
        <w:tc>
          <w:tcPr>
            <w:tcW w:w="5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365</w:t>
            </w: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340</w:t>
            </w: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363</w:t>
            </w:r>
          </w:p>
        </w:tc>
        <w:tc>
          <w:tcPr>
            <w:tcW w:w="2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780" w:type="dxa"/>
            <w:vAlign w:val="bottom"/>
            <w:tcBorders>
              <w:top w:val="single" w:sz="8" w:color="CCEEFF"/>
            </w:tcBorders>
          </w:tcPr>
          <w:p>
            <w:pPr>
              <w:spacing w:after="0" w:line="20" w:lineRule="exact"/>
              <w:rPr>
                <w:sz w:val="1"/>
                <w:szCs w:val="1"/>
                <w:color w:val="auto"/>
              </w:rPr>
            </w:pPr>
          </w:p>
        </w:tc>
        <w:tc>
          <w:tcPr>
            <w:tcW w:w="3500" w:type="dxa"/>
            <w:vAlign w:val="bottom"/>
            <w:tcBorders>
              <w:top w:val="single" w:sz="8" w:color="CCEEFF"/>
            </w:tcBorders>
            <w:gridSpan w:val="2"/>
          </w:tcPr>
          <w:p>
            <w:pPr>
              <w:spacing w:after="0" w:line="20" w:lineRule="exact"/>
              <w:rPr>
                <w:sz w:val="1"/>
                <w:szCs w:val="1"/>
                <w:color w:val="auto"/>
              </w:rPr>
            </w:pPr>
          </w:p>
        </w:tc>
        <w:tc>
          <w:tcPr>
            <w:tcW w:w="60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29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gridSpan w:val="3"/>
            <w:shd w:val="clear" w:color="auto" w:fill="CCEEFF"/>
          </w:tcPr>
          <w:p>
            <w:pPr>
              <w:ind w:left="160"/>
              <w:spacing w:after="0"/>
              <w:rPr>
                <w:sz w:val="20"/>
                <w:szCs w:val="20"/>
                <w:color w:val="auto"/>
              </w:rPr>
            </w:pPr>
            <w:r>
              <w:rPr>
                <w:rFonts w:ascii="Arial" w:cs="Arial" w:eastAsia="Arial" w:hAnsi="Arial"/>
                <w:sz w:val="18"/>
                <w:szCs w:val="18"/>
                <w:b w:val="1"/>
                <w:bCs w:val="1"/>
                <w:color w:val="auto"/>
              </w:rPr>
              <w:t>DILUTED WEIGHTED AVERAGE UNITS OUTSTANDING</w:t>
            </w:r>
          </w:p>
        </w:tc>
        <w:tc>
          <w:tcPr>
            <w:tcW w:w="6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367</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342</w:t>
            </w: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365</w:t>
            </w:r>
          </w:p>
        </w:tc>
        <w:tc>
          <w:tcPr>
            <w:tcW w:w="2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780" w:type="dxa"/>
            <w:vAlign w:val="bottom"/>
            <w:shd w:val="clear" w:color="auto" w:fill="CCEEFF"/>
          </w:tcPr>
          <w:p>
            <w:pPr>
              <w:spacing w:after="0" w:line="20" w:lineRule="exact"/>
              <w:rPr>
                <w:sz w:val="1"/>
                <w:szCs w:val="1"/>
                <w:color w:val="auto"/>
              </w:rPr>
            </w:pPr>
          </w:p>
        </w:tc>
        <w:tc>
          <w:tcPr>
            <w:tcW w:w="2960" w:type="dxa"/>
            <w:vAlign w:val="bottom"/>
            <w:shd w:val="clear" w:color="auto" w:fill="CCEEFF"/>
          </w:tcPr>
          <w:p>
            <w:pPr>
              <w:spacing w:after="0" w:line="20" w:lineRule="exact"/>
              <w:rPr>
                <w:sz w:val="1"/>
                <w:szCs w:val="1"/>
                <w:color w:val="auto"/>
              </w:rPr>
            </w:pPr>
          </w:p>
        </w:tc>
        <w:tc>
          <w:tcPr>
            <w:tcW w:w="540" w:type="dxa"/>
            <w:vAlign w:val="bottom"/>
            <w:shd w:val="clear" w:color="auto" w:fill="CCEEFF"/>
          </w:tcPr>
          <w:p>
            <w:pPr>
              <w:spacing w:after="0" w:line="20" w:lineRule="exact"/>
              <w:rPr>
                <w:sz w:val="1"/>
                <w:szCs w:val="1"/>
                <w:color w:val="auto"/>
              </w:rPr>
            </w:pPr>
          </w:p>
        </w:tc>
        <w:tc>
          <w:tcPr>
            <w:tcW w:w="600" w:type="dxa"/>
            <w:vAlign w:val="bottom"/>
            <w:shd w:val="clear" w:color="auto" w:fill="CCEEFF"/>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476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ADJUSTED RESULTS</w:t>
            </w:r>
          </w:p>
        </w:tc>
        <w:tc>
          <w:tcPr>
            <w:tcW w:w="5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4760" w:type="dxa"/>
            <w:vAlign w:val="bottom"/>
            <w:gridSpan w:val="3"/>
            <w:vMerge w:val="continue"/>
          </w:tcPr>
          <w:p>
            <w:pPr>
              <w:spacing w:after="0"/>
              <w:rPr>
                <w:sz w:val="24"/>
                <w:szCs w:val="24"/>
                <w:color w:val="auto"/>
              </w:rPr>
            </w:pPr>
          </w:p>
        </w:tc>
        <w:tc>
          <w:tcPr>
            <w:tcW w:w="5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800" w:type="dxa"/>
            <w:vAlign w:val="bottom"/>
            <w:gridSpan w:val="2"/>
            <w:shd w:val="clear" w:color="auto" w:fill="000000"/>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760" w:type="dxa"/>
            <w:vAlign w:val="bottom"/>
            <w:gridSpan w:val="3"/>
          </w:tcPr>
          <w:p>
            <w:pPr>
              <w:spacing w:after="0"/>
              <w:rPr>
                <w:sz w:val="20"/>
                <w:szCs w:val="20"/>
                <w:color w:val="auto"/>
              </w:rPr>
            </w:pPr>
            <w:r>
              <w:rPr>
                <w:rFonts w:ascii="Arial" w:cs="Arial" w:eastAsia="Arial" w:hAnsi="Arial"/>
                <w:sz w:val="18"/>
                <w:szCs w:val="18"/>
                <w:color w:val="auto"/>
              </w:rPr>
              <w:t>(in millions, except per unit data)</w:t>
            </w:r>
          </w:p>
        </w:tc>
        <w:tc>
          <w:tcPr>
            <w:tcW w:w="5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2"/>
        </w:trPr>
        <w:tc>
          <w:tcPr>
            <w:tcW w:w="2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40" w:type="dxa"/>
            <w:vAlign w:val="bottom"/>
            <w:gridSpan w:val="5"/>
          </w:tcPr>
          <w:p>
            <w:pPr>
              <w:jc w:val="right"/>
              <w:ind w:right="280"/>
              <w:spacing w:after="0"/>
              <w:rPr>
                <w:sz w:val="20"/>
                <w:szCs w:val="20"/>
                <w:color w:val="auto"/>
              </w:rPr>
            </w:pPr>
            <w:r>
              <w:rPr>
                <w:rFonts w:ascii="Arial" w:cs="Arial" w:eastAsia="Arial" w:hAnsi="Arial"/>
                <w:sz w:val="14"/>
                <w:szCs w:val="14"/>
                <w:b w:val="1"/>
                <w:bCs w:val="1"/>
                <w:color w:val="auto"/>
              </w:rPr>
              <w:t>Three Months Ended</w:t>
            </w: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60" w:type="dxa"/>
            <w:vAlign w:val="bottom"/>
            <w:gridSpan w:val="5"/>
          </w:tcPr>
          <w:p>
            <w:pPr>
              <w:ind w:left="320"/>
              <w:spacing w:after="0"/>
              <w:rPr>
                <w:sz w:val="20"/>
                <w:szCs w:val="20"/>
                <w:color w:val="auto"/>
              </w:rPr>
            </w:pPr>
            <w:r>
              <w:rPr>
                <w:rFonts w:ascii="Arial" w:cs="Arial" w:eastAsia="Arial" w:hAnsi="Arial"/>
                <w:sz w:val="14"/>
                <w:szCs w:val="14"/>
                <w:b w:val="1"/>
                <w:bCs w:val="1"/>
                <w:color w:val="auto"/>
              </w:rPr>
              <w:t>Six Months Ended</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29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gridSpan w:val="4"/>
          </w:tcPr>
          <w:p>
            <w:pPr>
              <w:jc w:val="right"/>
              <w:ind w:right="680"/>
              <w:spacing w:after="0"/>
              <w:rPr>
                <w:sz w:val="20"/>
                <w:szCs w:val="20"/>
                <w:color w:val="auto"/>
              </w:rPr>
            </w:pPr>
            <w:r>
              <w:rPr>
                <w:rFonts w:ascii="Arial" w:cs="Arial" w:eastAsia="Arial" w:hAnsi="Arial"/>
                <w:sz w:val="14"/>
                <w:szCs w:val="14"/>
                <w:b w:val="1"/>
                <w:bCs w:val="1"/>
                <w:color w:val="auto"/>
              </w:rPr>
              <w:t>June 30,</w:t>
            </w:r>
          </w:p>
        </w:tc>
        <w:tc>
          <w:tcPr>
            <w:tcW w:w="36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gridSpan w:val="3"/>
          </w:tcPr>
          <w:p>
            <w:pPr>
              <w:jc w:val="right"/>
              <w:ind w:right="85"/>
              <w:spacing w:after="0"/>
              <w:rPr>
                <w:sz w:val="20"/>
                <w:szCs w:val="20"/>
                <w:color w:val="auto"/>
              </w:rPr>
            </w:pPr>
            <w:r>
              <w:rPr>
                <w:rFonts w:ascii="Arial" w:cs="Arial" w:eastAsia="Arial" w:hAnsi="Arial"/>
                <w:sz w:val="14"/>
                <w:szCs w:val="14"/>
                <w:b w:val="1"/>
                <w:bCs w:val="1"/>
                <w:color w:val="auto"/>
              </w:rPr>
              <w:t>June 30,</w:t>
            </w:r>
          </w:p>
        </w:tc>
        <w:tc>
          <w:tcPr>
            <w:tcW w:w="8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29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78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2014</w:t>
            </w: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gridSpan w:val="2"/>
          </w:tcPr>
          <w:p>
            <w:pPr>
              <w:jc w:val="right"/>
              <w:ind w:right="60"/>
              <w:spacing w:after="0" w:line="142" w:lineRule="exact"/>
              <w:rPr>
                <w:sz w:val="20"/>
                <w:szCs w:val="20"/>
                <w:color w:val="auto"/>
              </w:rPr>
            </w:pPr>
            <w:r>
              <w:rPr>
                <w:rFonts w:ascii="Arial" w:cs="Arial" w:eastAsia="Arial" w:hAnsi="Arial"/>
                <w:sz w:val="14"/>
                <w:szCs w:val="14"/>
                <w:b w:val="1"/>
                <w:bCs w:val="1"/>
                <w:color w:val="auto"/>
              </w:rPr>
              <w:t>2013</w:t>
            </w: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40" w:type="dxa"/>
            <w:vAlign w:val="bottom"/>
          </w:tcPr>
          <w:p>
            <w:pPr>
              <w:jc w:val="right"/>
              <w:ind w:right="315"/>
              <w:spacing w:after="0" w:line="142" w:lineRule="exact"/>
              <w:rPr>
                <w:sz w:val="20"/>
                <w:szCs w:val="20"/>
                <w:color w:val="auto"/>
              </w:rPr>
            </w:pPr>
            <w:r>
              <w:rPr>
                <w:rFonts w:ascii="Arial" w:cs="Arial" w:eastAsia="Arial" w:hAnsi="Arial"/>
                <w:sz w:val="14"/>
                <w:szCs w:val="14"/>
                <w:b w:val="1"/>
                <w:bCs w:val="1"/>
                <w:color w:val="auto"/>
              </w:rPr>
              <w:t>2014</w:t>
            </w:r>
          </w:p>
        </w:tc>
        <w:tc>
          <w:tcPr>
            <w:tcW w:w="3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tcPr>
          <w:p>
            <w:pPr>
              <w:jc w:val="right"/>
              <w:ind w:right="332"/>
              <w:spacing w:after="0" w:line="142" w:lineRule="exact"/>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78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ADJUSTED NET INCOME ATTRIBUTABLE TO PAA</w:t>
            </w:r>
          </w:p>
        </w:tc>
        <w:tc>
          <w:tcPr>
            <w:tcW w:w="5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599"/>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307</w:t>
            </w:r>
          </w:p>
        </w:tc>
        <w:tc>
          <w:tcPr>
            <w:tcW w:w="94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287</w:t>
            </w:r>
          </w:p>
        </w:tc>
        <w:tc>
          <w:tcPr>
            <w:tcW w:w="5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660</w:t>
            </w: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811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780" w:type="dxa"/>
            <w:vAlign w:val="bottom"/>
            <w:tcBorders>
              <w:top w:val="single" w:sz="8" w:color="CCEEFF"/>
            </w:tcBorders>
          </w:tcPr>
          <w:p>
            <w:pPr>
              <w:spacing w:after="0" w:line="20" w:lineRule="exact"/>
              <w:rPr>
                <w:sz w:val="1"/>
                <w:szCs w:val="1"/>
                <w:color w:val="auto"/>
              </w:rPr>
            </w:pPr>
          </w:p>
        </w:tc>
        <w:tc>
          <w:tcPr>
            <w:tcW w:w="3500" w:type="dxa"/>
            <w:vAlign w:val="bottom"/>
            <w:tcBorders>
              <w:top w:val="single" w:sz="8" w:color="CCEEFF"/>
            </w:tcBorders>
            <w:gridSpan w:val="2"/>
          </w:tcPr>
          <w:p>
            <w:pPr>
              <w:spacing w:after="0" w:line="20" w:lineRule="exact"/>
              <w:rPr>
                <w:sz w:val="1"/>
                <w:szCs w:val="1"/>
                <w:color w:val="auto"/>
              </w:rPr>
            </w:pPr>
          </w:p>
        </w:tc>
        <w:tc>
          <w:tcPr>
            <w:tcW w:w="60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1780" w:type="dxa"/>
            <w:vAlign w:val="bottom"/>
          </w:tcPr>
          <w:p>
            <w:pPr>
              <w:spacing w:after="0"/>
              <w:rPr>
                <w:sz w:val="17"/>
                <w:szCs w:val="17"/>
                <w:color w:val="auto"/>
              </w:rPr>
            </w:pPr>
          </w:p>
        </w:tc>
        <w:tc>
          <w:tcPr>
            <w:tcW w:w="29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5280" w:type="dxa"/>
            <w:vAlign w:val="bottom"/>
            <w:gridSpan w:val="3"/>
            <w:shd w:val="clear" w:color="auto" w:fill="CCEEFF"/>
          </w:tcPr>
          <w:p>
            <w:pPr>
              <w:spacing w:after="0" w:line="198" w:lineRule="exact"/>
              <w:rPr>
                <w:sz w:val="20"/>
                <w:szCs w:val="20"/>
                <w:color w:val="auto"/>
              </w:rPr>
            </w:pPr>
            <w:r>
              <w:rPr>
                <w:rFonts w:ascii="Arial" w:cs="Arial" w:eastAsia="Arial" w:hAnsi="Arial"/>
                <w:sz w:val="18"/>
                <w:szCs w:val="18"/>
                <w:b w:val="1"/>
                <w:bCs w:val="1"/>
                <w:color w:val="auto"/>
              </w:rPr>
              <w:t>DILUTED ADJUSTED NET INCOME PER LIMITED PARTNER</w:t>
            </w:r>
          </w:p>
        </w:tc>
        <w:tc>
          <w:tcPr>
            <w:tcW w:w="600" w:type="dxa"/>
            <w:vAlign w:val="bottom"/>
            <w:vMerge w:val="restart"/>
            <w:shd w:val="clear" w:color="auto" w:fill="CCEEFF"/>
          </w:tcPr>
          <w:p>
            <w:pPr>
              <w:spacing w:after="0"/>
              <w:rPr>
                <w:sz w:val="17"/>
                <w:szCs w:val="17"/>
                <w:color w:val="auto"/>
              </w:rPr>
            </w:pPr>
          </w:p>
        </w:tc>
        <w:tc>
          <w:tcPr>
            <w:tcW w:w="780" w:type="dxa"/>
            <w:vAlign w:val="bottom"/>
            <w:vMerge w:val="restart"/>
            <w:shd w:val="clear" w:color="auto" w:fill="CCEEFF"/>
          </w:tcPr>
          <w:p>
            <w:pPr>
              <w:jc w:val="right"/>
              <w:ind w:right="599"/>
              <w:spacing w:after="0"/>
              <w:rPr>
                <w:sz w:val="20"/>
                <w:szCs w:val="20"/>
                <w:color w:val="auto"/>
              </w:rPr>
            </w:pPr>
            <w:r>
              <w:rPr>
                <w:rFonts w:ascii="Arial" w:cs="Arial" w:eastAsia="Arial" w:hAnsi="Arial"/>
                <w:sz w:val="18"/>
                <w:szCs w:val="18"/>
                <w:color w:val="auto"/>
                <w:w w:val="79"/>
              </w:rPr>
              <w:t>$</w:t>
            </w:r>
          </w:p>
        </w:tc>
        <w:tc>
          <w:tcPr>
            <w:tcW w:w="3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0.50</w:t>
            </w:r>
          </w:p>
        </w:tc>
        <w:tc>
          <w:tcPr>
            <w:tcW w:w="140" w:type="dxa"/>
            <w:vAlign w:val="bottom"/>
            <w:vMerge w:val="restart"/>
            <w:shd w:val="clear" w:color="auto" w:fill="CCEEFF"/>
          </w:tcPr>
          <w:p>
            <w:pPr>
              <w:spacing w:after="0"/>
              <w:rPr>
                <w:sz w:val="17"/>
                <w:szCs w:val="17"/>
                <w:color w:val="auto"/>
              </w:rPr>
            </w:pPr>
          </w:p>
        </w:tc>
        <w:tc>
          <w:tcPr>
            <w:tcW w:w="940" w:type="dxa"/>
            <w:vAlign w:val="bottom"/>
            <w:gridSpan w:val="2"/>
            <w:vMerge w:val="restart"/>
            <w:shd w:val="clear" w:color="auto" w:fill="CCEEFF"/>
          </w:tcPr>
          <w:p>
            <w:pPr>
              <w:jc w:val="right"/>
              <w:ind w:right="700"/>
              <w:spacing w:after="0"/>
              <w:rPr>
                <w:sz w:val="20"/>
                <w:szCs w:val="20"/>
                <w:color w:val="auto"/>
              </w:rPr>
            </w:pPr>
            <w:r>
              <w:rPr>
                <w:rFonts w:ascii="Arial" w:cs="Arial" w:eastAsia="Arial" w:hAnsi="Arial"/>
                <w:sz w:val="18"/>
                <w:szCs w:val="18"/>
                <w:color w:val="auto"/>
              </w:rPr>
              <w:t>$</w:t>
            </w:r>
          </w:p>
        </w:tc>
        <w:tc>
          <w:tcPr>
            <w:tcW w:w="5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8"/>
                <w:szCs w:val="18"/>
                <w:color w:val="auto"/>
                <w:w w:val="96"/>
              </w:rPr>
              <w:t>0.56</w:t>
            </w:r>
          </w:p>
        </w:tc>
        <w:tc>
          <w:tcPr>
            <w:tcW w:w="520" w:type="dxa"/>
            <w:vAlign w:val="bottom"/>
            <w:gridSpan w:val="2"/>
            <w:vMerge w:val="restart"/>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040" w:type="dxa"/>
            <w:vAlign w:val="bottom"/>
            <w:gridSpan w:val="2"/>
            <w:vMerge w:val="restart"/>
            <w:shd w:val="clear" w:color="auto" w:fill="CCEEFF"/>
          </w:tcPr>
          <w:p>
            <w:pPr>
              <w:jc w:val="right"/>
              <w:ind w:right="300"/>
              <w:spacing w:after="0"/>
              <w:rPr>
                <w:sz w:val="20"/>
                <w:szCs w:val="20"/>
                <w:color w:val="auto"/>
              </w:rPr>
            </w:pPr>
            <w:r>
              <w:rPr>
                <w:rFonts w:ascii="Arial" w:cs="Arial" w:eastAsia="Arial" w:hAnsi="Arial"/>
                <w:sz w:val="18"/>
                <w:szCs w:val="18"/>
                <w:color w:val="auto"/>
              </w:rPr>
              <w:t>1.15</w:t>
            </w:r>
          </w:p>
        </w:tc>
        <w:tc>
          <w:tcPr>
            <w:tcW w:w="260" w:type="dxa"/>
            <w:vAlign w:val="bottom"/>
            <w:vMerge w:val="restart"/>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96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1.82</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4740" w:type="dxa"/>
            <w:vAlign w:val="bottom"/>
            <w:gridSpan w:val="2"/>
            <w:shd w:val="clear" w:color="auto" w:fill="CCEEFF"/>
          </w:tcPr>
          <w:p>
            <w:pPr>
              <w:ind w:left="160"/>
              <w:spacing w:after="0"/>
              <w:rPr>
                <w:sz w:val="20"/>
                <w:szCs w:val="20"/>
                <w:color w:val="auto"/>
              </w:rPr>
            </w:pPr>
            <w:r>
              <w:rPr>
                <w:rFonts w:ascii="Arial" w:cs="Arial" w:eastAsia="Arial" w:hAnsi="Arial"/>
                <w:sz w:val="18"/>
                <w:szCs w:val="18"/>
                <w:b w:val="1"/>
                <w:bCs w:val="1"/>
                <w:color w:val="auto"/>
              </w:rPr>
              <w:t>UNIT</w:t>
            </w:r>
          </w:p>
        </w:tc>
        <w:tc>
          <w:tcPr>
            <w:tcW w:w="540" w:type="dxa"/>
            <w:vAlign w:val="bottom"/>
            <w:shd w:val="clear" w:color="auto" w:fill="CCEEFF"/>
          </w:tcPr>
          <w:p>
            <w:pPr>
              <w:spacing w:after="0"/>
              <w:rPr>
                <w:sz w:val="19"/>
                <w:szCs w:val="19"/>
                <w:color w:val="auto"/>
              </w:rPr>
            </w:pPr>
          </w:p>
        </w:tc>
        <w:tc>
          <w:tcPr>
            <w:tcW w:w="600" w:type="dxa"/>
            <w:vAlign w:val="bottom"/>
            <w:vMerge w:val="continue"/>
            <w:shd w:val="clear" w:color="auto" w:fill="CCEEFF"/>
          </w:tcPr>
          <w:p>
            <w:pPr>
              <w:spacing w:after="0"/>
              <w:rPr>
                <w:sz w:val="19"/>
                <w:szCs w:val="19"/>
                <w:color w:val="auto"/>
              </w:rPr>
            </w:pPr>
          </w:p>
        </w:tc>
        <w:tc>
          <w:tcPr>
            <w:tcW w:w="780" w:type="dxa"/>
            <w:vAlign w:val="bottom"/>
            <w:vMerge w:val="continue"/>
            <w:shd w:val="clear" w:color="auto" w:fill="CCEEFF"/>
          </w:tcPr>
          <w:p>
            <w:pPr>
              <w:spacing w:after="0"/>
              <w:rPr>
                <w:sz w:val="19"/>
                <w:szCs w:val="19"/>
                <w:color w:val="auto"/>
              </w:rPr>
            </w:pPr>
          </w:p>
        </w:tc>
        <w:tc>
          <w:tcPr>
            <w:tcW w:w="380" w:type="dxa"/>
            <w:vAlign w:val="bottom"/>
            <w:vMerge w:val="continue"/>
            <w:shd w:val="clear" w:color="auto" w:fill="CCEEFF"/>
          </w:tcPr>
          <w:p>
            <w:pPr>
              <w:spacing w:after="0"/>
              <w:rPr>
                <w:sz w:val="19"/>
                <w:szCs w:val="19"/>
                <w:color w:val="auto"/>
              </w:rPr>
            </w:pPr>
          </w:p>
        </w:tc>
        <w:tc>
          <w:tcPr>
            <w:tcW w:w="140" w:type="dxa"/>
            <w:vAlign w:val="bottom"/>
            <w:vMerge w:val="continue"/>
            <w:shd w:val="clear" w:color="auto" w:fill="CCEEFF"/>
          </w:tcPr>
          <w:p>
            <w:pPr>
              <w:spacing w:after="0"/>
              <w:rPr>
                <w:sz w:val="19"/>
                <w:szCs w:val="19"/>
                <w:color w:val="auto"/>
              </w:rPr>
            </w:pPr>
          </w:p>
        </w:tc>
        <w:tc>
          <w:tcPr>
            <w:tcW w:w="940" w:type="dxa"/>
            <w:vAlign w:val="bottom"/>
            <w:gridSpan w:val="2"/>
            <w:vMerge w:val="continue"/>
            <w:shd w:val="clear" w:color="auto" w:fill="CCEEFF"/>
          </w:tcPr>
          <w:p>
            <w:pPr>
              <w:spacing w:after="0"/>
              <w:rPr>
                <w:sz w:val="19"/>
                <w:szCs w:val="19"/>
                <w:color w:val="auto"/>
              </w:rPr>
            </w:pPr>
          </w:p>
        </w:tc>
        <w:tc>
          <w:tcPr>
            <w:tcW w:w="500" w:type="dxa"/>
            <w:vAlign w:val="bottom"/>
            <w:gridSpan w:val="2"/>
            <w:vMerge w:val="continue"/>
            <w:shd w:val="clear" w:color="auto" w:fill="CCEEFF"/>
          </w:tcPr>
          <w:p>
            <w:pPr>
              <w:spacing w:after="0"/>
              <w:rPr>
                <w:sz w:val="19"/>
                <w:szCs w:val="19"/>
                <w:color w:val="auto"/>
              </w:rPr>
            </w:pPr>
          </w:p>
        </w:tc>
        <w:tc>
          <w:tcPr>
            <w:tcW w:w="520" w:type="dxa"/>
            <w:vAlign w:val="bottom"/>
            <w:gridSpan w:val="2"/>
            <w:vMerge w:val="continue"/>
            <w:shd w:val="clear" w:color="auto" w:fill="CCEEFF"/>
          </w:tcPr>
          <w:p>
            <w:pPr>
              <w:spacing w:after="0"/>
              <w:rPr>
                <w:sz w:val="19"/>
                <w:szCs w:val="19"/>
                <w:color w:val="auto"/>
              </w:rPr>
            </w:pPr>
          </w:p>
        </w:tc>
        <w:tc>
          <w:tcPr>
            <w:tcW w:w="1040" w:type="dxa"/>
            <w:vAlign w:val="bottom"/>
            <w:gridSpan w:val="2"/>
            <w:vMerge w:val="continue"/>
            <w:shd w:val="clear" w:color="auto" w:fill="CCEEFF"/>
          </w:tcPr>
          <w:p>
            <w:pPr>
              <w:spacing w:after="0"/>
              <w:rPr>
                <w:sz w:val="19"/>
                <w:szCs w:val="19"/>
                <w:color w:val="auto"/>
              </w:rPr>
            </w:pPr>
          </w:p>
        </w:tc>
        <w:tc>
          <w:tcPr>
            <w:tcW w:w="260" w:type="dxa"/>
            <w:vAlign w:val="bottom"/>
            <w:vMerge w:val="continue"/>
            <w:shd w:val="clear" w:color="auto" w:fill="CCEEFF"/>
          </w:tcPr>
          <w:p>
            <w:pPr>
              <w:spacing w:after="0"/>
              <w:rPr>
                <w:sz w:val="19"/>
                <w:szCs w:val="19"/>
                <w:color w:val="auto"/>
              </w:rPr>
            </w:pPr>
          </w:p>
        </w:tc>
        <w:tc>
          <w:tcPr>
            <w:tcW w:w="960" w:type="dxa"/>
            <w:vAlign w:val="bottom"/>
            <w:gridSpan w:val="2"/>
            <w:vMerge w:val="continue"/>
            <w:shd w:val="clear" w:color="auto" w:fill="CCEEFF"/>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780" w:type="dxa"/>
            <w:vAlign w:val="bottom"/>
            <w:tcBorders>
              <w:top w:val="single" w:sz="8" w:color="CCEEFF"/>
            </w:tcBorders>
          </w:tcPr>
          <w:p>
            <w:pPr>
              <w:spacing w:after="0" w:line="20" w:lineRule="exact"/>
              <w:rPr>
                <w:sz w:val="1"/>
                <w:szCs w:val="1"/>
                <w:color w:val="auto"/>
              </w:rPr>
            </w:pPr>
          </w:p>
        </w:tc>
        <w:tc>
          <w:tcPr>
            <w:tcW w:w="296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1780" w:type="dxa"/>
            <w:vAlign w:val="bottom"/>
          </w:tcPr>
          <w:p>
            <w:pPr>
              <w:spacing w:after="0"/>
              <w:rPr>
                <w:sz w:val="17"/>
                <w:szCs w:val="17"/>
                <w:color w:val="auto"/>
              </w:rPr>
            </w:pPr>
          </w:p>
        </w:tc>
        <w:tc>
          <w:tcPr>
            <w:tcW w:w="29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ADJUSTED EBITDA</w:t>
            </w:r>
          </w:p>
        </w:tc>
        <w:tc>
          <w:tcPr>
            <w:tcW w:w="5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599"/>
              <w:spacing w:after="0"/>
              <w:rPr>
                <w:sz w:val="20"/>
                <w:szCs w:val="20"/>
                <w:color w:val="auto"/>
              </w:rPr>
            </w:pPr>
            <w:r>
              <w:rPr>
                <w:rFonts w:ascii="Arial" w:cs="Arial" w:eastAsia="Arial" w:hAnsi="Arial"/>
                <w:sz w:val="18"/>
                <w:szCs w:val="18"/>
                <w:color w:val="auto"/>
                <w:w w:val="79"/>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512</w:t>
            </w: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478</w:t>
            </w:r>
          </w:p>
        </w:tc>
        <w:tc>
          <w:tcPr>
            <w:tcW w:w="5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1,079</w:t>
            </w: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1,217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780" w:type="dxa"/>
            <w:vAlign w:val="bottom"/>
            <w:tcBorders>
              <w:top w:val="single" w:sz="8" w:color="CCEEFF"/>
            </w:tcBorders>
          </w:tcPr>
          <w:p>
            <w:pPr>
              <w:spacing w:after="0" w:line="20" w:lineRule="exact"/>
              <w:rPr>
                <w:sz w:val="1"/>
                <w:szCs w:val="1"/>
                <w:color w:val="auto"/>
              </w:rPr>
            </w:pPr>
          </w:p>
        </w:tc>
        <w:tc>
          <w:tcPr>
            <w:tcW w:w="296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20" w:type="dxa"/>
            <w:vAlign w:val="bottom"/>
          </w:tcPr>
          <w:p>
            <w:pPr>
              <w:spacing w:after="0"/>
              <w:rPr>
                <w:sz w:val="24"/>
                <w:szCs w:val="24"/>
                <w:color w:val="auto"/>
              </w:rPr>
            </w:pPr>
          </w:p>
        </w:tc>
        <w:tc>
          <w:tcPr>
            <w:tcW w:w="1780" w:type="dxa"/>
            <w:vAlign w:val="bottom"/>
            <w:tcBorders>
              <w:bottom w:val="single" w:sz="8" w:color="auto"/>
            </w:tcBorders>
          </w:tcPr>
          <w:p>
            <w:pPr>
              <w:spacing w:after="0"/>
              <w:rPr>
                <w:sz w:val="24"/>
                <w:szCs w:val="24"/>
                <w:color w:val="auto"/>
              </w:rPr>
            </w:pPr>
          </w:p>
        </w:tc>
        <w:tc>
          <w:tcPr>
            <w:tcW w:w="296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gridSpan w:val="2"/>
          </w:tcPr>
          <w:p>
            <w:pPr>
              <w:jc w:val="right"/>
              <w:ind w:right="559"/>
              <w:spacing w:after="0"/>
              <w:rPr>
                <w:sz w:val="20"/>
                <w:szCs w:val="20"/>
                <w:color w:val="auto"/>
              </w:rPr>
            </w:pPr>
            <w:r>
              <w:rPr>
                <w:rFonts w:ascii="Arial" w:cs="Arial" w:eastAsia="Arial" w:hAnsi="Arial"/>
                <w:sz w:val="18"/>
                <w:szCs w:val="18"/>
                <w:color w:val="auto"/>
              </w:rPr>
              <w:t>– more –</w:t>
            </w:r>
          </w:p>
        </w:tc>
        <w:tc>
          <w:tcPr>
            <w:tcW w:w="3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2960" w:type="dxa"/>
            <w:vAlign w:val="bottom"/>
          </w:tcPr>
          <w:p>
            <w:pPr>
              <w:ind w:left="500"/>
              <w:spacing w:after="0"/>
              <w:rPr>
                <w:sz w:val="20"/>
                <w:szCs w:val="20"/>
                <w:color w:val="auto"/>
              </w:rPr>
            </w:pPr>
            <w:r>
              <w:rPr>
                <w:rFonts w:ascii="Arial" w:cs="Arial" w:eastAsia="Arial" w:hAnsi="Arial"/>
                <w:sz w:val="18"/>
                <w:szCs w:val="18"/>
                <w:b w:val="1"/>
                <w:bCs w:val="1"/>
                <w:color w:val="auto"/>
              </w:rPr>
              <w:t>333 Clay Street, Suite 1600</w:t>
            </w:r>
          </w:p>
        </w:tc>
        <w:tc>
          <w:tcPr>
            <w:tcW w:w="1920" w:type="dxa"/>
            <w:vAlign w:val="bottom"/>
            <w:gridSpan w:val="3"/>
          </w:tcPr>
          <w:p>
            <w:pPr>
              <w:jc w:val="right"/>
              <w:ind w:right="119"/>
              <w:spacing w:after="0"/>
              <w:rPr>
                <w:sz w:val="20"/>
                <w:szCs w:val="20"/>
                <w:color w:val="auto"/>
              </w:rPr>
            </w:pPr>
            <w:r>
              <w:rPr>
                <w:rFonts w:ascii="Arial" w:cs="Arial" w:eastAsia="Arial" w:hAnsi="Arial"/>
                <w:sz w:val="18"/>
                <w:szCs w:val="18"/>
                <w:b w:val="1"/>
                <w:bCs w:val="1"/>
                <w:color w:val="auto"/>
                <w:w w:val="89"/>
              </w:rPr>
              <w:t>Houston, Texas 77002</w:t>
            </w:r>
          </w:p>
        </w:tc>
        <w:tc>
          <w:tcPr>
            <w:tcW w:w="2480" w:type="dxa"/>
            <w:vAlign w:val="bottom"/>
            <w:gridSpan w:val="8"/>
          </w:tcPr>
          <w:p>
            <w:pPr>
              <w:jc w:val="right"/>
              <w:ind w:right="40"/>
              <w:spacing w:after="0"/>
              <w:rPr>
                <w:sz w:val="20"/>
                <w:szCs w:val="20"/>
                <w:color w:val="auto"/>
              </w:rPr>
            </w:pPr>
            <w:r>
              <w:rPr>
                <w:rFonts w:ascii="Arial" w:cs="Arial" w:eastAsia="Arial" w:hAnsi="Arial"/>
                <w:sz w:val="18"/>
                <w:szCs w:val="18"/>
                <w:b w:val="1"/>
                <w:bCs w:val="1"/>
                <w:color w:val="auto"/>
              </w:rPr>
              <w:t>713-646-4100 / 800-564-3036</w:t>
            </w:r>
          </w:p>
        </w:tc>
        <w:tc>
          <w:tcPr>
            <w:tcW w:w="7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8"/>
        </w:trPr>
        <w:tc>
          <w:tcPr>
            <w:tcW w:w="20" w:type="dxa"/>
            <w:vAlign w:val="bottom"/>
            <w:tcBorders>
              <w:bottom w:val="single" w:sz="8" w:color="010101"/>
            </w:tcBorders>
          </w:tcPr>
          <w:p>
            <w:pPr>
              <w:spacing w:after="0"/>
              <w:rPr>
                <w:sz w:val="24"/>
                <w:szCs w:val="24"/>
                <w:color w:val="auto"/>
              </w:rPr>
            </w:pPr>
          </w:p>
        </w:tc>
        <w:tc>
          <w:tcPr>
            <w:tcW w:w="1780" w:type="dxa"/>
            <w:vAlign w:val="bottom"/>
            <w:tcBorders>
              <w:bottom w:val="single" w:sz="8" w:color="010101"/>
            </w:tcBorders>
          </w:tcPr>
          <w:p>
            <w:pPr>
              <w:spacing w:after="0"/>
              <w:rPr>
                <w:sz w:val="24"/>
                <w:szCs w:val="24"/>
                <w:color w:val="auto"/>
              </w:rPr>
            </w:pPr>
          </w:p>
        </w:tc>
        <w:tc>
          <w:tcPr>
            <w:tcW w:w="2960" w:type="dxa"/>
            <w:vAlign w:val="bottom"/>
            <w:tcBorders>
              <w:bottom w:val="single" w:sz="8" w:color="010101"/>
            </w:tcBorders>
          </w:tcPr>
          <w:p>
            <w:pPr>
              <w:spacing w:after="0"/>
              <w:rPr>
                <w:sz w:val="24"/>
                <w:szCs w:val="24"/>
                <w:color w:val="auto"/>
              </w:rPr>
            </w:pPr>
          </w:p>
        </w:tc>
        <w:tc>
          <w:tcPr>
            <w:tcW w:w="540" w:type="dxa"/>
            <w:vAlign w:val="bottom"/>
            <w:tcBorders>
              <w:bottom w:val="single" w:sz="8" w:color="010101"/>
            </w:tcBorders>
          </w:tcPr>
          <w:p>
            <w:pPr>
              <w:spacing w:after="0"/>
              <w:rPr>
                <w:sz w:val="24"/>
                <w:szCs w:val="24"/>
                <w:color w:val="auto"/>
              </w:rPr>
            </w:pPr>
          </w:p>
        </w:tc>
        <w:tc>
          <w:tcPr>
            <w:tcW w:w="600" w:type="dxa"/>
            <w:vAlign w:val="bottom"/>
            <w:tcBorders>
              <w:bottom w:val="single" w:sz="8" w:color="010101"/>
            </w:tcBorders>
          </w:tcPr>
          <w:p>
            <w:pPr>
              <w:spacing w:after="0"/>
              <w:rPr>
                <w:sz w:val="24"/>
                <w:szCs w:val="24"/>
                <w:color w:val="auto"/>
              </w:rPr>
            </w:pPr>
          </w:p>
        </w:tc>
        <w:tc>
          <w:tcPr>
            <w:tcW w:w="780" w:type="dxa"/>
            <w:vAlign w:val="bottom"/>
            <w:tcBorders>
              <w:bottom w:val="single" w:sz="8" w:color="010101"/>
            </w:tcBorders>
          </w:tcPr>
          <w:p>
            <w:pPr>
              <w:spacing w:after="0"/>
              <w:rPr>
                <w:sz w:val="24"/>
                <w:szCs w:val="24"/>
                <w:color w:val="auto"/>
              </w:rPr>
            </w:pPr>
          </w:p>
        </w:tc>
        <w:tc>
          <w:tcPr>
            <w:tcW w:w="380" w:type="dxa"/>
            <w:vAlign w:val="bottom"/>
            <w:tcBorders>
              <w:bottom w:val="single" w:sz="8" w:color="010101"/>
            </w:tcBorders>
          </w:tcPr>
          <w:p>
            <w:pPr>
              <w:spacing w:after="0"/>
              <w:rPr>
                <w:sz w:val="24"/>
                <w:szCs w:val="24"/>
                <w:color w:val="auto"/>
              </w:rPr>
            </w:pPr>
          </w:p>
        </w:tc>
        <w:tc>
          <w:tcPr>
            <w:tcW w:w="140" w:type="dxa"/>
            <w:vAlign w:val="bottom"/>
            <w:tcBorders>
              <w:bottom w:val="single" w:sz="8" w:color="010101"/>
            </w:tcBorders>
          </w:tcPr>
          <w:p>
            <w:pPr>
              <w:spacing w:after="0"/>
              <w:rPr>
                <w:sz w:val="24"/>
                <w:szCs w:val="24"/>
                <w:color w:val="auto"/>
              </w:rPr>
            </w:pPr>
          </w:p>
        </w:tc>
        <w:tc>
          <w:tcPr>
            <w:tcW w:w="160" w:type="dxa"/>
            <w:vAlign w:val="bottom"/>
            <w:tcBorders>
              <w:bottom w:val="single" w:sz="8" w:color="010101"/>
            </w:tcBorders>
          </w:tcPr>
          <w:p>
            <w:pPr>
              <w:spacing w:after="0"/>
              <w:rPr>
                <w:sz w:val="24"/>
                <w:szCs w:val="24"/>
                <w:color w:val="auto"/>
              </w:rPr>
            </w:pPr>
          </w:p>
        </w:tc>
        <w:tc>
          <w:tcPr>
            <w:tcW w:w="780" w:type="dxa"/>
            <w:vAlign w:val="bottom"/>
            <w:tcBorders>
              <w:bottom w:val="single" w:sz="8" w:color="010101"/>
            </w:tcBorders>
          </w:tcPr>
          <w:p>
            <w:pPr>
              <w:spacing w:after="0"/>
              <w:rPr>
                <w:sz w:val="24"/>
                <w:szCs w:val="24"/>
                <w:color w:val="auto"/>
              </w:rPr>
            </w:pPr>
          </w:p>
        </w:tc>
        <w:tc>
          <w:tcPr>
            <w:tcW w:w="360" w:type="dxa"/>
            <w:vAlign w:val="bottom"/>
            <w:tcBorders>
              <w:bottom w:val="single" w:sz="8" w:color="010101"/>
            </w:tcBorders>
          </w:tcPr>
          <w:p>
            <w:pPr>
              <w:spacing w:after="0"/>
              <w:rPr>
                <w:sz w:val="24"/>
                <w:szCs w:val="24"/>
                <w:color w:val="auto"/>
              </w:rPr>
            </w:pPr>
          </w:p>
        </w:tc>
        <w:tc>
          <w:tcPr>
            <w:tcW w:w="140" w:type="dxa"/>
            <w:vAlign w:val="bottom"/>
            <w:tcBorders>
              <w:bottom w:val="single" w:sz="8" w:color="010101"/>
            </w:tcBorders>
          </w:tcPr>
          <w:p>
            <w:pPr>
              <w:spacing w:after="0"/>
              <w:rPr>
                <w:sz w:val="24"/>
                <w:szCs w:val="24"/>
                <w:color w:val="auto"/>
              </w:rPr>
            </w:pPr>
          </w:p>
        </w:tc>
        <w:tc>
          <w:tcPr>
            <w:tcW w:w="140" w:type="dxa"/>
            <w:vAlign w:val="bottom"/>
            <w:tcBorders>
              <w:bottom w:val="single" w:sz="8" w:color="010101"/>
            </w:tcBorders>
          </w:tcPr>
          <w:p>
            <w:pPr>
              <w:spacing w:after="0"/>
              <w:rPr>
                <w:sz w:val="24"/>
                <w:szCs w:val="24"/>
                <w:color w:val="auto"/>
              </w:rPr>
            </w:pPr>
          </w:p>
        </w:tc>
        <w:tc>
          <w:tcPr>
            <w:tcW w:w="380" w:type="dxa"/>
            <w:vAlign w:val="bottom"/>
            <w:tcBorders>
              <w:bottom w:val="single" w:sz="8" w:color="010101"/>
            </w:tcBorders>
          </w:tcPr>
          <w:p>
            <w:pPr>
              <w:spacing w:after="0"/>
              <w:rPr>
                <w:sz w:val="24"/>
                <w:szCs w:val="24"/>
                <w:color w:val="auto"/>
              </w:rPr>
            </w:pPr>
          </w:p>
        </w:tc>
        <w:tc>
          <w:tcPr>
            <w:tcW w:w="740" w:type="dxa"/>
            <w:vAlign w:val="bottom"/>
            <w:tcBorders>
              <w:bottom w:val="single" w:sz="8" w:color="010101"/>
            </w:tcBorders>
          </w:tcPr>
          <w:p>
            <w:pPr>
              <w:spacing w:after="0"/>
              <w:rPr>
                <w:sz w:val="24"/>
                <w:szCs w:val="24"/>
                <w:color w:val="auto"/>
              </w:rPr>
            </w:pPr>
          </w:p>
        </w:tc>
        <w:tc>
          <w:tcPr>
            <w:tcW w:w="300" w:type="dxa"/>
            <w:vAlign w:val="bottom"/>
            <w:tcBorders>
              <w:bottom w:val="single" w:sz="8" w:color="010101"/>
            </w:tcBorders>
          </w:tcPr>
          <w:p>
            <w:pPr>
              <w:spacing w:after="0"/>
              <w:rPr>
                <w:sz w:val="24"/>
                <w:szCs w:val="24"/>
                <w:color w:val="auto"/>
              </w:rPr>
            </w:pPr>
          </w:p>
        </w:tc>
        <w:tc>
          <w:tcPr>
            <w:tcW w:w="260" w:type="dxa"/>
            <w:vAlign w:val="bottom"/>
            <w:tcBorders>
              <w:bottom w:val="single" w:sz="8" w:color="010101"/>
            </w:tcBorders>
          </w:tcPr>
          <w:p>
            <w:pPr>
              <w:spacing w:after="0"/>
              <w:rPr>
                <w:sz w:val="24"/>
                <w:szCs w:val="24"/>
                <w:color w:val="auto"/>
              </w:rPr>
            </w:pPr>
          </w:p>
        </w:tc>
        <w:tc>
          <w:tcPr>
            <w:tcW w:w="860" w:type="dxa"/>
            <w:vAlign w:val="bottom"/>
            <w:tcBorders>
              <w:bottom w:val="single" w:sz="8" w:color="010101"/>
            </w:tcBorders>
          </w:tcPr>
          <w:p>
            <w:pPr>
              <w:spacing w:after="0"/>
              <w:rPr>
                <w:sz w:val="24"/>
                <w:szCs w:val="24"/>
                <w:color w:val="auto"/>
              </w:rPr>
            </w:pPr>
          </w:p>
        </w:tc>
        <w:tc>
          <w:tcPr>
            <w:tcW w:w="100" w:type="dxa"/>
            <w:vAlign w:val="bottom"/>
            <w:tcBorders>
              <w:bottom w:val="single" w:sz="8" w:color="010101"/>
            </w:tcBorders>
          </w:tcPr>
          <w:p>
            <w:pPr>
              <w:spacing w:after="0"/>
              <w:rPr>
                <w:sz w:val="24"/>
                <w:szCs w:val="24"/>
                <w:color w:val="auto"/>
              </w:rPr>
            </w:pPr>
          </w:p>
        </w:tc>
        <w:tc>
          <w:tcPr>
            <w:tcW w:w="40" w:type="dxa"/>
            <w:vAlign w:val="bottom"/>
            <w:tcBorders>
              <w:bottom w:val="single" w:sz="8" w:color="010101"/>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Page 8</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FINANCIAL SUMMARY </w:t>
      </w:r>
      <w:r>
        <w:rPr>
          <w:rFonts w:ascii="Arial" w:cs="Arial" w:eastAsia="Arial" w:hAnsi="Arial"/>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CONDENSED CONSOLIDATED BALANCE SHEET DATA</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(in millions)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318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60" w:type="dxa"/>
            <w:vAlign w:val="bottom"/>
            <w:gridSpan w:val="3"/>
          </w:tcPr>
          <w:p>
            <w:pPr>
              <w:jc w:val="right"/>
              <w:ind w:right="660"/>
              <w:spacing w:after="0"/>
              <w:rPr>
                <w:sz w:val="20"/>
                <w:szCs w:val="20"/>
                <w:color w:val="auto"/>
              </w:rPr>
            </w:pPr>
            <w:r>
              <w:rPr>
                <w:rFonts w:ascii="Arial" w:cs="Arial" w:eastAsia="Arial" w:hAnsi="Arial"/>
                <w:sz w:val="14"/>
                <w:szCs w:val="14"/>
                <w:b w:val="1"/>
                <w:bCs w:val="1"/>
                <w:color w:val="auto"/>
              </w:rPr>
              <w:t>June 30,</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20" w:type="dxa"/>
            <w:vAlign w:val="bottom"/>
            <w:gridSpan w:val="3"/>
          </w:tcPr>
          <w:p>
            <w:pPr>
              <w:jc w:val="right"/>
              <w:ind w:right="36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800" w:type="dxa"/>
            <w:vAlign w:val="bottom"/>
            <w:tcBorders>
              <w:bottom w:val="single" w:sz="8" w:color="CCEEFF"/>
            </w:tcBorders>
          </w:tcPr>
          <w:p>
            <w:pPr>
              <w:spacing w:after="0"/>
              <w:rPr>
                <w:sz w:val="14"/>
                <w:szCs w:val="14"/>
                <w:color w:val="auto"/>
              </w:rPr>
            </w:pPr>
          </w:p>
        </w:tc>
        <w:tc>
          <w:tcPr>
            <w:tcW w:w="3180" w:type="dxa"/>
            <w:vAlign w:val="bottom"/>
            <w:tcBorders>
              <w:bottom w:val="single" w:sz="8" w:color="CCEEFF"/>
            </w:tcBorders>
          </w:tcPr>
          <w:p>
            <w:pPr>
              <w:spacing w:after="0"/>
              <w:rPr>
                <w:sz w:val="14"/>
                <w:szCs w:val="14"/>
                <w:color w:val="auto"/>
              </w:rPr>
            </w:pPr>
          </w:p>
        </w:tc>
        <w:tc>
          <w:tcPr>
            <w:tcW w:w="228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2014</w:t>
            </w:r>
          </w:p>
        </w:tc>
        <w:tc>
          <w:tcPr>
            <w:tcW w:w="60" w:type="dxa"/>
            <w:vAlign w:val="bottom"/>
            <w:tcBorders>
              <w:bottom w:val="single" w:sz="8" w:color="auto"/>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2013</w:t>
            </w:r>
          </w:p>
        </w:tc>
        <w:tc>
          <w:tcPr>
            <w:tcW w:w="6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98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22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gridSpan w:val="2"/>
          </w:tcPr>
          <w:p>
            <w:pPr>
              <w:spacing w:after="0"/>
              <w:rPr>
                <w:sz w:val="20"/>
                <w:szCs w:val="20"/>
                <w:color w:val="auto"/>
              </w:rPr>
            </w:pPr>
            <w:r>
              <w:rPr>
                <w:rFonts w:ascii="Arial" w:cs="Arial" w:eastAsia="Arial" w:hAnsi="Arial"/>
                <w:sz w:val="18"/>
                <w:szCs w:val="18"/>
                <w:color w:val="auto"/>
              </w:rPr>
              <w:t>Current assets</w:t>
            </w:r>
          </w:p>
        </w:tc>
        <w:tc>
          <w:tcPr>
            <w:tcW w:w="2540" w:type="dxa"/>
            <w:vAlign w:val="bottom"/>
            <w:gridSpan w:val="3"/>
          </w:tcPr>
          <w:p>
            <w:pPr>
              <w:ind w:left="2300"/>
              <w:spacing w:after="0"/>
              <w:rPr>
                <w:sz w:val="20"/>
                <w:szCs w:val="20"/>
                <w:color w:val="auto"/>
              </w:rPr>
            </w:pPr>
            <w:r>
              <w:rPr>
                <w:rFonts w:ascii="Arial" w:cs="Arial" w:eastAsia="Arial" w:hAnsi="Arial"/>
                <w:sz w:val="18"/>
                <w:szCs w:val="18"/>
                <w:color w:val="auto"/>
              </w:rPr>
              <w:t>$</w:t>
            </w:r>
          </w:p>
        </w:tc>
        <w:tc>
          <w:tcPr>
            <w:tcW w:w="1360" w:type="dxa"/>
            <w:vAlign w:val="bottom"/>
            <w:gridSpan w:val="3"/>
          </w:tcPr>
          <w:p>
            <w:pPr>
              <w:jc w:val="right"/>
              <w:ind w:right="220"/>
              <w:spacing w:after="0"/>
              <w:rPr>
                <w:sz w:val="20"/>
                <w:szCs w:val="20"/>
                <w:color w:val="auto"/>
              </w:rPr>
            </w:pPr>
            <w:r>
              <w:rPr>
                <w:rFonts w:ascii="Arial" w:cs="Arial" w:eastAsia="Arial" w:hAnsi="Arial"/>
                <w:sz w:val="18"/>
                <w:szCs w:val="18"/>
                <w:color w:val="auto"/>
              </w:rPr>
              <w:t>5,168</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3"/>
          </w:tcPr>
          <w:p>
            <w:pPr>
              <w:jc w:val="right"/>
              <w:ind w:right="100"/>
              <w:spacing w:after="0"/>
              <w:rPr>
                <w:sz w:val="20"/>
                <w:szCs w:val="20"/>
                <w:color w:val="auto"/>
              </w:rPr>
            </w:pPr>
            <w:r>
              <w:rPr>
                <w:rFonts w:ascii="Arial" w:cs="Arial" w:eastAsia="Arial" w:hAnsi="Arial"/>
                <w:sz w:val="18"/>
                <w:szCs w:val="18"/>
                <w:color w:val="auto"/>
              </w:rPr>
              <w:t>4,964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2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11,613</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10,819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gridSpan w:val="2"/>
          </w:tcPr>
          <w:p>
            <w:pPr>
              <w:spacing w:after="0"/>
              <w:rPr>
                <w:sz w:val="20"/>
                <w:szCs w:val="20"/>
                <w:color w:val="auto"/>
              </w:rPr>
            </w:pPr>
            <w:r>
              <w:rPr>
                <w:rFonts w:ascii="Arial" w:cs="Arial" w:eastAsia="Arial" w:hAnsi="Arial"/>
                <w:sz w:val="18"/>
                <w:szCs w:val="18"/>
                <w:color w:val="auto"/>
              </w:rPr>
              <w:t>Goodwill</w:t>
            </w:r>
          </w:p>
        </w:tc>
        <w:tc>
          <w:tcPr>
            <w:tcW w:w="2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gridSpan w:val="3"/>
          </w:tcPr>
          <w:p>
            <w:pPr>
              <w:jc w:val="right"/>
              <w:ind w:right="220"/>
              <w:spacing w:after="0"/>
              <w:rPr>
                <w:sz w:val="20"/>
                <w:szCs w:val="20"/>
                <w:color w:val="auto"/>
              </w:rPr>
            </w:pPr>
            <w:r>
              <w:rPr>
                <w:rFonts w:ascii="Arial" w:cs="Arial" w:eastAsia="Arial" w:hAnsi="Arial"/>
                <w:sz w:val="18"/>
                <w:szCs w:val="18"/>
                <w:color w:val="auto"/>
              </w:rPr>
              <w:t>2,502</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3"/>
          </w:tcPr>
          <w:p>
            <w:pPr>
              <w:jc w:val="right"/>
              <w:ind w:right="100"/>
              <w:spacing w:after="0"/>
              <w:rPr>
                <w:sz w:val="20"/>
                <w:szCs w:val="20"/>
                <w:color w:val="auto"/>
              </w:rPr>
            </w:pPr>
            <w:r>
              <w:rPr>
                <w:rFonts w:ascii="Arial" w:cs="Arial" w:eastAsia="Arial" w:hAnsi="Arial"/>
                <w:sz w:val="18"/>
                <w:szCs w:val="18"/>
                <w:color w:val="auto"/>
              </w:rPr>
              <w:t>2,503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Linefill and base gas</w:t>
            </w:r>
          </w:p>
        </w:tc>
        <w:tc>
          <w:tcPr>
            <w:tcW w:w="2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895</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798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gridSpan w:val="2"/>
          </w:tcPr>
          <w:p>
            <w:pPr>
              <w:spacing w:after="0"/>
              <w:rPr>
                <w:sz w:val="20"/>
                <w:szCs w:val="20"/>
                <w:color w:val="auto"/>
              </w:rPr>
            </w:pPr>
            <w:r>
              <w:rPr>
                <w:rFonts w:ascii="Arial" w:cs="Arial" w:eastAsia="Arial" w:hAnsi="Arial"/>
                <w:sz w:val="18"/>
                <w:szCs w:val="18"/>
                <w:color w:val="auto"/>
              </w:rPr>
              <w:t>Long-term inventory</w:t>
            </w:r>
          </w:p>
        </w:tc>
        <w:tc>
          <w:tcPr>
            <w:tcW w:w="2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gridSpan w:val="3"/>
          </w:tcPr>
          <w:p>
            <w:pPr>
              <w:jc w:val="right"/>
              <w:ind w:right="220"/>
              <w:spacing w:after="0"/>
              <w:rPr>
                <w:sz w:val="20"/>
                <w:szCs w:val="20"/>
                <w:color w:val="auto"/>
              </w:rPr>
            </w:pPr>
            <w:r>
              <w:rPr>
                <w:rFonts w:ascii="Arial" w:cs="Arial" w:eastAsia="Arial" w:hAnsi="Arial"/>
                <w:sz w:val="18"/>
                <w:szCs w:val="18"/>
                <w:color w:val="auto"/>
              </w:rPr>
              <w:t>287</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3"/>
          </w:tcPr>
          <w:p>
            <w:pPr>
              <w:jc w:val="right"/>
              <w:ind w:right="100"/>
              <w:spacing w:after="0"/>
              <w:rPr>
                <w:sz w:val="20"/>
                <w:szCs w:val="20"/>
                <w:color w:val="auto"/>
              </w:rPr>
            </w:pPr>
            <w:r>
              <w:rPr>
                <w:rFonts w:ascii="Arial" w:cs="Arial" w:eastAsia="Arial" w:hAnsi="Arial"/>
                <w:sz w:val="18"/>
                <w:szCs w:val="18"/>
                <w:color w:val="auto"/>
              </w:rPr>
              <w:t>251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Investments in unconsolidated entities</w:t>
            </w:r>
          </w:p>
        </w:tc>
        <w:tc>
          <w:tcPr>
            <w:tcW w:w="2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545</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gridSpan w:val="2"/>
          </w:tcPr>
          <w:p>
            <w:pPr>
              <w:spacing w:after="0"/>
              <w:rPr>
                <w:sz w:val="20"/>
                <w:szCs w:val="20"/>
                <w:color w:val="auto"/>
              </w:rPr>
            </w:pPr>
            <w:r>
              <w:rPr>
                <w:rFonts w:ascii="Arial" w:cs="Arial" w:eastAsia="Arial" w:hAnsi="Arial"/>
                <w:sz w:val="18"/>
                <w:szCs w:val="18"/>
                <w:color w:val="auto"/>
              </w:rPr>
              <w:t>Other, net</w:t>
            </w:r>
          </w:p>
        </w:tc>
        <w:tc>
          <w:tcPr>
            <w:tcW w:w="2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gridSpan w:val="3"/>
          </w:tcPr>
          <w:p>
            <w:pPr>
              <w:jc w:val="right"/>
              <w:ind w:right="220"/>
              <w:spacing w:after="0"/>
              <w:rPr>
                <w:sz w:val="20"/>
                <w:szCs w:val="20"/>
                <w:color w:val="auto"/>
              </w:rPr>
            </w:pPr>
            <w:r>
              <w:rPr>
                <w:rFonts w:ascii="Arial" w:cs="Arial" w:eastAsia="Arial" w:hAnsi="Arial"/>
                <w:sz w:val="18"/>
                <w:szCs w:val="18"/>
                <w:color w:val="auto"/>
              </w:rPr>
              <w:t>485</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3"/>
          </w:tcPr>
          <w:p>
            <w:pPr>
              <w:jc w:val="right"/>
              <w:ind w:right="100"/>
              <w:spacing w:after="0"/>
              <w:rPr>
                <w:sz w:val="20"/>
                <w:szCs w:val="20"/>
                <w:color w:val="auto"/>
              </w:rPr>
            </w:pPr>
            <w:r>
              <w:rPr>
                <w:rFonts w:ascii="Arial" w:cs="Arial" w:eastAsia="Arial" w:hAnsi="Arial"/>
                <w:sz w:val="18"/>
                <w:szCs w:val="18"/>
                <w:color w:val="auto"/>
              </w:rPr>
              <w:t>540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80" w:type="dxa"/>
            <w:vAlign w:val="bottom"/>
            <w:tcBorders>
              <w:top w:val="single" w:sz="8" w:color="CCEEFF"/>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Total assets</w:t>
            </w:r>
          </w:p>
        </w:tc>
        <w:tc>
          <w:tcPr>
            <w:tcW w:w="228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1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21,495</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20,360</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2800" w:type="dxa"/>
            <w:vAlign w:val="bottom"/>
          </w:tcPr>
          <w:p>
            <w:pPr>
              <w:spacing w:after="0"/>
              <w:rPr>
                <w:sz w:val="17"/>
                <w:szCs w:val="17"/>
                <w:color w:val="auto"/>
              </w:rPr>
            </w:pPr>
          </w:p>
        </w:tc>
        <w:tc>
          <w:tcPr>
            <w:tcW w:w="318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LIABILITIES AND PARTNERS’ CAPITAL</w:t>
            </w:r>
          </w:p>
        </w:tc>
        <w:tc>
          <w:tcPr>
            <w:tcW w:w="2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gridSpan w:val="2"/>
          </w:tcPr>
          <w:p>
            <w:pPr>
              <w:spacing w:after="0"/>
              <w:rPr>
                <w:sz w:val="20"/>
                <w:szCs w:val="20"/>
                <w:color w:val="auto"/>
              </w:rPr>
            </w:pPr>
            <w:r>
              <w:rPr>
                <w:rFonts w:ascii="Arial" w:cs="Arial" w:eastAsia="Arial" w:hAnsi="Arial"/>
                <w:sz w:val="18"/>
                <w:szCs w:val="18"/>
                <w:color w:val="auto"/>
              </w:rPr>
              <w:t>Current liabilities</w:t>
            </w:r>
          </w:p>
        </w:tc>
        <w:tc>
          <w:tcPr>
            <w:tcW w:w="2540" w:type="dxa"/>
            <w:vAlign w:val="bottom"/>
            <w:gridSpan w:val="3"/>
          </w:tcPr>
          <w:p>
            <w:pPr>
              <w:ind w:left="2300"/>
              <w:spacing w:after="0"/>
              <w:rPr>
                <w:sz w:val="20"/>
                <w:szCs w:val="20"/>
                <w:color w:val="auto"/>
              </w:rPr>
            </w:pPr>
            <w:r>
              <w:rPr>
                <w:rFonts w:ascii="Arial" w:cs="Arial" w:eastAsia="Arial" w:hAnsi="Arial"/>
                <w:sz w:val="18"/>
                <w:szCs w:val="18"/>
                <w:color w:val="auto"/>
              </w:rPr>
              <w:t>$</w:t>
            </w:r>
          </w:p>
        </w:tc>
        <w:tc>
          <w:tcPr>
            <w:tcW w:w="1360" w:type="dxa"/>
            <w:vAlign w:val="bottom"/>
            <w:gridSpan w:val="3"/>
          </w:tcPr>
          <w:p>
            <w:pPr>
              <w:jc w:val="right"/>
              <w:ind w:right="220"/>
              <w:spacing w:after="0"/>
              <w:rPr>
                <w:sz w:val="20"/>
                <w:szCs w:val="20"/>
                <w:color w:val="auto"/>
              </w:rPr>
            </w:pPr>
            <w:r>
              <w:rPr>
                <w:rFonts w:ascii="Arial" w:cs="Arial" w:eastAsia="Arial" w:hAnsi="Arial"/>
                <w:sz w:val="18"/>
                <w:szCs w:val="18"/>
                <w:color w:val="auto"/>
              </w:rPr>
              <w:t>5,423</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3"/>
          </w:tcPr>
          <w:p>
            <w:pPr>
              <w:jc w:val="right"/>
              <w:ind w:right="100"/>
              <w:spacing w:after="0"/>
              <w:rPr>
                <w:sz w:val="20"/>
                <w:szCs w:val="20"/>
                <w:color w:val="auto"/>
              </w:rPr>
            </w:pPr>
            <w:r>
              <w:rPr>
                <w:rFonts w:ascii="Arial" w:cs="Arial" w:eastAsia="Arial" w:hAnsi="Arial"/>
                <w:sz w:val="18"/>
                <w:szCs w:val="18"/>
                <w:color w:val="auto"/>
              </w:rPr>
              <w:t>5,411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Senior notes, net of unamortized discount</w:t>
            </w:r>
          </w:p>
        </w:tc>
        <w:tc>
          <w:tcPr>
            <w:tcW w:w="2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7,409</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6,710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gridSpan w:val="2"/>
          </w:tcPr>
          <w:p>
            <w:pPr>
              <w:spacing w:after="0"/>
              <w:rPr>
                <w:sz w:val="20"/>
                <w:szCs w:val="20"/>
                <w:color w:val="auto"/>
              </w:rPr>
            </w:pPr>
            <w:r>
              <w:rPr>
                <w:rFonts w:ascii="Arial" w:cs="Arial" w:eastAsia="Arial" w:hAnsi="Arial"/>
                <w:sz w:val="18"/>
                <w:szCs w:val="18"/>
                <w:color w:val="auto"/>
              </w:rPr>
              <w:t>Long-term debt under credit facilities and other</w:t>
            </w:r>
          </w:p>
        </w:tc>
        <w:tc>
          <w:tcPr>
            <w:tcW w:w="2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gridSpan w:val="3"/>
          </w:tcPr>
          <w:p>
            <w:pPr>
              <w:jc w:val="right"/>
              <w:ind w:right="220"/>
              <w:spacing w:after="0"/>
              <w:rPr>
                <w:sz w:val="20"/>
                <w:szCs w:val="20"/>
                <w:color w:val="auto"/>
              </w:rPr>
            </w:pPr>
            <w:r>
              <w:rPr>
                <w:rFonts w:ascii="Arial" w:cs="Arial" w:eastAsia="Arial" w:hAnsi="Arial"/>
                <w:sz w:val="18"/>
                <w:szCs w:val="18"/>
                <w:color w:val="auto"/>
              </w:rPr>
              <w:t>5</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3"/>
          </w:tcPr>
          <w:p>
            <w:pPr>
              <w:jc w:val="right"/>
              <w:ind w:right="10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long-term liabilities and deferred credits</w:t>
            </w:r>
          </w:p>
        </w:tc>
        <w:tc>
          <w:tcPr>
            <w:tcW w:w="2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546</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531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80" w:type="dxa"/>
            <w:vAlign w:val="bottom"/>
            <w:gridSpan w:val="2"/>
          </w:tcPr>
          <w:p>
            <w:pPr>
              <w:ind w:left="160"/>
              <w:spacing w:after="0"/>
              <w:rPr>
                <w:sz w:val="20"/>
                <w:szCs w:val="20"/>
                <w:color w:val="auto"/>
              </w:rPr>
            </w:pPr>
            <w:r>
              <w:rPr>
                <w:rFonts w:ascii="Arial" w:cs="Arial" w:eastAsia="Arial" w:hAnsi="Arial"/>
                <w:sz w:val="18"/>
                <w:szCs w:val="18"/>
                <w:color w:val="auto"/>
              </w:rPr>
              <w:t>Total liabilities</w:t>
            </w:r>
          </w:p>
        </w:tc>
        <w:tc>
          <w:tcPr>
            <w:tcW w:w="2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13,383</w:t>
            </w: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12,657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800" w:type="dxa"/>
            <w:vAlign w:val="bottom"/>
            <w:shd w:val="clear" w:color="auto" w:fill="CCEEFF"/>
          </w:tcPr>
          <w:p>
            <w:pPr>
              <w:spacing w:after="0"/>
              <w:rPr>
                <w:sz w:val="18"/>
                <w:szCs w:val="18"/>
                <w:color w:val="auto"/>
              </w:rPr>
            </w:pPr>
          </w:p>
        </w:tc>
        <w:tc>
          <w:tcPr>
            <w:tcW w:w="3180" w:type="dxa"/>
            <w:vAlign w:val="bottom"/>
            <w:shd w:val="clear" w:color="auto" w:fill="CCEEFF"/>
          </w:tcPr>
          <w:p>
            <w:pPr>
              <w:spacing w:after="0"/>
              <w:rPr>
                <w:sz w:val="18"/>
                <w:szCs w:val="18"/>
                <w:color w:val="auto"/>
              </w:rPr>
            </w:pPr>
          </w:p>
        </w:tc>
        <w:tc>
          <w:tcPr>
            <w:tcW w:w="2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80" w:type="dxa"/>
            <w:vAlign w:val="bottom"/>
            <w:gridSpan w:val="2"/>
          </w:tcPr>
          <w:p>
            <w:pPr>
              <w:spacing w:after="0"/>
              <w:rPr>
                <w:sz w:val="20"/>
                <w:szCs w:val="20"/>
                <w:color w:val="auto"/>
              </w:rPr>
            </w:pPr>
            <w:r>
              <w:rPr>
                <w:rFonts w:ascii="Arial" w:cs="Arial" w:eastAsia="Arial" w:hAnsi="Arial"/>
                <w:sz w:val="18"/>
                <w:szCs w:val="18"/>
                <w:color w:val="auto"/>
              </w:rPr>
              <w:t>Partners’ capital excluding noncontrolling interests</w:t>
            </w:r>
          </w:p>
        </w:tc>
        <w:tc>
          <w:tcPr>
            <w:tcW w:w="2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gridSpan w:val="3"/>
          </w:tcPr>
          <w:p>
            <w:pPr>
              <w:jc w:val="right"/>
              <w:ind w:right="220"/>
              <w:spacing w:after="0"/>
              <w:rPr>
                <w:sz w:val="20"/>
                <w:szCs w:val="20"/>
                <w:color w:val="auto"/>
              </w:rPr>
            </w:pPr>
            <w:r>
              <w:rPr>
                <w:rFonts w:ascii="Arial" w:cs="Arial" w:eastAsia="Arial" w:hAnsi="Arial"/>
                <w:sz w:val="18"/>
                <w:szCs w:val="18"/>
                <w:color w:val="auto"/>
              </w:rPr>
              <w:t>8,053</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3"/>
          </w:tcPr>
          <w:p>
            <w:pPr>
              <w:jc w:val="right"/>
              <w:ind w:right="100"/>
              <w:spacing w:after="0"/>
              <w:rPr>
                <w:sz w:val="20"/>
                <w:szCs w:val="20"/>
                <w:color w:val="auto"/>
              </w:rPr>
            </w:pPr>
            <w:r>
              <w:rPr>
                <w:rFonts w:ascii="Arial" w:cs="Arial" w:eastAsia="Arial" w:hAnsi="Arial"/>
                <w:sz w:val="18"/>
                <w:szCs w:val="18"/>
                <w:color w:val="auto"/>
              </w:rPr>
              <w:t>7,644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Noncontrolling interests</w:t>
            </w:r>
          </w:p>
        </w:tc>
        <w:tc>
          <w:tcPr>
            <w:tcW w:w="2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59</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80" w:type="dxa"/>
            <w:vAlign w:val="bottom"/>
            <w:tcBorders>
              <w:bottom w:val="single" w:sz="8" w:color="CCEEFF"/>
            </w:tcBorders>
            <w:gridSpan w:val="2"/>
          </w:tcPr>
          <w:p>
            <w:pPr>
              <w:ind w:left="160"/>
              <w:spacing w:after="0"/>
              <w:rPr>
                <w:sz w:val="20"/>
                <w:szCs w:val="20"/>
                <w:color w:val="auto"/>
              </w:rPr>
            </w:pPr>
            <w:r>
              <w:rPr>
                <w:rFonts w:ascii="Arial" w:cs="Arial" w:eastAsia="Arial" w:hAnsi="Arial"/>
                <w:sz w:val="18"/>
                <w:szCs w:val="18"/>
                <w:color w:val="auto"/>
              </w:rPr>
              <w:t>Total partners’ capital</w:t>
            </w:r>
          </w:p>
        </w:tc>
        <w:tc>
          <w:tcPr>
            <w:tcW w:w="22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8,112</w:t>
            </w:r>
          </w:p>
        </w:tc>
        <w:tc>
          <w:tcPr>
            <w:tcW w:w="22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7,703</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8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Total liabilities and partners’ capital</w:t>
            </w:r>
          </w:p>
        </w:tc>
        <w:tc>
          <w:tcPr>
            <w:tcW w:w="228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21,495</w:t>
            </w:r>
          </w:p>
        </w:tc>
        <w:tc>
          <w:tcPr>
            <w:tcW w:w="22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20,360</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0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DEBT CAPITALIZATION RATIOS</w:t>
            </w:r>
          </w:p>
        </w:tc>
        <w:tc>
          <w:tcPr>
            <w:tcW w:w="2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6000" w:type="dxa"/>
            <w:vAlign w:val="bottom"/>
            <w:gridSpan w:val="3"/>
            <w:vMerge w:val="continue"/>
          </w:tcPr>
          <w:p>
            <w:pPr>
              <w:spacing w:after="0"/>
              <w:rPr>
                <w:sz w:val="24"/>
                <w:szCs w:val="24"/>
                <w:color w:val="auto"/>
              </w:rPr>
            </w:pPr>
          </w:p>
        </w:tc>
        <w:tc>
          <w:tcPr>
            <w:tcW w:w="2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82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(in millions)</w:t>
            </w:r>
          </w:p>
        </w:tc>
        <w:tc>
          <w:tcPr>
            <w:tcW w:w="318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2"/>
        </w:trPr>
        <w:tc>
          <w:tcPr>
            <w:tcW w:w="2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60" w:type="dxa"/>
            <w:vAlign w:val="bottom"/>
            <w:gridSpan w:val="3"/>
          </w:tcPr>
          <w:p>
            <w:pPr>
              <w:jc w:val="right"/>
              <w:ind w:right="700"/>
              <w:spacing w:after="0"/>
              <w:rPr>
                <w:sz w:val="20"/>
                <w:szCs w:val="20"/>
                <w:color w:val="auto"/>
              </w:rPr>
            </w:pPr>
            <w:r>
              <w:rPr>
                <w:rFonts w:ascii="Arial" w:cs="Arial" w:eastAsia="Arial" w:hAnsi="Arial"/>
                <w:sz w:val="14"/>
                <w:szCs w:val="14"/>
                <w:b w:val="1"/>
                <w:bCs w:val="1"/>
                <w:color w:val="auto"/>
              </w:rPr>
              <w:t>June 30,</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20" w:type="dxa"/>
            <w:vAlign w:val="bottom"/>
            <w:gridSpan w:val="3"/>
          </w:tcPr>
          <w:p>
            <w:pPr>
              <w:jc w:val="right"/>
              <w:ind w:right="420"/>
              <w:spacing w:after="0"/>
              <w:rPr>
                <w:sz w:val="20"/>
                <w:szCs w:val="20"/>
                <w:color w:val="auto"/>
              </w:rPr>
            </w:pPr>
            <w:r>
              <w:rPr>
                <w:rFonts w:ascii="Arial" w:cs="Arial" w:eastAsia="Arial" w:hAnsi="Arial"/>
                <w:sz w:val="14"/>
                <w:szCs w:val="14"/>
                <w:b w:val="1"/>
                <w:bCs w:val="1"/>
                <w:color w:val="auto"/>
                <w:w w:val="96"/>
              </w:rPr>
              <w:t>December 31,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800" w:type="dxa"/>
            <w:vAlign w:val="bottom"/>
            <w:tcBorders>
              <w:bottom w:val="single" w:sz="8" w:color="CCEEFF"/>
            </w:tcBorders>
          </w:tcPr>
          <w:p>
            <w:pPr>
              <w:spacing w:after="0"/>
              <w:rPr>
                <w:sz w:val="14"/>
                <w:szCs w:val="14"/>
                <w:color w:val="auto"/>
              </w:rPr>
            </w:pPr>
          </w:p>
        </w:tc>
        <w:tc>
          <w:tcPr>
            <w:tcW w:w="3180" w:type="dxa"/>
            <w:vAlign w:val="bottom"/>
            <w:tcBorders>
              <w:bottom w:val="single" w:sz="8" w:color="CCEEFF"/>
            </w:tcBorders>
          </w:tcPr>
          <w:p>
            <w:pPr>
              <w:spacing w:after="0"/>
              <w:rPr>
                <w:sz w:val="14"/>
                <w:szCs w:val="14"/>
                <w:color w:val="auto"/>
              </w:rPr>
            </w:pPr>
          </w:p>
        </w:tc>
        <w:tc>
          <w:tcPr>
            <w:tcW w:w="2280" w:type="dxa"/>
            <w:vAlign w:val="bottom"/>
            <w:tcBorders>
              <w:bottom w:val="single" w:sz="8" w:color="CCEEFF"/>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2014</w:t>
            </w:r>
          </w:p>
        </w:tc>
        <w:tc>
          <w:tcPr>
            <w:tcW w:w="60" w:type="dxa"/>
            <w:vAlign w:val="bottom"/>
            <w:tcBorders>
              <w:bottom w:val="single" w:sz="8" w:color="CCEEFF"/>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2013</w:t>
            </w:r>
          </w:p>
        </w:tc>
        <w:tc>
          <w:tcPr>
            <w:tcW w:w="6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Short-term debt</w:t>
            </w:r>
          </w:p>
        </w:tc>
        <w:tc>
          <w:tcPr>
            <w:tcW w:w="2280" w:type="dxa"/>
            <w:vAlign w:val="bottom"/>
            <w:shd w:val="clear" w:color="auto" w:fill="CCEEFF"/>
          </w:tcPr>
          <w:p>
            <w:pPr>
              <w:spacing w:after="0"/>
              <w:rPr>
                <w:sz w:val="18"/>
                <w:szCs w:val="18"/>
                <w:color w:val="auto"/>
              </w:rPr>
            </w:pPr>
          </w:p>
        </w:tc>
        <w:tc>
          <w:tcPr>
            <w:tcW w:w="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763</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1,113</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gridSpan w:val="2"/>
          </w:tcPr>
          <w:p>
            <w:pPr>
              <w:spacing w:after="0"/>
              <w:rPr>
                <w:sz w:val="20"/>
                <w:szCs w:val="20"/>
                <w:color w:val="auto"/>
              </w:rPr>
            </w:pPr>
            <w:r>
              <w:rPr>
                <w:rFonts w:ascii="Arial" w:cs="Arial" w:eastAsia="Arial" w:hAnsi="Arial"/>
                <w:sz w:val="18"/>
                <w:szCs w:val="18"/>
                <w:color w:val="auto"/>
              </w:rPr>
              <w:t>Long-term debt</w:t>
            </w:r>
          </w:p>
        </w:tc>
        <w:tc>
          <w:tcPr>
            <w:tcW w:w="2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7,414</w:t>
            </w: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auto"/>
              </w:rPr>
              <w:t>6,715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80" w:type="dxa"/>
            <w:vAlign w:val="bottom"/>
            <w:tcBorders>
              <w:top w:val="single" w:sz="8" w:color="CCEEFF"/>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Total debt</w:t>
            </w:r>
          </w:p>
        </w:tc>
        <w:tc>
          <w:tcPr>
            <w:tcW w:w="228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8,177</w:t>
            </w: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7,828</w:t>
            </w: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260" w:type="dxa"/>
            <w:vAlign w:val="bottom"/>
            <w:tcBorders>
              <w:bottom w:val="single" w:sz="8" w:color="auto"/>
            </w:tcBorders>
            <w:gridSpan w:val="2"/>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gridSpan w:val="2"/>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2800" w:type="dxa"/>
            <w:vAlign w:val="bottom"/>
          </w:tcPr>
          <w:p>
            <w:pPr>
              <w:spacing w:after="0"/>
              <w:rPr>
                <w:sz w:val="17"/>
                <w:szCs w:val="17"/>
                <w:color w:val="auto"/>
              </w:rPr>
            </w:pPr>
          </w:p>
        </w:tc>
        <w:tc>
          <w:tcPr>
            <w:tcW w:w="318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Long-term debt</w:t>
            </w:r>
          </w:p>
        </w:tc>
        <w:tc>
          <w:tcPr>
            <w:tcW w:w="2540" w:type="dxa"/>
            <w:vAlign w:val="bottom"/>
            <w:gridSpan w:val="3"/>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7,414</w:t>
            </w:r>
          </w:p>
        </w:tc>
        <w:tc>
          <w:tcPr>
            <w:tcW w:w="22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6,715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gridSpan w:val="2"/>
          </w:tcPr>
          <w:p>
            <w:pPr>
              <w:spacing w:after="0"/>
              <w:rPr>
                <w:sz w:val="20"/>
                <w:szCs w:val="20"/>
                <w:color w:val="auto"/>
              </w:rPr>
            </w:pPr>
            <w:r>
              <w:rPr>
                <w:rFonts w:ascii="Arial" w:cs="Arial" w:eastAsia="Arial" w:hAnsi="Arial"/>
                <w:sz w:val="18"/>
                <w:szCs w:val="18"/>
                <w:color w:val="auto"/>
              </w:rPr>
              <w:t>Partners’ capital</w:t>
            </w:r>
          </w:p>
        </w:tc>
        <w:tc>
          <w:tcPr>
            <w:tcW w:w="2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8,112</w:t>
            </w: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auto"/>
              </w:rPr>
              <w:t>7,703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80" w:type="dxa"/>
            <w:vAlign w:val="bottom"/>
            <w:tcBorders>
              <w:top w:val="single" w:sz="8" w:color="CCEEFF"/>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Total book capitalization</w:t>
            </w:r>
          </w:p>
        </w:tc>
        <w:tc>
          <w:tcPr>
            <w:tcW w:w="228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15,526</w:t>
            </w: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14,418</w:t>
            </w: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00" w:type="dxa"/>
            <w:vAlign w:val="bottom"/>
            <w:gridSpan w:val="3"/>
            <w:vMerge w:val="restart"/>
          </w:tcPr>
          <w:p>
            <w:pPr>
              <w:spacing w:after="0"/>
              <w:rPr>
                <w:sz w:val="20"/>
                <w:szCs w:val="20"/>
                <w:color w:val="auto"/>
              </w:rPr>
            </w:pPr>
            <w:r>
              <w:rPr>
                <w:rFonts w:ascii="Arial" w:cs="Arial" w:eastAsia="Arial" w:hAnsi="Arial"/>
                <w:sz w:val="18"/>
                <w:szCs w:val="18"/>
                <w:color w:val="auto"/>
              </w:rPr>
              <w:t>Total book capitalization, including short-term debt</w:t>
            </w:r>
          </w:p>
        </w:tc>
        <w:tc>
          <w:tcPr>
            <w:tcW w:w="2280" w:type="dxa"/>
            <w:vAlign w:val="bottom"/>
            <w:vMerge w:val="restart"/>
          </w:tcPr>
          <w:p>
            <w:pPr>
              <w:spacing w:after="0" w:line="20" w:lineRule="exact"/>
              <w:rPr>
                <w:sz w:val="1"/>
                <w:szCs w:val="1"/>
                <w:color w:val="auto"/>
              </w:rPr>
            </w:pPr>
          </w:p>
        </w:tc>
        <w:tc>
          <w:tcPr>
            <w:tcW w:w="260" w:type="dxa"/>
            <w:vAlign w:val="bottom"/>
            <w:tcBorders>
              <w:bottom w:val="single" w:sz="8" w:color="auto"/>
            </w:tcBorders>
            <w:gridSpan w:val="2"/>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gridSpan w:val="2"/>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6000" w:type="dxa"/>
            <w:vAlign w:val="bottom"/>
            <w:gridSpan w:val="3"/>
            <w:vMerge w:val="continue"/>
          </w:tcPr>
          <w:p>
            <w:pPr>
              <w:spacing w:after="0"/>
              <w:rPr>
                <w:sz w:val="20"/>
                <w:szCs w:val="20"/>
                <w:color w:val="auto"/>
              </w:rPr>
            </w:pPr>
          </w:p>
        </w:tc>
        <w:tc>
          <w:tcPr>
            <w:tcW w:w="2280" w:type="dxa"/>
            <w:vAlign w:val="bottom"/>
            <w:vMerge w:val="continue"/>
          </w:tcPr>
          <w:p>
            <w:pPr>
              <w:spacing w:after="0"/>
              <w:rPr>
                <w:sz w:val="20"/>
                <w:szCs w:val="20"/>
                <w:color w:val="auto"/>
              </w:rPr>
            </w:pPr>
          </w:p>
        </w:tc>
        <w:tc>
          <w:tcPr>
            <w:tcW w:w="260" w:type="dxa"/>
            <w:vAlign w:val="bottom"/>
            <w:tcBorders>
              <w:bottom w:val="single" w:sz="8" w:color="auto"/>
            </w:tcBorders>
            <w:gridSpan w:val="2"/>
          </w:tcPr>
          <w:p>
            <w:pPr>
              <w:spacing w:after="0" w:line="196" w:lineRule="exact"/>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16,289</w:t>
            </w:r>
          </w:p>
        </w:tc>
        <w:tc>
          <w:tcPr>
            <w:tcW w:w="60" w:type="dxa"/>
            <w:vAlign w:val="bottom"/>
            <w:vMerge w:val="continue"/>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Borders>
              <w:bottom w:val="single" w:sz="8" w:color="auto"/>
            </w:tcBorders>
            <w:gridSpan w:val="2"/>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15,531</w:t>
            </w:r>
          </w:p>
        </w:tc>
        <w:tc>
          <w:tcPr>
            <w:tcW w:w="6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2800" w:type="dxa"/>
            <w:vAlign w:val="bottom"/>
            <w:tcBorders>
              <w:top w:val="single" w:sz="8" w:color="CCEEFF"/>
            </w:tcBorders>
            <w:shd w:val="clear" w:color="auto" w:fill="CCEEFF"/>
          </w:tcPr>
          <w:p>
            <w:pPr>
              <w:spacing w:after="0"/>
              <w:rPr>
                <w:sz w:val="17"/>
                <w:szCs w:val="17"/>
                <w:color w:val="auto"/>
              </w:rPr>
            </w:pPr>
          </w:p>
        </w:tc>
        <w:tc>
          <w:tcPr>
            <w:tcW w:w="3180" w:type="dxa"/>
            <w:vAlign w:val="bottom"/>
            <w:tcBorders>
              <w:top w:val="single" w:sz="8" w:color="CCEEFF"/>
            </w:tcBorders>
            <w:shd w:val="clear" w:color="auto" w:fill="CCEEFF"/>
          </w:tcPr>
          <w:p>
            <w:pPr>
              <w:spacing w:after="0"/>
              <w:rPr>
                <w:sz w:val="17"/>
                <w:szCs w:val="17"/>
                <w:color w:val="auto"/>
              </w:rPr>
            </w:pPr>
          </w:p>
        </w:tc>
        <w:tc>
          <w:tcPr>
            <w:tcW w:w="22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80" w:type="dxa"/>
            <w:vAlign w:val="bottom"/>
            <w:gridSpan w:val="2"/>
          </w:tcPr>
          <w:p>
            <w:pPr>
              <w:spacing w:after="0"/>
              <w:rPr>
                <w:sz w:val="20"/>
                <w:szCs w:val="20"/>
                <w:color w:val="auto"/>
              </w:rPr>
            </w:pPr>
            <w:r>
              <w:rPr>
                <w:rFonts w:ascii="Arial" w:cs="Arial" w:eastAsia="Arial" w:hAnsi="Arial"/>
                <w:sz w:val="18"/>
                <w:szCs w:val="18"/>
                <w:color w:val="auto"/>
              </w:rPr>
              <w:t>Long-term debt-to-total book capitalization</w:t>
            </w:r>
          </w:p>
        </w:tc>
        <w:tc>
          <w:tcPr>
            <w:tcW w:w="2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gridSpan w:val="3"/>
          </w:tcPr>
          <w:p>
            <w:pPr>
              <w:jc w:val="right"/>
              <w:ind w:right="120"/>
              <w:spacing w:after="0"/>
              <w:rPr>
                <w:sz w:val="20"/>
                <w:szCs w:val="20"/>
                <w:color w:val="auto"/>
              </w:rPr>
            </w:pPr>
            <w:r>
              <w:rPr>
                <w:rFonts w:ascii="Arial" w:cs="Arial" w:eastAsia="Arial" w:hAnsi="Arial"/>
                <w:sz w:val="18"/>
                <w:szCs w:val="18"/>
                <w:color w:val="auto"/>
              </w:rPr>
              <w:t>48%</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3"/>
          </w:tcPr>
          <w:p>
            <w:pPr>
              <w:jc w:val="right"/>
              <w:ind w:right="20"/>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97"/>
        </w:trPr>
        <w:tc>
          <w:tcPr>
            <w:tcW w:w="20" w:type="dxa"/>
            <w:vAlign w:val="bottom"/>
            <w:shd w:val="clear" w:color="auto" w:fill="CCEEFF"/>
          </w:tcPr>
          <w:p>
            <w:pPr>
              <w:spacing w:after="0"/>
              <w:rPr>
                <w:sz w:val="8"/>
                <w:szCs w:val="8"/>
                <w:color w:val="auto"/>
              </w:rPr>
            </w:pPr>
          </w:p>
        </w:tc>
        <w:tc>
          <w:tcPr>
            <w:tcW w:w="2800" w:type="dxa"/>
            <w:vAlign w:val="bottom"/>
            <w:shd w:val="clear" w:color="auto" w:fill="CCEEFF"/>
          </w:tcPr>
          <w:p>
            <w:pPr>
              <w:spacing w:after="0"/>
              <w:rPr>
                <w:sz w:val="8"/>
                <w:szCs w:val="8"/>
                <w:color w:val="auto"/>
              </w:rPr>
            </w:pPr>
          </w:p>
        </w:tc>
        <w:tc>
          <w:tcPr>
            <w:tcW w:w="3180" w:type="dxa"/>
            <w:vAlign w:val="bottom"/>
            <w:shd w:val="clear" w:color="auto" w:fill="CCEEFF"/>
          </w:tcPr>
          <w:p>
            <w:pPr>
              <w:spacing w:after="0"/>
              <w:rPr>
                <w:sz w:val="8"/>
                <w:szCs w:val="8"/>
                <w:color w:val="auto"/>
              </w:rPr>
            </w:pPr>
          </w:p>
        </w:tc>
        <w:tc>
          <w:tcPr>
            <w:tcW w:w="228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10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116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bl>
    <w:p>
      <w:pPr>
        <w:sectPr>
          <w:pgSz w:w="11900" w:h="16900" w:orient="portrait"/>
          <w:cols w:equalWidth="0" w:num="1">
            <w:col w:w="11460"/>
          </w:cols>
          <w:pgMar w:left="240" w:top="140" w:right="199" w:bottom="0" w:gutter="0" w:footer="0" w:header="0"/>
        </w:sectPr>
      </w:pPr>
    </w:p>
    <w:bookmarkStart w:id="12" w:name="page13"/>
    <w:bookmarkEnd w:id="1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w w:val="93"/>
              </w:rPr>
              <w:t>Total debt-to-total book capitalization, including short-term debt</w:t>
            </w:r>
          </w:p>
        </w:tc>
        <w:tc>
          <w:tcPr>
            <w:tcW w:w="1980" w:type="dxa"/>
            <w:vAlign w:val="bottom"/>
            <w:shd w:val="clear" w:color="auto" w:fill="CCEEFF"/>
          </w:tcPr>
          <w:p>
            <w:pPr>
              <w:spacing w:after="0"/>
              <w:rPr>
                <w:sz w:val="18"/>
                <w:szCs w:val="18"/>
                <w:color w:val="auto"/>
              </w:rPr>
            </w:pPr>
          </w:p>
        </w:tc>
        <w:tc>
          <w:tcPr>
            <w:tcW w:w="3700" w:type="dxa"/>
            <w:vAlign w:val="bottom"/>
            <w:shd w:val="clear" w:color="auto" w:fill="CCEEFF"/>
          </w:tcPr>
          <w:p>
            <w:pPr>
              <w:jc w:val="right"/>
              <w:ind w:right="550"/>
              <w:spacing w:after="0"/>
              <w:rPr>
                <w:sz w:val="20"/>
                <w:szCs w:val="20"/>
                <w:color w:val="auto"/>
              </w:rPr>
            </w:pPr>
            <w:r>
              <w:rPr>
                <w:rFonts w:ascii="Arial" w:cs="Arial" w:eastAsia="Arial" w:hAnsi="Arial"/>
                <w:sz w:val="18"/>
                <w:szCs w:val="18"/>
                <w:color w:val="auto"/>
              </w:rPr>
              <w:t>50%</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40" w:type="dxa"/>
            <w:vAlign w:val="bottom"/>
          </w:tcPr>
          <w:p>
            <w:pPr>
              <w:spacing w:after="0"/>
              <w:rPr>
                <w:sz w:val="18"/>
                <w:szCs w:val="18"/>
                <w:color w:val="auto"/>
              </w:rPr>
            </w:pPr>
          </w:p>
        </w:tc>
      </w:tr>
      <w:tr>
        <w:trPr>
          <w:trHeight w:val="432"/>
        </w:trPr>
        <w:tc>
          <w:tcPr>
            <w:tcW w:w="4740" w:type="dxa"/>
            <w:vAlign w:val="bottom"/>
            <w:tcBorders>
              <w:bottom w:val="single" w:sz="8" w:color="auto"/>
            </w:tcBorders>
          </w:tcPr>
          <w:p>
            <w:pPr>
              <w:spacing w:after="0"/>
              <w:rPr>
                <w:sz w:val="24"/>
                <w:szCs w:val="24"/>
                <w:color w:val="auto"/>
              </w:rPr>
            </w:pPr>
          </w:p>
        </w:tc>
        <w:tc>
          <w:tcPr>
            <w:tcW w:w="1980" w:type="dxa"/>
            <w:vAlign w:val="bottom"/>
            <w:tcBorders>
              <w:bottom w:val="single" w:sz="8" w:color="auto"/>
            </w:tcBorders>
          </w:tcPr>
          <w:p>
            <w:pPr>
              <w:ind w:left="660"/>
              <w:spacing w:after="0"/>
              <w:rPr>
                <w:sz w:val="20"/>
                <w:szCs w:val="20"/>
                <w:color w:val="auto"/>
              </w:rPr>
            </w:pPr>
            <w:r>
              <w:rPr>
                <w:rFonts w:ascii="Arial" w:cs="Arial" w:eastAsia="Arial" w:hAnsi="Arial"/>
                <w:sz w:val="18"/>
                <w:szCs w:val="18"/>
                <w:color w:val="auto"/>
              </w:rPr>
              <w:t>– more –</w:t>
            </w:r>
          </w:p>
        </w:tc>
        <w:tc>
          <w:tcPr>
            <w:tcW w:w="37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r>
      <w:tr>
        <w:trPr>
          <w:trHeight w:val="237"/>
        </w:trPr>
        <w:tc>
          <w:tcPr>
            <w:tcW w:w="4740" w:type="dxa"/>
            <w:vAlign w:val="bottom"/>
          </w:tcPr>
          <w:p>
            <w:pPr>
              <w:ind w:left="2300"/>
              <w:spacing w:after="0"/>
              <w:rPr>
                <w:sz w:val="20"/>
                <w:szCs w:val="20"/>
                <w:color w:val="auto"/>
              </w:rPr>
            </w:pPr>
            <w:r>
              <w:rPr>
                <w:rFonts w:ascii="Arial" w:cs="Arial" w:eastAsia="Arial" w:hAnsi="Arial"/>
                <w:sz w:val="18"/>
                <w:szCs w:val="18"/>
                <w:b w:val="1"/>
                <w:bCs w:val="1"/>
                <w:color w:val="auto"/>
              </w:rPr>
              <w:t>333 Clay Street, Suite 1600</w:t>
            </w:r>
          </w:p>
        </w:tc>
        <w:tc>
          <w:tcPr>
            <w:tcW w:w="1980" w:type="dxa"/>
            <w:vAlign w:val="bottom"/>
          </w:tcPr>
          <w:p>
            <w:pPr>
              <w:ind w:left="80"/>
              <w:spacing w:after="0"/>
              <w:rPr>
                <w:sz w:val="20"/>
                <w:szCs w:val="20"/>
                <w:color w:val="auto"/>
              </w:rPr>
            </w:pPr>
            <w:r>
              <w:rPr>
                <w:rFonts w:ascii="Arial" w:cs="Arial" w:eastAsia="Arial" w:hAnsi="Arial"/>
                <w:sz w:val="18"/>
                <w:szCs w:val="18"/>
                <w:b w:val="1"/>
                <w:bCs w:val="1"/>
                <w:color w:val="auto"/>
                <w:w w:val="99"/>
              </w:rPr>
              <w:t>Houston, Texas 77002</w:t>
            </w:r>
          </w:p>
        </w:tc>
        <w:tc>
          <w:tcPr>
            <w:tcW w:w="3700" w:type="dxa"/>
            <w:vAlign w:val="bottom"/>
          </w:tcPr>
          <w:p>
            <w:pPr>
              <w:jc w:val="right"/>
              <w:ind w:right="1210"/>
              <w:spacing w:after="0"/>
              <w:rPr>
                <w:sz w:val="20"/>
                <w:szCs w:val="20"/>
                <w:color w:val="auto"/>
              </w:rPr>
            </w:pPr>
            <w:r>
              <w:rPr>
                <w:rFonts w:ascii="Arial" w:cs="Arial" w:eastAsia="Arial" w:hAnsi="Arial"/>
                <w:sz w:val="18"/>
                <w:szCs w:val="18"/>
                <w:b w:val="1"/>
                <w:bCs w:val="1"/>
                <w:color w:val="auto"/>
                <w:w w:val="99"/>
              </w:rPr>
              <w:t>713-646-4100 / 800-564-3036</w:t>
            </w:r>
          </w:p>
        </w:tc>
        <w:tc>
          <w:tcPr>
            <w:tcW w:w="100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348"/>
        </w:trPr>
        <w:tc>
          <w:tcPr>
            <w:tcW w:w="4740" w:type="dxa"/>
            <w:vAlign w:val="bottom"/>
            <w:tcBorders>
              <w:bottom w:val="single" w:sz="8" w:color="010101"/>
            </w:tcBorders>
          </w:tcPr>
          <w:p>
            <w:pPr>
              <w:spacing w:after="0"/>
              <w:rPr>
                <w:sz w:val="24"/>
                <w:szCs w:val="24"/>
                <w:color w:val="auto"/>
              </w:rPr>
            </w:pPr>
          </w:p>
        </w:tc>
        <w:tc>
          <w:tcPr>
            <w:tcW w:w="1980" w:type="dxa"/>
            <w:vAlign w:val="bottom"/>
            <w:tcBorders>
              <w:bottom w:val="single" w:sz="8" w:color="010101"/>
            </w:tcBorders>
          </w:tcPr>
          <w:p>
            <w:pPr>
              <w:spacing w:after="0"/>
              <w:rPr>
                <w:sz w:val="24"/>
                <w:szCs w:val="24"/>
                <w:color w:val="auto"/>
              </w:rPr>
            </w:pPr>
          </w:p>
        </w:tc>
        <w:tc>
          <w:tcPr>
            <w:tcW w:w="3700" w:type="dxa"/>
            <w:vAlign w:val="bottom"/>
            <w:tcBorders>
              <w:bottom w:val="single" w:sz="8" w:color="010101"/>
            </w:tcBorders>
          </w:tcPr>
          <w:p>
            <w:pPr>
              <w:spacing w:after="0"/>
              <w:rPr>
                <w:sz w:val="24"/>
                <w:szCs w:val="24"/>
                <w:color w:val="auto"/>
              </w:rPr>
            </w:pPr>
          </w:p>
        </w:tc>
        <w:tc>
          <w:tcPr>
            <w:tcW w:w="1000" w:type="dxa"/>
            <w:vAlign w:val="bottom"/>
            <w:tcBorders>
              <w:bottom w:val="single" w:sz="8" w:color="010101"/>
            </w:tcBorders>
          </w:tcPr>
          <w:p>
            <w:pPr>
              <w:spacing w:after="0"/>
              <w:rPr>
                <w:sz w:val="24"/>
                <w:szCs w:val="24"/>
                <w:color w:val="auto"/>
              </w:rPr>
            </w:pPr>
          </w:p>
        </w:tc>
        <w:tc>
          <w:tcPr>
            <w:tcW w:w="40" w:type="dxa"/>
            <w:vAlign w:val="bottom"/>
            <w:tcBorders>
              <w:bottom w:val="single" w:sz="8" w:color="010101"/>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Page 9</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FINANCIAL SUMMARY </w:t>
      </w:r>
      <w:r>
        <w:rPr>
          <w:rFonts w:ascii="Arial" w:cs="Arial" w:eastAsia="Arial" w:hAnsi="Arial"/>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24662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SELECTED FINANCIAL DATA BY SEGMENT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(in millions)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380" w:type="dxa"/>
            <w:vAlign w:val="bottom"/>
            <w:gridSpan w:val="6"/>
          </w:tcPr>
          <w:p>
            <w:pPr>
              <w:jc w:val="right"/>
              <w:ind w:right="40"/>
              <w:spacing w:after="0"/>
              <w:rPr>
                <w:sz w:val="20"/>
                <w:szCs w:val="20"/>
                <w:color w:val="auto"/>
              </w:rPr>
            </w:pPr>
            <w:r>
              <w:rPr>
                <w:rFonts w:ascii="Arial" w:cs="Arial" w:eastAsia="Arial" w:hAnsi="Arial"/>
                <w:sz w:val="14"/>
                <w:szCs w:val="14"/>
                <w:b w:val="1"/>
                <w:bCs w:val="1"/>
                <w:color w:val="auto"/>
              </w:rPr>
              <w:t>Three Months Ended</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0" w:type="dxa"/>
            <w:vAlign w:val="bottom"/>
            <w:gridSpan w:val="6"/>
          </w:tcPr>
          <w:p>
            <w:pPr>
              <w:jc w:val="right"/>
              <w:ind w:right="140"/>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9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gridSpan w:val="4"/>
          </w:tcPr>
          <w:p>
            <w:pPr>
              <w:ind w:left="160"/>
              <w:spacing w:after="0"/>
              <w:rPr>
                <w:sz w:val="20"/>
                <w:szCs w:val="20"/>
                <w:color w:val="auto"/>
              </w:rPr>
            </w:pPr>
            <w:r>
              <w:rPr>
                <w:rFonts w:ascii="Arial" w:cs="Arial" w:eastAsia="Arial" w:hAnsi="Arial"/>
                <w:sz w:val="14"/>
                <w:szCs w:val="14"/>
                <w:b w:val="1"/>
                <w:bCs w:val="1"/>
                <w:color w:val="auto"/>
              </w:rPr>
              <w:t>June 30, 2014</w:t>
            </w:r>
          </w:p>
        </w:tc>
        <w:tc>
          <w:tcPr>
            <w:tcW w:w="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gridSpan w:val="4"/>
          </w:tcPr>
          <w:p>
            <w:pPr>
              <w:jc w:val="right"/>
              <w:ind w:right="380"/>
              <w:spacing w:after="0"/>
              <w:rPr>
                <w:sz w:val="20"/>
                <w:szCs w:val="20"/>
                <w:color w:val="auto"/>
              </w:rPr>
            </w:pPr>
            <w:r>
              <w:rPr>
                <w:rFonts w:ascii="Arial" w:cs="Arial" w:eastAsia="Arial" w:hAnsi="Arial"/>
                <w:sz w:val="14"/>
                <w:szCs w:val="14"/>
                <w:b w:val="1"/>
                <w:bCs w:val="1"/>
                <w:color w:val="auto"/>
                <w:w w:val="94"/>
              </w:rPr>
              <w:t>June 30, 2013</w:t>
            </w: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39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20" w:type="dxa"/>
            <w:vAlign w:val="bottom"/>
            <w:gridSpan w:val="2"/>
            <w:vMerge w:val="restart"/>
          </w:tcPr>
          <w:p>
            <w:pPr>
              <w:jc w:val="right"/>
              <w:ind w:right="180"/>
              <w:spacing w:after="0"/>
              <w:rPr>
                <w:sz w:val="20"/>
                <w:szCs w:val="20"/>
                <w:color w:val="auto"/>
              </w:rPr>
            </w:pPr>
            <w:r>
              <w:rPr>
                <w:rFonts w:ascii="Arial" w:cs="Arial" w:eastAsia="Arial" w:hAnsi="Arial"/>
                <w:sz w:val="14"/>
                <w:szCs w:val="14"/>
                <w:b w:val="1"/>
                <w:bCs w:val="1"/>
                <w:color w:val="auto"/>
                <w:w w:val="93"/>
              </w:rPr>
              <w:t>Transportation</w:t>
            </w: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60" w:type="dxa"/>
            <w:vAlign w:val="bottom"/>
            <w:gridSpan w:val="2"/>
            <w:vMerge w:val="restart"/>
          </w:tcPr>
          <w:p>
            <w:pPr>
              <w:jc w:val="right"/>
              <w:ind w:right="360"/>
              <w:spacing w:after="0"/>
              <w:rPr>
                <w:sz w:val="20"/>
                <w:szCs w:val="20"/>
                <w:color w:val="auto"/>
              </w:rPr>
            </w:pPr>
            <w:r>
              <w:rPr>
                <w:rFonts w:ascii="Arial" w:cs="Arial" w:eastAsia="Arial" w:hAnsi="Arial"/>
                <w:sz w:val="14"/>
                <w:szCs w:val="14"/>
                <w:b w:val="1"/>
                <w:bCs w:val="1"/>
                <w:color w:val="auto"/>
                <w:w w:val="96"/>
              </w:rPr>
              <w:t>Facilities</w:t>
            </w: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20" w:type="dxa"/>
            <w:vAlign w:val="bottom"/>
          </w:tcPr>
          <w:p>
            <w:pPr>
              <w:jc w:val="center"/>
              <w:ind w:right="53"/>
              <w:spacing w:after="0" w:line="119" w:lineRule="exact"/>
              <w:rPr>
                <w:sz w:val="20"/>
                <w:szCs w:val="20"/>
                <w:color w:val="auto"/>
              </w:rPr>
            </w:pPr>
            <w:r>
              <w:rPr>
                <w:rFonts w:ascii="Arial" w:cs="Arial" w:eastAsia="Arial" w:hAnsi="Arial"/>
                <w:sz w:val="13"/>
                <w:szCs w:val="13"/>
                <w:b w:val="1"/>
                <w:bCs w:val="1"/>
                <w:color w:val="auto"/>
                <w:w w:val="99"/>
              </w:rPr>
              <w:t>Supply and</w:t>
            </w:r>
          </w:p>
        </w:tc>
        <w:tc>
          <w:tcPr>
            <w:tcW w:w="340" w:type="dxa"/>
            <w:vAlign w:val="bottom"/>
            <w:gridSpan w:val="2"/>
          </w:tcPr>
          <w:p>
            <w:pPr>
              <w:spacing w:after="0"/>
              <w:rPr>
                <w:sz w:val="10"/>
                <w:szCs w:val="10"/>
                <w:color w:val="auto"/>
              </w:rPr>
            </w:pPr>
          </w:p>
        </w:tc>
        <w:tc>
          <w:tcPr>
            <w:tcW w:w="100" w:type="dxa"/>
            <w:vAlign w:val="bottom"/>
          </w:tcPr>
          <w:p>
            <w:pPr>
              <w:spacing w:after="0"/>
              <w:rPr>
                <w:sz w:val="10"/>
                <w:szCs w:val="10"/>
                <w:color w:val="auto"/>
              </w:rPr>
            </w:pPr>
          </w:p>
        </w:tc>
        <w:tc>
          <w:tcPr>
            <w:tcW w:w="1140" w:type="dxa"/>
            <w:vAlign w:val="bottom"/>
            <w:gridSpan w:val="2"/>
            <w:vMerge w:val="restart"/>
          </w:tcPr>
          <w:p>
            <w:pPr>
              <w:jc w:val="right"/>
              <w:ind w:right="200"/>
              <w:spacing w:after="0"/>
              <w:rPr>
                <w:sz w:val="20"/>
                <w:szCs w:val="20"/>
                <w:color w:val="auto"/>
              </w:rPr>
            </w:pPr>
            <w:r>
              <w:rPr>
                <w:rFonts w:ascii="Arial" w:cs="Arial" w:eastAsia="Arial" w:hAnsi="Arial"/>
                <w:sz w:val="14"/>
                <w:szCs w:val="14"/>
                <w:b w:val="1"/>
                <w:bCs w:val="1"/>
                <w:color w:val="auto"/>
                <w:w w:val="93"/>
              </w:rPr>
              <w:t>Transportation</w:t>
            </w: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80" w:type="dxa"/>
            <w:vAlign w:val="bottom"/>
            <w:gridSpan w:val="2"/>
            <w:vMerge w:val="restart"/>
          </w:tcPr>
          <w:p>
            <w:pPr>
              <w:jc w:val="right"/>
              <w:ind w:right="400"/>
              <w:spacing w:after="0"/>
              <w:rPr>
                <w:sz w:val="20"/>
                <w:szCs w:val="20"/>
                <w:color w:val="auto"/>
              </w:rPr>
            </w:pPr>
            <w:r>
              <w:rPr>
                <w:rFonts w:ascii="Arial" w:cs="Arial" w:eastAsia="Arial" w:hAnsi="Arial"/>
                <w:sz w:val="14"/>
                <w:szCs w:val="14"/>
                <w:b w:val="1"/>
                <w:bCs w:val="1"/>
                <w:color w:val="auto"/>
                <w:w w:val="93"/>
              </w:rPr>
              <w:t>Facilities</w:t>
            </w:r>
          </w:p>
        </w:tc>
        <w:tc>
          <w:tcPr>
            <w:tcW w:w="100" w:type="dxa"/>
            <w:vAlign w:val="bottom"/>
          </w:tcPr>
          <w:p>
            <w:pPr>
              <w:spacing w:after="0"/>
              <w:rPr>
                <w:sz w:val="10"/>
                <w:szCs w:val="10"/>
                <w:color w:val="auto"/>
              </w:rPr>
            </w:pPr>
          </w:p>
        </w:tc>
        <w:tc>
          <w:tcPr>
            <w:tcW w:w="800" w:type="dxa"/>
            <w:vAlign w:val="bottom"/>
          </w:tcPr>
          <w:p>
            <w:pPr>
              <w:jc w:val="center"/>
              <w:ind w:right="13"/>
              <w:spacing w:after="0" w:line="119" w:lineRule="exact"/>
              <w:rPr>
                <w:sz w:val="20"/>
                <w:szCs w:val="20"/>
                <w:color w:val="auto"/>
              </w:rPr>
            </w:pPr>
            <w:r>
              <w:rPr>
                <w:rFonts w:ascii="Arial" w:cs="Arial" w:eastAsia="Arial" w:hAnsi="Arial"/>
                <w:sz w:val="13"/>
                <w:szCs w:val="13"/>
                <w:b w:val="1"/>
                <w:bCs w:val="1"/>
                <w:color w:val="auto"/>
                <w:w w:val="99"/>
              </w:rPr>
              <w:t>Supply and</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gridSpan w:val="3"/>
          </w:tcPr>
          <w:p>
            <w:pPr>
              <w:jc w:val="center"/>
              <w:ind w:right="480"/>
              <w:spacing w:after="0"/>
              <w:rPr>
                <w:sz w:val="20"/>
                <w:szCs w:val="20"/>
                <w:color w:val="auto"/>
              </w:rPr>
            </w:pPr>
            <w:r>
              <w:rPr>
                <w:rFonts w:ascii="Arial" w:cs="Arial" w:eastAsia="Arial" w:hAnsi="Arial"/>
                <w:sz w:val="14"/>
                <w:szCs w:val="14"/>
                <w:b w:val="1"/>
                <w:bCs w:val="1"/>
                <w:color w:val="auto"/>
                <w:w w:val="87"/>
              </w:rPr>
              <w:t>Logistics</w:t>
            </w:r>
          </w:p>
        </w:tc>
        <w:tc>
          <w:tcPr>
            <w:tcW w:w="100" w:type="dxa"/>
            <w:vAlign w:val="bottom"/>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w w:val="87"/>
              </w:rPr>
              <w:t>Logistics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980" w:type="dxa"/>
            <w:vAlign w:val="bottom"/>
            <w:tcBorders>
              <w:top w:val="single" w:sz="8" w:color="CCEEFF"/>
            </w:tcBorders>
            <w:shd w:val="clear" w:color="auto" w:fill="CCEEFF"/>
          </w:tcPr>
          <w:p>
            <w:pPr>
              <w:spacing w:after="0" w:line="210" w:lineRule="exact"/>
              <w:rPr>
                <w:sz w:val="20"/>
                <w:szCs w:val="20"/>
                <w:color w:val="auto"/>
              </w:rPr>
            </w:pPr>
            <w:r>
              <w:rPr>
                <w:rFonts w:ascii="Arial" w:cs="Arial" w:eastAsia="Arial" w:hAnsi="Arial"/>
                <w:sz w:val="18"/>
                <w:szCs w:val="18"/>
                <w:color w:val="auto"/>
              </w:rPr>
              <w:t xml:space="preserve">Revenues </w:t>
            </w:r>
            <w:r>
              <w:rPr>
                <w:rFonts w:ascii="Arial" w:cs="Arial" w:eastAsia="Arial" w:hAnsi="Arial"/>
                <w:sz w:val="23"/>
                <w:szCs w:val="23"/>
                <w:color w:val="auto"/>
                <w:vertAlign w:val="superscript"/>
              </w:rPr>
              <w:t>(1)</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412</w:t>
            </w:r>
          </w:p>
        </w:tc>
        <w:tc>
          <w:tcPr>
            <w:tcW w:w="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277</w:t>
            </w:r>
          </w:p>
        </w:tc>
        <w:tc>
          <w:tcPr>
            <w:tcW w:w="18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10,860</w:t>
            </w:r>
          </w:p>
        </w:tc>
        <w:tc>
          <w:tcPr>
            <w:tcW w:w="180" w:type="dxa"/>
            <w:vAlign w:val="bottom"/>
            <w:tcBorders>
              <w:top w:val="single" w:sz="8" w:color="CCEEFF"/>
              <w:right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365</w:t>
            </w: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348</w:t>
            </w: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9,934</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tcPr>
          <w:p>
            <w:pPr>
              <w:spacing w:after="0" w:line="216" w:lineRule="exact"/>
              <w:rPr>
                <w:sz w:val="20"/>
                <w:szCs w:val="20"/>
                <w:color w:val="auto"/>
              </w:rPr>
            </w:pPr>
            <w:r>
              <w:rPr>
                <w:rFonts w:ascii="Arial" w:cs="Arial" w:eastAsia="Arial" w:hAnsi="Arial"/>
                <w:sz w:val="18"/>
                <w:szCs w:val="18"/>
                <w:color w:val="auto"/>
              </w:rPr>
              <w:t xml:space="preserve">Purchases and related costs </w:t>
            </w:r>
            <w:r>
              <w:rPr>
                <w:rFonts w:ascii="Arial" w:cs="Arial" w:eastAsia="Arial" w:hAnsi="Arial"/>
                <w:sz w:val="23"/>
                <w:szCs w:val="23"/>
                <w:color w:val="auto"/>
                <w:vertAlign w:val="superscript"/>
              </w:rPr>
              <w:t>(1)</w:t>
            </w:r>
          </w:p>
        </w:tc>
        <w:tc>
          <w:tcPr>
            <w:tcW w:w="10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(41)</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(12)</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Borders>
              <w:right w:val="single" w:sz="8" w:color="auto"/>
            </w:tcBorders>
            <w:gridSpan w:val="2"/>
          </w:tcPr>
          <w:p>
            <w:pPr>
              <w:jc w:val="right"/>
              <w:ind w:right="120"/>
              <w:spacing w:after="0"/>
              <w:rPr>
                <w:sz w:val="20"/>
                <w:szCs w:val="20"/>
                <w:color w:val="auto"/>
              </w:rPr>
            </w:pPr>
            <w:r>
              <w:rPr>
                <w:rFonts w:ascii="Arial" w:cs="Arial" w:eastAsia="Arial" w:hAnsi="Arial"/>
                <w:sz w:val="18"/>
                <w:szCs w:val="18"/>
                <w:color w:val="auto"/>
              </w:rPr>
              <w:t>(10,578)</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(39)</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(83)</w:t>
            </w:r>
          </w:p>
        </w:tc>
        <w:tc>
          <w:tcPr>
            <w:tcW w:w="100" w:type="dxa"/>
            <w:vAlign w:val="bottom"/>
          </w:tcPr>
          <w:p>
            <w:pPr>
              <w:spacing w:after="0"/>
              <w:rPr>
                <w:sz w:val="18"/>
                <w:szCs w:val="18"/>
                <w:color w:val="auto"/>
              </w:rPr>
            </w:pPr>
          </w:p>
        </w:tc>
        <w:tc>
          <w:tcPr>
            <w:tcW w:w="900" w:type="dxa"/>
            <w:vAlign w:val="bottom"/>
            <w:gridSpan w:val="3"/>
          </w:tcPr>
          <w:p>
            <w:pPr>
              <w:jc w:val="right"/>
              <w:ind w:right="40"/>
              <w:spacing w:after="0"/>
              <w:rPr>
                <w:sz w:val="20"/>
                <w:szCs w:val="20"/>
                <w:color w:val="auto"/>
              </w:rPr>
            </w:pPr>
            <w:r>
              <w:rPr>
                <w:rFonts w:ascii="Arial" w:cs="Arial" w:eastAsia="Arial" w:hAnsi="Arial"/>
                <w:sz w:val="18"/>
                <w:szCs w:val="18"/>
                <w:color w:val="auto"/>
              </w:rPr>
              <w:t>(9,614)</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9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Field operating costs (excluding equity-indexed</w:t>
            </w: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80" w:type="dxa"/>
            <w:vAlign w:val="bottom"/>
            <w:tcBorders>
              <w:right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980" w:type="dxa"/>
            <w:vAlign w:val="bottom"/>
            <w:shd w:val="clear" w:color="auto" w:fill="CCEEFF"/>
          </w:tcPr>
          <w:p>
            <w:pPr>
              <w:ind w:left="160"/>
              <w:spacing w:after="0" w:line="231" w:lineRule="exact"/>
              <w:rPr>
                <w:sz w:val="20"/>
                <w:szCs w:val="20"/>
                <w:color w:val="auto"/>
              </w:rPr>
            </w:pPr>
            <w:r>
              <w:rPr>
                <w:rFonts w:ascii="Arial" w:cs="Arial" w:eastAsia="Arial" w:hAnsi="Arial"/>
                <w:sz w:val="18"/>
                <w:szCs w:val="18"/>
                <w:color w:val="auto"/>
              </w:rPr>
              <w:t xml:space="preserve">compensation expense) </w:t>
            </w:r>
            <w:r>
              <w:rPr>
                <w:rFonts w:ascii="Arial" w:cs="Arial" w:eastAsia="Arial" w:hAnsi="Arial"/>
                <w:sz w:val="23"/>
                <w:szCs w:val="23"/>
                <w:color w:val="auto"/>
                <w:vertAlign w:val="superscript"/>
              </w:rPr>
              <w:t>(1)</w:t>
            </w:r>
          </w:p>
        </w:tc>
        <w:tc>
          <w:tcPr>
            <w:tcW w:w="10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(137)</w:t>
            </w:r>
          </w:p>
        </w:tc>
        <w:tc>
          <w:tcPr>
            <w:tcW w:w="1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(106)</w:t>
            </w:r>
          </w:p>
        </w:tc>
        <w:tc>
          <w:tcPr>
            <w:tcW w:w="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00" w:type="dxa"/>
            <w:vAlign w:val="bottom"/>
            <w:tcBorders>
              <w:right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(112)</w:t>
            </w: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(138)</w:t>
            </w:r>
          </w:p>
        </w:tc>
        <w:tc>
          <w:tcPr>
            <w:tcW w:w="1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(94)</w:t>
            </w:r>
          </w:p>
        </w:tc>
        <w:tc>
          <w:tcPr>
            <w:tcW w:w="100" w:type="dxa"/>
            <w:vAlign w:val="bottom"/>
            <w:shd w:val="clear" w:color="auto" w:fill="CCEEFF"/>
          </w:tcPr>
          <w:p>
            <w:pPr>
              <w:spacing w:after="0"/>
              <w:rPr>
                <w:sz w:val="20"/>
                <w:szCs w:val="20"/>
                <w:color w:val="auto"/>
              </w:rPr>
            </w:pPr>
          </w:p>
        </w:tc>
        <w:tc>
          <w:tcPr>
            <w:tcW w:w="9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Arial" w:cs="Arial" w:eastAsia="Arial" w:hAnsi="Arial"/>
                <w:sz w:val="18"/>
                <w:szCs w:val="18"/>
                <w:color w:val="auto"/>
                <w:w w:val="96"/>
              </w:rPr>
              <w:t>Equity-indexed compensation expense - operations</w:t>
            </w:r>
          </w:p>
        </w:tc>
        <w:tc>
          <w:tcPr>
            <w:tcW w:w="10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(5)</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(2)</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Borders>
              <w:right w:val="single" w:sz="8" w:color="auto"/>
            </w:tcBorders>
            <w:gridSpan w:val="2"/>
          </w:tcPr>
          <w:p>
            <w:pPr>
              <w:jc w:val="right"/>
              <w:ind w:right="120"/>
              <w:spacing w:after="0"/>
              <w:rPr>
                <w:sz w:val="20"/>
                <w:szCs w:val="20"/>
                <w:color w:val="auto"/>
              </w:rPr>
            </w:pPr>
            <w:r>
              <w:rPr>
                <w:rFonts w:ascii="Arial" w:cs="Arial" w:eastAsia="Arial" w:hAnsi="Arial"/>
                <w:sz w:val="18"/>
                <w:szCs w:val="18"/>
                <w:color w:val="auto"/>
              </w:rPr>
              <w:t>(1)</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(4)</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00" w:type="dxa"/>
            <w:vAlign w:val="bottom"/>
            <w:gridSpan w:val="3"/>
          </w:tcPr>
          <w:p>
            <w:pPr>
              <w:jc w:val="right"/>
              <w:ind w:right="4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9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7"/>
              </w:rPr>
              <w:t>Segment G&amp;A expenses (excluding equity-indexed</w:t>
            </w: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80" w:type="dxa"/>
            <w:vAlign w:val="bottom"/>
            <w:tcBorders>
              <w:right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980" w:type="dxa"/>
            <w:vAlign w:val="bottom"/>
            <w:shd w:val="clear" w:color="auto" w:fill="CCEEFF"/>
          </w:tcPr>
          <w:p>
            <w:pPr>
              <w:ind w:left="160"/>
              <w:spacing w:after="0" w:line="231" w:lineRule="exact"/>
              <w:rPr>
                <w:sz w:val="20"/>
                <w:szCs w:val="20"/>
                <w:color w:val="auto"/>
              </w:rPr>
            </w:pPr>
            <w:r>
              <w:rPr>
                <w:rFonts w:ascii="Arial" w:cs="Arial" w:eastAsia="Arial" w:hAnsi="Arial"/>
                <w:sz w:val="18"/>
                <w:szCs w:val="18"/>
                <w:color w:val="auto"/>
              </w:rPr>
              <w:t xml:space="preserve">compensation expense) </w:t>
            </w:r>
            <w:r>
              <w:rPr>
                <w:rFonts w:ascii="Arial" w:cs="Arial" w:eastAsia="Arial" w:hAnsi="Arial"/>
                <w:sz w:val="23"/>
                <w:szCs w:val="23"/>
                <w:color w:val="auto"/>
                <w:vertAlign w:val="superscript"/>
              </w:rPr>
              <w:t>(2)</w:t>
            </w:r>
          </w:p>
        </w:tc>
        <w:tc>
          <w:tcPr>
            <w:tcW w:w="10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w:t>
            </w:r>
          </w:p>
        </w:tc>
        <w:tc>
          <w:tcPr>
            <w:tcW w:w="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00" w:type="dxa"/>
            <w:vAlign w:val="bottom"/>
            <w:tcBorders>
              <w:right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(27)</w:t>
            </w: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(26)</w:t>
            </w:r>
          </w:p>
        </w:tc>
        <w:tc>
          <w:tcPr>
            <w:tcW w:w="1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(16)</w:t>
            </w:r>
          </w:p>
        </w:tc>
        <w:tc>
          <w:tcPr>
            <w:tcW w:w="100" w:type="dxa"/>
            <w:vAlign w:val="bottom"/>
            <w:shd w:val="clear" w:color="auto" w:fill="CCEEFF"/>
          </w:tcPr>
          <w:p>
            <w:pPr>
              <w:spacing w:after="0"/>
              <w:rPr>
                <w:sz w:val="20"/>
                <w:szCs w:val="20"/>
                <w:color w:val="auto"/>
              </w:rPr>
            </w:pPr>
          </w:p>
        </w:tc>
        <w:tc>
          <w:tcPr>
            <w:tcW w:w="9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980" w:type="dxa"/>
            <w:vAlign w:val="bottom"/>
          </w:tcPr>
          <w:p>
            <w:pPr>
              <w:spacing w:after="0" w:line="201" w:lineRule="exact"/>
              <w:rPr>
                <w:sz w:val="20"/>
                <w:szCs w:val="20"/>
                <w:color w:val="auto"/>
              </w:rPr>
            </w:pPr>
            <w:r>
              <w:rPr>
                <w:rFonts w:ascii="Arial" w:cs="Arial" w:eastAsia="Arial" w:hAnsi="Arial"/>
                <w:sz w:val="18"/>
                <w:szCs w:val="18"/>
                <w:color w:val="auto"/>
                <w:w w:val="94"/>
              </w:rPr>
              <w:t>Equity-indexed compensation expense - general and</w:t>
            </w: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80" w:type="dxa"/>
            <w:vAlign w:val="bottom"/>
            <w:tcBorders>
              <w:right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980" w:type="dxa"/>
            <w:vAlign w:val="bottom"/>
          </w:tcPr>
          <w:p>
            <w:pPr>
              <w:ind w:left="160"/>
              <w:spacing w:after="0"/>
              <w:rPr>
                <w:sz w:val="20"/>
                <w:szCs w:val="20"/>
                <w:color w:val="auto"/>
              </w:rPr>
            </w:pPr>
            <w:r>
              <w:rPr>
                <w:rFonts w:ascii="Arial" w:cs="Arial" w:eastAsia="Arial" w:hAnsi="Arial"/>
                <w:sz w:val="18"/>
                <w:szCs w:val="18"/>
                <w:color w:val="auto"/>
              </w:rPr>
              <w:t>administrative</w:t>
            </w:r>
          </w:p>
        </w:tc>
        <w:tc>
          <w:tcPr>
            <w:tcW w:w="100" w:type="dxa"/>
            <w:vAlign w:val="bottom"/>
          </w:tcPr>
          <w:p>
            <w:pPr>
              <w:spacing w:after="0"/>
              <w:rPr>
                <w:sz w:val="20"/>
                <w:szCs w:val="20"/>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(10)</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(7)</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Borders>
              <w:right w:val="single" w:sz="8" w:color="auto"/>
            </w:tcBorders>
            <w:gridSpan w:val="2"/>
          </w:tcPr>
          <w:p>
            <w:pPr>
              <w:jc w:val="right"/>
              <w:ind w:right="120"/>
              <w:spacing w:after="0"/>
              <w:rPr>
                <w:sz w:val="20"/>
                <w:szCs w:val="20"/>
                <w:color w:val="auto"/>
              </w:rPr>
            </w:pPr>
            <w:r>
              <w:rPr>
                <w:rFonts w:ascii="Arial" w:cs="Arial" w:eastAsia="Arial" w:hAnsi="Arial"/>
                <w:sz w:val="18"/>
                <w:szCs w:val="18"/>
                <w:color w:val="auto"/>
              </w:rPr>
              <w:t>(9)</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(9)</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0"/>
                <w:szCs w:val="20"/>
                <w:color w:val="auto"/>
              </w:rPr>
            </w:pPr>
          </w:p>
        </w:tc>
        <w:tc>
          <w:tcPr>
            <w:tcW w:w="900" w:type="dxa"/>
            <w:vAlign w:val="bottom"/>
            <w:gridSpan w:val="3"/>
          </w:tcPr>
          <w:p>
            <w:pPr>
              <w:jc w:val="right"/>
              <w:ind w:right="4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Equity earnings in unconsolidated entities</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23</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tcBorders>
              <w:right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Reported segment profit</w:t>
            </w: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221</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134</w:t>
            </w: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133</w:t>
            </w:r>
          </w:p>
        </w:tc>
        <w:tc>
          <w:tcPr>
            <w:tcW w:w="180" w:type="dxa"/>
            <w:vAlign w:val="bottom"/>
            <w:tcBorders>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160</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149</w:t>
            </w:r>
          </w:p>
        </w:tc>
        <w:tc>
          <w:tcPr>
            <w:tcW w:w="22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176</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98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color w:val="auto"/>
              </w:rPr>
              <w:t>Selected items impacting comparability of</w:t>
            </w: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80" w:type="dxa"/>
            <w:vAlign w:val="bottom"/>
            <w:tcBorders>
              <w:right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980" w:type="dxa"/>
            <w:vAlign w:val="bottom"/>
            <w:shd w:val="clear" w:color="auto" w:fill="CCEEFF"/>
          </w:tcPr>
          <w:p>
            <w:pPr>
              <w:ind w:left="340"/>
              <w:spacing w:after="0" w:line="231" w:lineRule="exact"/>
              <w:rPr>
                <w:sz w:val="20"/>
                <w:szCs w:val="20"/>
                <w:color w:val="auto"/>
              </w:rPr>
            </w:pPr>
            <w:r>
              <w:rPr>
                <w:rFonts w:ascii="Arial" w:cs="Arial" w:eastAsia="Arial" w:hAnsi="Arial"/>
                <w:sz w:val="18"/>
                <w:szCs w:val="18"/>
                <w:color w:val="auto"/>
              </w:rPr>
              <w:t xml:space="preserve">segment profit </w:t>
            </w:r>
            <w:r>
              <w:rPr>
                <w:rFonts w:ascii="Arial" w:cs="Arial" w:eastAsia="Arial" w:hAnsi="Arial"/>
                <w:sz w:val="23"/>
                <w:szCs w:val="23"/>
                <w:color w:val="auto"/>
                <w:vertAlign w:val="superscript"/>
              </w:rPr>
              <w:t>(3)</w:t>
            </w:r>
          </w:p>
        </w:tc>
        <w:tc>
          <w:tcPr>
            <w:tcW w:w="10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w:t>
            </w:r>
          </w:p>
        </w:tc>
        <w:tc>
          <w:tcPr>
            <w:tcW w:w="1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w:t>
            </w:r>
          </w:p>
        </w:tc>
        <w:tc>
          <w:tcPr>
            <w:tcW w:w="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00" w:type="dxa"/>
            <w:vAlign w:val="bottom"/>
            <w:tcBorders>
              <w:right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11</w:t>
            </w: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w:t>
            </w:r>
          </w:p>
        </w:tc>
        <w:tc>
          <w:tcPr>
            <w:tcW w:w="1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20"/>
                <w:szCs w:val="20"/>
                <w:color w:val="auto"/>
              </w:rPr>
            </w:pPr>
          </w:p>
        </w:tc>
        <w:tc>
          <w:tcPr>
            <w:tcW w:w="9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50"/>
        </w:trPr>
        <w:tc>
          <w:tcPr>
            <w:tcW w:w="4000" w:type="dxa"/>
            <w:vAlign w:val="bottom"/>
            <w:gridSpan w:val="2"/>
          </w:tcPr>
          <w:p>
            <w:pPr>
              <w:spacing w:after="0"/>
              <w:rPr>
                <w:sz w:val="20"/>
                <w:szCs w:val="20"/>
                <w:color w:val="auto"/>
              </w:rPr>
            </w:pPr>
            <w:r>
              <w:rPr>
                <w:rFonts w:ascii="Arial" w:cs="Arial" w:eastAsia="Arial" w:hAnsi="Arial"/>
                <w:sz w:val="18"/>
                <w:szCs w:val="18"/>
                <w:color w:val="auto"/>
              </w:rPr>
              <w:t>Adjusted segment profit</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229</w:t>
            </w: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138</w:t>
            </w:r>
          </w:p>
        </w:tc>
        <w:tc>
          <w:tcPr>
            <w:tcW w:w="1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144</w:t>
            </w:r>
          </w:p>
        </w:tc>
        <w:tc>
          <w:tcPr>
            <w:tcW w:w="180" w:type="dxa"/>
            <w:vAlign w:val="bottom"/>
            <w:tcBorders>
              <w:right w:val="single" w:sz="8" w:color="auto"/>
            </w:tcBorders>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167</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153</w:t>
            </w:r>
          </w:p>
        </w:tc>
        <w:tc>
          <w:tcPr>
            <w:tcW w:w="220" w:type="dxa"/>
            <w:vAlign w:val="bottom"/>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154</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39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right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Maintenance capital</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42</w:t>
            </w:r>
          </w:p>
        </w:tc>
        <w:tc>
          <w:tcPr>
            <w:tcW w:w="30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5</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8"/>
                <w:szCs w:val="18"/>
                <w:color w:val="auto"/>
              </w:rPr>
              <w:t>1</w:t>
            </w:r>
          </w:p>
        </w:tc>
        <w:tc>
          <w:tcPr>
            <w:tcW w:w="1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23</w:t>
            </w:r>
          </w:p>
        </w:tc>
        <w:tc>
          <w:tcPr>
            <w:tcW w:w="80" w:type="dxa"/>
            <w:vAlign w:val="bottom"/>
          </w:tcPr>
          <w:p>
            <w:pPr>
              <w:spacing w:after="0"/>
              <w:rPr>
                <w:sz w:val="18"/>
                <w:szCs w:val="18"/>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11</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90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2"/>
        </w:trPr>
        <w:tc>
          <w:tcPr>
            <w:tcW w:w="20" w:type="dxa"/>
            <w:vAlign w:val="bottom"/>
          </w:tcPr>
          <w:p>
            <w:pPr>
              <w:spacing w:after="0"/>
              <w:rPr>
                <w:sz w:val="24"/>
                <w:szCs w:val="24"/>
                <w:color w:val="auto"/>
              </w:rPr>
            </w:pPr>
          </w:p>
        </w:tc>
        <w:tc>
          <w:tcPr>
            <w:tcW w:w="3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60" w:type="dxa"/>
            <w:vAlign w:val="bottom"/>
            <w:gridSpan w:val="4"/>
          </w:tcPr>
          <w:p>
            <w:pPr>
              <w:jc w:val="right"/>
              <w:ind w:right="120"/>
              <w:spacing w:after="0"/>
              <w:rPr>
                <w:sz w:val="20"/>
                <w:szCs w:val="20"/>
                <w:color w:val="auto"/>
              </w:rPr>
            </w:pPr>
            <w:r>
              <w:rPr>
                <w:rFonts w:ascii="Arial" w:cs="Arial" w:eastAsia="Arial" w:hAnsi="Arial"/>
                <w:sz w:val="14"/>
                <w:szCs w:val="14"/>
                <w:b w:val="1"/>
                <w:bCs w:val="1"/>
                <w:color w:val="auto"/>
                <w:w w:val="92"/>
              </w:rPr>
              <w:t>Six Months Ended</w:t>
            </w: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0" w:type="dxa"/>
            <w:vAlign w:val="bottom"/>
            <w:gridSpan w:val="6"/>
          </w:tcPr>
          <w:p>
            <w:pPr>
              <w:jc w:val="right"/>
              <w:ind w:right="240"/>
              <w:spacing w:after="0"/>
              <w:rPr>
                <w:sz w:val="20"/>
                <w:szCs w:val="20"/>
                <w:color w:val="auto"/>
              </w:rPr>
            </w:pPr>
            <w:r>
              <w:rPr>
                <w:rFonts w:ascii="Arial" w:cs="Arial" w:eastAsia="Arial" w:hAnsi="Arial"/>
                <w:sz w:val="14"/>
                <w:szCs w:val="14"/>
                <w:b w:val="1"/>
                <w:bCs w:val="1"/>
                <w:color w:val="auto"/>
              </w:rPr>
              <w:t>Six Months Ended</w:t>
            </w: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9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gridSpan w:val="4"/>
          </w:tcPr>
          <w:p>
            <w:pPr>
              <w:ind w:left="160"/>
              <w:spacing w:after="0"/>
              <w:rPr>
                <w:sz w:val="20"/>
                <w:szCs w:val="20"/>
                <w:color w:val="auto"/>
              </w:rPr>
            </w:pPr>
            <w:r>
              <w:rPr>
                <w:rFonts w:ascii="Arial" w:cs="Arial" w:eastAsia="Arial" w:hAnsi="Arial"/>
                <w:sz w:val="14"/>
                <w:szCs w:val="14"/>
                <w:b w:val="1"/>
                <w:bCs w:val="1"/>
                <w:color w:val="auto"/>
              </w:rPr>
              <w:t>June 30, 2014</w:t>
            </w:r>
          </w:p>
        </w:tc>
        <w:tc>
          <w:tcPr>
            <w:tcW w:w="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gridSpan w:val="4"/>
          </w:tcPr>
          <w:p>
            <w:pPr>
              <w:jc w:val="right"/>
              <w:ind w:right="380"/>
              <w:spacing w:after="0"/>
              <w:rPr>
                <w:sz w:val="20"/>
                <w:szCs w:val="20"/>
                <w:color w:val="auto"/>
              </w:rPr>
            </w:pPr>
            <w:r>
              <w:rPr>
                <w:rFonts w:ascii="Arial" w:cs="Arial" w:eastAsia="Arial" w:hAnsi="Arial"/>
                <w:sz w:val="14"/>
                <w:szCs w:val="14"/>
                <w:b w:val="1"/>
                <w:bCs w:val="1"/>
                <w:color w:val="auto"/>
                <w:w w:val="94"/>
              </w:rPr>
              <w:t>June 30, 2013</w:t>
            </w: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39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20" w:type="dxa"/>
            <w:vAlign w:val="bottom"/>
            <w:gridSpan w:val="2"/>
            <w:vMerge w:val="restart"/>
          </w:tcPr>
          <w:p>
            <w:pPr>
              <w:jc w:val="right"/>
              <w:ind w:right="180"/>
              <w:spacing w:after="0"/>
              <w:rPr>
                <w:sz w:val="20"/>
                <w:szCs w:val="20"/>
                <w:color w:val="auto"/>
              </w:rPr>
            </w:pPr>
            <w:r>
              <w:rPr>
                <w:rFonts w:ascii="Arial" w:cs="Arial" w:eastAsia="Arial" w:hAnsi="Arial"/>
                <w:sz w:val="14"/>
                <w:szCs w:val="14"/>
                <w:b w:val="1"/>
                <w:bCs w:val="1"/>
                <w:color w:val="auto"/>
                <w:w w:val="93"/>
              </w:rPr>
              <w:t>Transportation</w:t>
            </w: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60" w:type="dxa"/>
            <w:vAlign w:val="bottom"/>
            <w:gridSpan w:val="2"/>
            <w:vMerge w:val="restart"/>
          </w:tcPr>
          <w:p>
            <w:pPr>
              <w:jc w:val="right"/>
              <w:ind w:right="360"/>
              <w:spacing w:after="0"/>
              <w:rPr>
                <w:sz w:val="20"/>
                <w:szCs w:val="20"/>
                <w:color w:val="auto"/>
              </w:rPr>
            </w:pPr>
            <w:r>
              <w:rPr>
                <w:rFonts w:ascii="Arial" w:cs="Arial" w:eastAsia="Arial" w:hAnsi="Arial"/>
                <w:sz w:val="14"/>
                <w:szCs w:val="14"/>
                <w:b w:val="1"/>
                <w:bCs w:val="1"/>
                <w:color w:val="auto"/>
                <w:w w:val="96"/>
              </w:rPr>
              <w:t>Facilities</w:t>
            </w: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20" w:type="dxa"/>
            <w:vAlign w:val="bottom"/>
          </w:tcPr>
          <w:p>
            <w:pPr>
              <w:jc w:val="center"/>
              <w:ind w:right="53"/>
              <w:spacing w:after="0" w:line="119" w:lineRule="exact"/>
              <w:rPr>
                <w:sz w:val="20"/>
                <w:szCs w:val="20"/>
                <w:color w:val="auto"/>
              </w:rPr>
            </w:pPr>
            <w:r>
              <w:rPr>
                <w:rFonts w:ascii="Arial" w:cs="Arial" w:eastAsia="Arial" w:hAnsi="Arial"/>
                <w:sz w:val="13"/>
                <w:szCs w:val="13"/>
                <w:b w:val="1"/>
                <w:bCs w:val="1"/>
                <w:color w:val="auto"/>
                <w:w w:val="99"/>
              </w:rPr>
              <w:t>Supply and</w:t>
            </w:r>
          </w:p>
        </w:tc>
        <w:tc>
          <w:tcPr>
            <w:tcW w:w="340" w:type="dxa"/>
            <w:vAlign w:val="bottom"/>
            <w:gridSpan w:val="2"/>
          </w:tcPr>
          <w:p>
            <w:pPr>
              <w:spacing w:after="0"/>
              <w:rPr>
                <w:sz w:val="10"/>
                <w:szCs w:val="10"/>
                <w:color w:val="auto"/>
              </w:rPr>
            </w:pPr>
          </w:p>
        </w:tc>
        <w:tc>
          <w:tcPr>
            <w:tcW w:w="100" w:type="dxa"/>
            <w:vAlign w:val="bottom"/>
          </w:tcPr>
          <w:p>
            <w:pPr>
              <w:spacing w:after="0"/>
              <w:rPr>
                <w:sz w:val="10"/>
                <w:szCs w:val="10"/>
                <w:color w:val="auto"/>
              </w:rPr>
            </w:pPr>
          </w:p>
        </w:tc>
        <w:tc>
          <w:tcPr>
            <w:tcW w:w="1140" w:type="dxa"/>
            <w:vAlign w:val="bottom"/>
            <w:gridSpan w:val="2"/>
            <w:vMerge w:val="restart"/>
          </w:tcPr>
          <w:p>
            <w:pPr>
              <w:jc w:val="right"/>
              <w:ind w:right="200"/>
              <w:spacing w:after="0"/>
              <w:rPr>
                <w:sz w:val="20"/>
                <w:szCs w:val="20"/>
                <w:color w:val="auto"/>
              </w:rPr>
            </w:pPr>
            <w:r>
              <w:rPr>
                <w:rFonts w:ascii="Arial" w:cs="Arial" w:eastAsia="Arial" w:hAnsi="Arial"/>
                <w:sz w:val="14"/>
                <w:szCs w:val="14"/>
                <w:b w:val="1"/>
                <w:bCs w:val="1"/>
                <w:color w:val="auto"/>
                <w:w w:val="93"/>
              </w:rPr>
              <w:t>Transportation</w:t>
            </w: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80" w:type="dxa"/>
            <w:vAlign w:val="bottom"/>
            <w:gridSpan w:val="2"/>
            <w:vMerge w:val="restart"/>
          </w:tcPr>
          <w:p>
            <w:pPr>
              <w:jc w:val="right"/>
              <w:ind w:right="400"/>
              <w:spacing w:after="0"/>
              <w:rPr>
                <w:sz w:val="20"/>
                <w:szCs w:val="20"/>
                <w:color w:val="auto"/>
              </w:rPr>
            </w:pPr>
            <w:r>
              <w:rPr>
                <w:rFonts w:ascii="Arial" w:cs="Arial" w:eastAsia="Arial" w:hAnsi="Arial"/>
                <w:sz w:val="14"/>
                <w:szCs w:val="14"/>
                <w:b w:val="1"/>
                <w:bCs w:val="1"/>
                <w:color w:val="auto"/>
                <w:w w:val="93"/>
              </w:rPr>
              <w:t>Facilities</w:t>
            </w:r>
          </w:p>
        </w:tc>
        <w:tc>
          <w:tcPr>
            <w:tcW w:w="100" w:type="dxa"/>
            <w:vAlign w:val="bottom"/>
          </w:tcPr>
          <w:p>
            <w:pPr>
              <w:spacing w:after="0"/>
              <w:rPr>
                <w:sz w:val="10"/>
                <w:szCs w:val="10"/>
                <w:color w:val="auto"/>
              </w:rPr>
            </w:pPr>
          </w:p>
        </w:tc>
        <w:tc>
          <w:tcPr>
            <w:tcW w:w="800" w:type="dxa"/>
            <w:vAlign w:val="bottom"/>
          </w:tcPr>
          <w:p>
            <w:pPr>
              <w:jc w:val="center"/>
              <w:ind w:right="13"/>
              <w:spacing w:after="0" w:line="119" w:lineRule="exact"/>
              <w:rPr>
                <w:sz w:val="20"/>
                <w:szCs w:val="20"/>
                <w:color w:val="auto"/>
              </w:rPr>
            </w:pPr>
            <w:r>
              <w:rPr>
                <w:rFonts w:ascii="Arial" w:cs="Arial" w:eastAsia="Arial" w:hAnsi="Arial"/>
                <w:sz w:val="13"/>
                <w:szCs w:val="13"/>
                <w:b w:val="1"/>
                <w:bCs w:val="1"/>
                <w:color w:val="auto"/>
                <w:w w:val="99"/>
              </w:rPr>
              <w:t>Supply and</w:t>
            </w:r>
          </w:p>
        </w:tc>
        <w:tc>
          <w:tcPr>
            <w:tcW w:w="100" w:type="dxa"/>
            <w:vAlign w:val="bottom"/>
            <w:gridSpan w:val="2"/>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gridSpan w:val="3"/>
          </w:tcPr>
          <w:p>
            <w:pPr>
              <w:jc w:val="center"/>
              <w:ind w:right="480"/>
              <w:spacing w:after="0"/>
              <w:rPr>
                <w:sz w:val="20"/>
                <w:szCs w:val="20"/>
                <w:color w:val="auto"/>
              </w:rPr>
            </w:pPr>
            <w:r>
              <w:rPr>
                <w:rFonts w:ascii="Arial" w:cs="Arial" w:eastAsia="Arial" w:hAnsi="Arial"/>
                <w:sz w:val="14"/>
                <w:szCs w:val="14"/>
                <w:b w:val="1"/>
                <w:bCs w:val="1"/>
                <w:color w:val="auto"/>
                <w:w w:val="87"/>
              </w:rPr>
              <w:t>Logistics</w:t>
            </w:r>
          </w:p>
        </w:tc>
        <w:tc>
          <w:tcPr>
            <w:tcW w:w="100" w:type="dxa"/>
            <w:vAlign w:val="bottom"/>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w w:val="87"/>
              </w:rPr>
              <w:t>Logistics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980" w:type="dxa"/>
            <w:vAlign w:val="bottom"/>
            <w:tcBorders>
              <w:top w:val="single" w:sz="8" w:color="CCEEFF"/>
            </w:tcBorders>
            <w:shd w:val="clear" w:color="auto" w:fill="CCEEFF"/>
          </w:tcPr>
          <w:p>
            <w:pPr>
              <w:spacing w:after="0" w:line="210" w:lineRule="exact"/>
              <w:rPr>
                <w:sz w:val="20"/>
                <w:szCs w:val="20"/>
                <w:color w:val="auto"/>
              </w:rPr>
            </w:pPr>
            <w:r>
              <w:rPr>
                <w:rFonts w:ascii="Arial" w:cs="Arial" w:eastAsia="Arial" w:hAnsi="Arial"/>
                <w:sz w:val="18"/>
                <w:szCs w:val="18"/>
                <w:color w:val="auto"/>
              </w:rPr>
              <w:t xml:space="preserve">Revenues </w:t>
            </w:r>
            <w:r>
              <w:rPr>
                <w:rFonts w:ascii="Arial" w:cs="Arial" w:eastAsia="Arial" w:hAnsi="Arial"/>
                <w:sz w:val="23"/>
                <w:szCs w:val="23"/>
                <w:color w:val="auto"/>
                <w:vertAlign w:val="superscript"/>
              </w:rPr>
              <w:t>(1)</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798</w:t>
            </w:r>
          </w:p>
        </w:tc>
        <w:tc>
          <w:tcPr>
            <w:tcW w:w="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576</w:t>
            </w:r>
          </w:p>
        </w:tc>
        <w:tc>
          <w:tcPr>
            <w:tcW w:w="18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22,228</w:t>
            </w:r>
          </w:p>
        </w:tc>
        <w:tc>
          <w:tcPr>
            <w:tcW w:w="180" w:type="dxa"/>
            <w:vAlign w:val="bottom"/>
            <w:tcBorders>
              <w:top w:val="single" w:sz="8" w:color="CCEEFF"/>
              <w:right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732</w:t>
            </w: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703</w:t>
            </w: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20,158</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tcPr>
          <w:p>
            <w:pPr>
              <w:spacing w:after="0" w:line="216" w:lineRule="exact"/>
              <w:rPr>
                <w:sz w:val="20"/>
                <w:szCs w:val="20"/>
                <w:color w:val="auto"/>
              </w:rPr>
            </w:pPr>
            <w:r>
              <w:rPr>
                <w:rFonts w:ascii="Arial" w:cs="Arial" w:eastAsia="Arial" w:hAnsi="Arial"/>
                <w:sz w:val="18"/>
                <w:szCs w:val="18"/>
                <w:color w:val="auto"/>
              </w:rPr>
              <w:t xml:space="preserve">Purchases and related costs </w:t>
            </w:r>
            <w:r>
              <w:rPr>
                <w:rFonts w:ascii="Arial" w:cs="Arial" w:eastAsia="Arial" w:hAnsi="Arial"/>
                <w:sz w:val="23"/>
                <w:szCs w:val="23"/>
                <w:color w:val="auto"/>
                <w:vertAlign w:val="superscript"/>
              </w:rPr>
              <w:t>(1)</w:t>
            </w:r>
          </w:p>
        </w:tc>
        <w:tc>
          <w:tcPr>
            <w:tcW w:w="10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(78)</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(38)</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Borders>
              <w:right w:val="single" w:sz="8" w:color="auto"/>
            </w:tcBorders>
            <w:gridSpan w:val="2"/>
          </w:tcPr>
          <w:p>
            <w:pPr>
              <w:jc w:val="right"/>
              <w:ind w:right="120"/>
              <w:spacing w:after="0"/>
              <w:rPr>
                <w:sz w:val="20"/>
                <w:szCs w:val="20"/>
                <w:color w:val="auto"/>
              </w:rPr>
            </w:pPr>
            <w:r>
              <w:rPr>
                <w:rFonts w:ascii="Arial" w:cs="Arial" w:eastAsia="Arial" w:hAnsi="Arial"/>
                <w:sz w:val="18"/>
                <w:szCs w:val="18"/>
                <w:color w:val="auto"/>
              </w:rPr>
              <w:t>(21,553)</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(74)</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(174)</w:t>
            </w:r>
          </w:p>
        </w:tc>
        <w:tc>
          <w:tcPr>
            <w:tcW w:w="100" w:type="dxa"/>
            <w:vAlign w:val="bottom"/>
          </w:tcPr>
          <w:p>
            <w:pPr>
              <w:spacing w:after="0"/>
              <w:rPr>
                <w:sz w:val="18"/>
                <w:szCs w:val="18"/>
                <w:color w:val="auto"/>
              </w:rPr>
            </w:pPr>
          </w:p>
        </w:tc>
        <w:tc>
          <w:tcPr>
            <w:tcW w:w="900" w:type="dxa"/>
            <w:vAlign w:val="bottom"/>
            <w:gridSpan w:val="3"/>
          </w:tcPr>
          <w:p>
            <w:pPr>
              <w:jc w:val="right"/>
              <w:ind w:right="40"/>
              <w:spacing w:after="0"/>
              <w:rPr>
                <w:sz w:val="20"/>
                <w:szCs w:val="20"/>
                <w:color w:val="auto"/>
              </w:rPr>
            </w:pPr>
            <w:r>
              <w:rPr>
                <w:rFonts w:ascii="Arial" w:cs="Arial" w:eastAsia="Arial" w:hAnsi="Arial"/>
                <w:sz w:val="18"/>
                <w:szCs w:val="18"/>
                <w:color w:val="auto"/>
              </w:rPr>
              <w:t>(19,249)</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9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Field operating costs (excluding equity-indexed</w:t>
            </w: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80" w:type="dxa"/>
            <w:vAlign w:val="bottom"/>
            <w:tcBorders>
              <w:right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980" w:type="dxa"/>
            <w:vAlign w:val="bottom"/>
            <w:shd w:val="clear" w:color="auto" w:fill="CCEEFF"/>
          </w:tcPr>
          <w:p>
            <w:pPr>
              <w:ind w:left="160"/>
              <w:spacing w:after="0" w:line="231" w:lineRule="exact"/>
              <w:rPr>
                <w:sz w:val="20"/>
                <w:szCs w:val="20"/>
                <w:color w:val="auto"/>
              </w:rPr>
            </w:pPr>
            <w:r>
              <w:rPr>
                <w:rFonts w:ascii="Arial" w:cs="Arial" w:eastAsia="Arial" w:hAnsi="Arial"/>
                <w:sz w:val="18"/>
                <w:szCs w:val="18"/>
                <w:color w:val="auto"/>
              </w:rPr>
              <w:t xml:space="preserve">compensation expense) </w:t>
            </w:r>
            <w:r>
              <w:rPr>
                <w:rFonts w:ascii="Arial" w:cs="Arial" w:eastAsia="Arial" w:hAnsi="Arial"/>
                <w:sz w:val="23"/>
                <w:szCs w:val="23"/>
                <w:color w:val="auto"/>
                <w:vertAlign w:val="superscript"/>
              </w:rPr>
              <w:t>(1)</w:t>
            </w:r>
          </w:p>
        </w:tc>
        <w:tc>
          <w:tcPr>
            <w:tcW w:w="10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(265)</w:t>
            </w:r>
          </w:p>
        </w:tc>
        <w:tc>
          <w:tcPr>
            <w:tcW w:w="1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(204)</w:t>
            </w:r>
          </w:p>
        </w:tc>
        <w:tc>
          <w:tcPr>
            <w:tcW w:w="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00" w:type="dxa"/>
            <w:vAlign w:val="bottom"/>
            <w:tcBorders>
              <w:right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(218)</w:t>
            </w: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(270)</w:t>
            </w:r>
          </w:p>
        </w:tc>
        <w:tc>
          <w:tcPr>
            <w:tcW w:w="1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(180)</w:t>
            </w:r>
          </w:p>
        </w:tc>
        <w:tc>
          <w:tcPr>
            <w:tcW w:w="100" w:type="dxa"/>
            <w:vAlign w:val="bottom"/>
            <w:shd w:val="clear" w:color="auto" w:fill="CCEEFF"/>
          </w:tcPr>
          <w:p>
            <w:pPr>
              <w:spacing w:after="0"/>
              <w:rPr>
                <w:sz w:val="20"/>
                <w:szCs w:val="20"/>
                <w:color w:val="auto"/>
              </w:rPr>
            </w:pPr>
          </w:p>
        </w:tc>
        <w:tc>
          <w:tcPr>
            <w:tcW w:w="9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Arial" w:cs="Arial" w:eastAsia="Arial" w:hAnsi="Arial"/>
                <w:sz w:val="18"/>
                <w:szCs w:val="18"/>
                <w:color w:val="auto"/>
                <w:w w:val="96"/>
              </w:rPr>
              <w:t>Equity-indexed compensation expense - operations</w:t>
            </w:r>
          </w:p>
        </w:tc>
        <w:tc>
          <w:tcPr>
            <w:tcW w:w="10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(10)</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(2)</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Borders>
              <w:right w:val="single" w:sz="8" w:color="auto"/>
            </w:tcBorders>
            <w:gridSpan w:val="2"/>
          </w:tcPr>
          <w:p>
            <w:pPr>
              <w:jc w:val="right"/>
              <w:ind w:right="120"/>
              <w:spacing w:after="0"/>
              <w:rPr>
                <w:sz w:val="20"/>
                <w:szCs w:val="20"/>
                <w:color w:val="auto"/>
              </w:rPr>
            </w:pPr>
            <w:r>
              <w:rPr>
                <w:rFonts w:ascii="Arial" w:cs="Arial" w:eastAsia="Arial" w:hAnsi="Arial"/>
                <w:sz w:val="18"/>
                <w:szCs w:val="18"/>
                <w:color w:val="auto"/>
              </w:rPr>
              <w:t>(2)</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(13)</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8"/>
                <w:szCs w:val="18"/>
                <w:color w:val="auto"/>
              </w:rPr>
            </w:pPr>
          </w:p>
        </w:tc>
        <w:tc>
          <w:tcPr>
            <w:tcW w:w="900" w:type="dxa"/>
            <w:vAlign w:val="bottom"/>
            <w:gridSpan w:val="3"/>
          </w:tcPr>
          <w:p>
            <w:pPr>
              <w:jc w:val="right"/>
              <w:ind w:right="4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9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7"/>
              </w:rPr>
              <w:t>Segment G&amp;A expenses (excluding equity-indexed</w:t>
            </w: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80" w:type="dxa"/>
            <w:vAlign w:val="bottom"/>
            <w:tcBorders>
              <w:right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980" w:type="dxa"/>
            <w:vAlign w:val="bottom"/>
            <w:shd w:val="clear" w:color="auto" w:fill="CCEEFF"/>
          </w:tcPr>
          <w:p>
            <w:pPr>
              <w:ind w:left="160"/>
              <w:spacing w:after="0" w:line="231" w:lineRule="exact"/>
              <w:rPr>
                <w:sz w:val="20"/>
                <w:szCs w:val="20"/>
                <w:color w:val="auto"/>
              </w:rPr>
            </w:pPr>
            <w:r>
              <w:rPr>
                <w:rFonts w:ascii="Arial" w:cs="Arial" w:eastAsia="Arial" w:hAnsi="Arial"/>
                <w:sz w:val="18"/>
                <w:szCs w:val="18"/>
                <w:color w:val="auto"/>
              </w:rPr>
              <w:t xml:space="preserve">compensation expense) </w:t>
            </w:r>
            <w:r>
              <w:rPr>
                <w:rFonts w:ascii="Arial" w:cs="Arial" w:eastAsia="Arial" w:hAnsi="Arial"/>
                <w:sz w:val="23"/>
                <w:szCs w:val="23"/>
                <w:color w:val="auto"/>
                <w:vertAlign w:val="superscript"/>
              </w:rPr>
              <w:t>(2)</w:t>
            </w:r>
          </w:p>
        </w:tc>
        <w:tc>
          <w:tcPr>
            <w:tcW w:w="10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1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(29)</w:t>
            </w:r>
          </w:p>
        </w:tc>
        <w:tc>
          <w:tcPr>
            <w:tcW w:w="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00" w:type="dxa"/>
            <w:vAlign w:val="bottom"/>
            <w:tcBorders>
              <w:right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(53)</w:t>
            </w: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(49)</w:t>
            </w:r>
          </w:p>
        </w:tc>
        <w:tc>
          <w:tcPr>
            <w:tcW w:w="1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(32)</w:t>
            </w:r>
          </w:p>
        </w:tc>
        <w:tc>
          <w:tcPr>
            <w:tcW w:w="100" w:type="dxa"/>
            <w:vAlign w:val="bottom"/>
            <w:shd w:val="clear" w:color="auto" w:fill="CCEEFF"/>
          </w:tcPr>
          <w:p>
            <w:pPr>
              <w:spacing w:after="0"/>
              <w:rPr>
                <w:sz w:val="20"/>
                <w:szCs w:val="20"/>
                <w:color w:val="auto"/>
              </w:rPr>
            </w:pPr>
          </w:p>
        </w:tc>
        <w:tc>
          <w:tcPr>
            <w:tcW w:w="9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980" w:type="dxa"/>
            <w:vAlign w:val="bottom"/>
          </w:tcPr>
          <w:p>
            <w:pPr>
              <w:spacing w:after="0" w:line="201" w:lineRule="exact"/>
              <w:rPr>
                <w:sz w:val="20"/>
                <w:szCs w:val="20"/>
                <w:color w:val="auto"/>
              </w:rPr>
            </w:pPr>
            <w:r>
              <w:rPr>
                <w:rFonts w:ascii="Arial" w:cs="Arial" w:eastAsia="Arial" w:hAnsi="Arial"/>
                <w:sz w:val="18"/>
                <w:szCs w:val="18"/>
                <w:color w:val="auto"/>
                <w:w w:val="94"/>
              </w:rPr>
              <w:t>Equity-indexed compensation expense - general and</w:t>
            </w: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80" w:type="dxa"/>
            <w:vAlign w:val="bottom"/>
            <w:tcBorders>
              <w:right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980" w:type="dxa"/>
            <w:vAlign w:val="bottom"/>
          </w:tcPr>
          <w:p>
            <w:pPr>
              <w:ind w:left="160"/>
              <w:spacing w:after="0"/>
              <w:rPr>
                <w:sz w:val="20"/>
                <w:szCs w:val="20"/>
                <w:color w:val="auto"/>
              </w:rPr>
            </w:pPr>
            <w:r>
              <w:rPr>
                <w:rFonts w:ascii="Arial" w:cs="Arial" w:eastAsia="Arial" w:hAnsi="Arial"/>
                <w:sz w:val="18"/>
                <w:szCs w:val="18"/>
                <w:color w:val="auto"/>
              </w:rPr>
              <w:t>administrative</w:t>
            </w:r>
          </w:p>
        </w:tc>
        <w:tc>
          <w:tcPr>
            <w:tcW w:w="100" w:type="dxa"/>
            <w:vAlign w:val="bottom"/>
          </w:tcPr>
          <w:p>
            <w:pPr>
              <w:spacing w:after="0"/>
              <w:rPr>
                <w:sz w:val="20"/>
                <w:szCs w:val="20"/>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(19)</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(15)</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Borders>
              <w:right w:val="single" w:sz="8" w:color="auto"/>
            </w:tcBorders>
            <w:gridSpan w:val="2"/>
          </w:tcPr>
          <w:p>
            <w:pPr>
              <w:jc w:val="right"/>
              <w:ind w:right="120"/>
              <w:spacing w:after="0"/>
              <w:rPr>
                <w:sz w:val="20"/>
                <w:szCs w:val="20"/>
                <w:color w:val="auto"/>
              </w:rPr>
            </w:pPr>
            <w:r>
              <w:rPr>
                <w:rFonts w:ascii="Arial" w:cs="Arial" w:eastAsia="Arial" w:hAnsi="Arial"/>
                <w:sz w:val="18"/>
                <w:szCs w:val="18"/>
                <w:color w:val="auto"/>
              </w:rPr>
              <w:t>(20)</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(26)</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0"/>
                <w:szCs w:val="20"/>
                <w:color w:val="auto"/>
              </w:rPr>
            </w:pPr>
          </w:p>
        </w:tc>
        <w:tc>
          <w:tcPr>
            <w:tcW w:w="900" w:type="dxa"/>
            <w:vAlign w:val="bottom"/>
            <w:gridSpan w:val="3"/>
          </w:tcPr>
          <w:p>
            <w:pPr>
              <w:jc w:val="right"/>
              <w:ind w:right="4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Equity earnings in unconsolidated entities</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44</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tcBorders>
              <w:right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Reported segment profit</w:t>
            </w: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427</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288</w:t>
            </w: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382</w:t>
            </w:r>
          </w:p>
        </w:tc>
        <w:tc>
          <w:tcPr>
            <w:tcW w:w="180" w:type="dxa"/>
            <w:vAlign w:val="bottom"/>
            <w:tcBorders>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323</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300</w:t>
            </w:r>
          </w:p>
        </w:tc>
        <w:tc>
          <w:tcPr>
            <w:tcW w:w="22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610</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98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color w:val="auto"/>
              </w:rPr>
              <w:t>Selected items impacting comparability of</w:t>
            </w: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80" w:type="dxa"/>
            <w:vAlign w:val="bottom"/>
            <w:tcBorders>
              <w:right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980" w:type="dxa"/>
            <w:vAlign w:val="bottom"/>
            <w:shd w:val="clear" w:color="auto" w:fill="CCEEFF"/>
          </w:tcPr>
          <w:p>
            <w:pPr>
              <w:ind w:left="340"/>
              <w:spacing w:after="0" w:line="231" w:lineRule="exact"/>
              <w:rPr>
                <w:sz w:val="20"/>
                <w:szCs w:val="20"/>
                <w:color w:val="auto"/>
              </w:rPr>
            </w:pPr>
            <w:r>
              <w:rPr>
                <w:rFonts w:ascii="Arial" w:cs="Arial" w:eastAsia="Arial" w:hAnsi="Arial"/>
                <w:sz w:val="18"/>
                <w:szCs w:val="18"/>
                <w:color w:val="auto"/>
              </w:rPr>
              <w:t xml:space="preserve">segment profit </w:t>
            </w:r>
            <w:r>
              <w:rPr>
                <w:rFonts w:ascii="Arial" w:cs="Arial" w:eastAsia="Arial" w:hAnsi="Arial"/>
                <w:sz w:val="23"/>
                <w:szCs w:val="23"/>
                <w:color w:val="auto"/>
                <w:vertAlign w:val="superscript"/>
              </w:rPr>
              <w:t>(3)</w:t>
            </w:r>
          </w:p>
        </w:tc>
        <w:tc>
          <w:tcPr>
            <w:tcW w:w="10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w:t>
            </w:r>
          </w:p>
        </w:tc>
        <w:tc>
          <w:tcPr>
            <w:tcW w:w="1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w:t>
            </w:r>
          </w:p>
        </w:tc>
        <w:tc>
          <w:tcPr>
            <w:tcW w:w="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00" w:type="dxa"/>
            <w:vAlign w:val="bottom"/>
            <w:tcBorders>
              <w:right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(44)</w:t>
            </w: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50"/>
        </w:trPr>
        <w:tc>
          <w:tcPr>
            <w:tcW w:w="4000" w:type="dxa"/>
            <w:vAlign w:val="bottom"/>
            <w:gridSpan w:val="2"/>
          </w:tcPr>
          <w:p>
            <w:pPr>
              <w:spacing w:after="0"/>
              <w:rPr>
                <w:sz w:val="20"/>
                <w:szCs w:val="20"/>
                <w:color w:val="auto"/>
              </w:rPr>
            </w:pPr>
            <w:r>
              <w:rPr>
                <w:rFonts w:ascii="Arial" w:cs="Arial" w:eastAsia="Arial" w:hAnsi="Arial"/>
                <w:sz w:val="18"/>
                <w:szCs w:val="18"/>
                <w:color w:val="auto"/>
              </w:rPr>
              <w:t>Adjusted segment profit</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443</w:t>
            </w: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297</w:t>
            </w:r>
          </w:p>
        </w:tc>
        <w:tc>
          <w:tcPr>
            <w:tcW w:w="1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338</w:t>
            </w:r>
          </w:p>
        </w:tc>
        <w:tc>
          <w:tcPr>
            <w:tcW w:w="180" w:type="dxa"/>
            <w:vAlign w:val="bottom"/>
            <w:tcBorders>
              <w:right w:val="single" w:sz="8" w:color="auto"/>
            </w:tcBorders>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341</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310</w:t>
            </w:r>
          </w:p>
        </w:tc>
        <w:tc>
          <w:tcPr>
            <w:tcW w:w="220" w:type="dxa"/>
            <w:vAlign w:val="bottom"/>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561</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39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right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Maintenance capital</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76</w:t>
            </w:r>
          </w:p>
        </w:tc>
        <w:tc>
          <w:tcPr>
            <w:tcW w:w="30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15</w:t>
            </w:r>
          </w:p>
        </w:tc>
        <w:tc>
          <w:tcPr>
            <w:tcW w:w="180" w:type="dxa"/>
            <w:vAlign w:val="bottom"/>
          </w:tcPr>
          <w:p>
            <w:pPr>
              <w:spacing w:after="0"/>
              <w:rPr>
                <w:sz w:val="18"/>
                <w:szCs w:val="18"/>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8"/>
                <w:szCs w:val="18"/>
                <w:color w:val="auto"/>
              </w:rPr>
              <w:t>4</w:t>
            </w:r>
          </w:p>
        </w:tc>
        <w:tc>
          <w:tcPr>
            <w:tcW w:w="1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55</w:t>
            </w:r>
          </w:p>
        </w:tc>
        <w:tc>
          <w:tcPr>
            <w:tcW w:w="80" w:type="dxa"/>
            <w:vAlign w:val="bottom"/>
          </w:tcPr>
          <w:p>
            <w:pPr>
              <w:spacing w:after="0"/>
              <w:rPr>
                <w:sz w:val="18"/>
                <w:szCs w:val="18"/>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18</w:t>
            </w:r>
          </w:p>
        </w:tc>
        <w:tc>
          <w:tcPr>
            <w:tcW w:w="2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77" w:lineRule="exact"/>
        <w:rPr>
          <w:sz w:val="20"/>
          <w:szCs w:val="20"/>
          <w:color w:val="auto"/>
        </w:rPr>
      </w:pPr>
    </w:p>
    <w:p>
      <w:pPr>
        <w:ind w:left="220" w:hanging="212"/>
        <w:spacing w:after="0"/>
        <w:tabs>
          <w:tab w:leader="none" w:pos="220" w:val="left"/>
        </w:tabs>
        <w:numPr>
          <w:ilvl w:val="0"/>
          <w:numId w:val="22"/>
        </w:numPr>
        <w:rPr>
          <w:rFonts w:ascii="Arial" w:cs="Arial" w:eastAsia="Arial" w:hAnsi="Arial"/>
          <w:sz w:val="23"/>
          <w:szCs w:val="23"/>
          <w:color w:val="auto"/>
          <w:vertAlign w:val="superscript"/>
        </w:rPr>
      </w:pPr>
      <w:r>
        <w:rPr>
          <w:rFonts w:ascii="Arial" w:cs="Arial" w:eastAsia="Arial" w:hAnsi="Arial"/>
          <w:sz w:val="18"/>
          <w:szCs w:val="18"/>
          <w:color w:val="auto"/>
        </w:rPr>
        <w:t>Includes intersegment amounts.</w:t>
      </w:r>
    </w:p>
    <w:p>
      <w:pPr>
        <w:spacing w:after="0" w:line="1" w:lineRule="exact"/>
        <w:rPr>
          <w:rFonts w:ascii="Arial" w:cs="Arial" w:eastAsia="Arial" w:hAnsi="Arial"/>
          <w:sz w:val="23"/>
          <w:szCs w:val="23"/>
          <w:color w:val="auto"/>
          <w:vertAlign w:val="superscript"/>
        </w:rPr>
      </w:pPr>
    </w:p>
    <w:p>
      <w:pPr>
        <w:ind w:left="240" w:right="160" w:hanging="232"/>
        <w:spacing w:after="0" w:line="242" w:lineRule="auto"/>
        <w:tabs>
          <w:tab w:leader="none" w:pos="224" w:val="left"/>
        </w:tabs>
        <w:numPr>
          <w:ilvl w:val="0"/>
          <w:numId w:val="22"/>
        </w:numPr>
        <w:rPr>
          <w:rFonts w:ascii="Arial" w:cs="Arial" w:eastAsia="Arial" w:hAnsi="Arial"/>
          <w:sz w:val="21"/>
          <w:szCs w:val="21"/>
          <w:color w:val="auto"/>
          <w:vertAlign w:val="superscript"/>
        </w:rPr>
      </w:pPr>
      <w:r>
        <w:rPr>
          <w:rFonts w:ascii="Arial" w:cs="Arial" w:eastAsia="Arial" w:hAnsi="Arial"/>
          <w:sz w:val="16"/>
          <w:szCs w:val="16"/>
          <w:color w:val="auto"/>
        </w:rPr>
        <w:t>Segment general and administrative expenses (G&amp;A) reflect direct costs attributable to each segment and an allocation of other expenses to the segments. The proportional allocations by segment require judgment by management and are based on the business activities that exist during each period.</w:t>
      </w:r>
    </w:p>
    <w:p>
      <w:pPr>
        <w:spacing w:after="0" w:line="1" w:lineRule="exact"/>
        <w:rPr>
          <w:rFonts w:ascii="Arial" w:cs="Arial" w:eastAsia="Arial" w:hAnsi="Arial"/>
          <w:sz w:val="21"/>
          <w:szCs w:val="21"/>
          <w:color w:val="auto"/>
          <w:vertAlign w:val="superscript"/>
        </w:rPr>
      </w:pPr>
    </w:p>
    <w:p>
      <w:pPr>
        <w:ind w:left="220" w:hanging="212"/>
        <w:spacing w:after="0" w:line="196" w:lineRule="auto"/>
        <w:tabs>
          <w:tab w:leader="none" w:pos="220" w:val="left"/>
        </w:tabs>
        <w:numPr>
          <w:ilvl w:val="0"/>
          <w:numId w:val="22"/>
        </w:numPr>
        <w:rPr>
          <w:rFonts w:ascii="Arial" w:cs="Arial" w:eastAsia="Arial" w:hAnsi="Arial"/>
          <w:sz w:val="23"/>
          <w:szCs w:val="23"/>
          <w:color w:val="auto"/>
          <w:vertAlign w:val="superscript"/>
        </w:rPr>
      </w:pPr>
      <w:r>
        <w:rPr>
          <w:rFonts w:ascii="Arial" w:cs="Arial" w:eastAsia="Arial" w:hAnsi="Arial"/>
          <w:sz w:val="18"/>
          <w:szCs w:val="18"/>
          <w:color w:val="auto"/>
        </w:rPr>
        <w:t>Certain non-GAAP financial measures may not be impacted by each of the selected items impacting comparability.</w:t>
      </w:r>
    </w:p>
    <w:p>
      <w:pPr>
        <w:spacing w:after="0" w:line="202"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 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2" w:lineRule="exact"/>
        <w:rPr>
          <w:sz w:val="20"/>
          <w:szCs w:val="20"/>
          <w:color w:val="auto"/>
        </w:rPr>
      </w:pPr>
    </w:p>
    <w:p>
      <w:pPr>
        <w:ind w:left="2300"/>
        <w:spacing w:after="0"/>
        <w:tabs>
          <w:tab w:leader="none" w:pos="4800" w:val="left"/>
          <w:tab w:leader="none" w:pos="6920" w:val="left"/>
        </w:tabs>
        <w:rPr>
          <w:sz w:val="20"/>
          <w:szCs w:val="20"/>
          <w:color w:val="auto"/>
        </w:rPr>
      </w:pPr>
      <w:r>
        <w:rPr>
          <w:rFonts w:ascii="Arial" w:cs="Arial" w:eastAsia="Arial" w:hAnsi="Arial"/>
          <w:sz w:val="18"/>
          <w:szCs w:val="18"/>
          <w:b w:val="1"/>
          <w:bCs w:val="1"/>
          <w:color w:val="auto"/>
        </w:rPr>
        <w:t>333 Clay Street, Suite 1600</w:t>
      </w:r>
      <w:r>
        <w:rPr>
          <w:sz w:val="20"/>
          <w:szCs w:val="20"/>
          <w:color w:val="auto"/>
        </w:rPr>
        <w:tab/>
      </w:r>
      <w:r>
        <w:rPr>
          <w:rFonts w:ascii="Arial" w:cs="Arial" w:eastAsia="Arial" w:hAnsi="Arial"/>
          <w:sz w:val="18"/>
          <w:szCs w:val="18"/>
          <w:b w:val="1"/>
          <w:bCs w:val="1"/>
          <w:color w:val="auto"/>
        </w:rPr>
        <w:t>Houston, Texas 77002</w:t>
      </w:r>
      <w:r>
        <w:rPr>
          <w:sz w:val="20"/>
          <w:szCs w:val="20"/>
          <w:color w:val="auto"/>
        </w:rPr>
        <w:tab/>
      </w:r>
      <w:r>
        <w:rPr>
          <w:rFonts w:ascii="Arial" w:cs="Arial" w:eastAsia="Arial" w:hAnsi="Arial"/>
          <w:sz w:val="16"/>
          <w:szCs w:val="16"/>
          <w:b w:val="1"/>
          <w:bCs w:val="1"/>
          <w:color w:val="auto"/>
        </w:rPr>
        <w:t>713-646-4100 / 800-564-3036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220980</wp:posOffset>
            </wp:positionV>
            <wp:extent cx="7267575" cy="298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Page 10</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FINANCIAL SUMMARY </w:t>
      </w:r>
      <w:r>
        <w:rPr>
          <w:rFonts w:ascii="Arial" w:cs="Arial" w:eastAsia="Arial" w:hAnsi="Arial"/>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24662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OPERATING DATA</w:t>
      </w:r>
      <w:r>
        <w:rPr>
          <w:rFonts w:ascii="Arial" w:cs="Arial" w:eastAsia="Arial" w:hAnsi="Arial"/>
          <w:sz w:val="18"/>
          <w:szCs w:val="18"/>
          <w:b w:val="1"/>
          <w:bCs w:val="1"/>
          <w:color w:val="auto"/>
        </w:rPr>
        <w:t xml:space="preserve"> </w:t>
      </w:r>
      <w:r>
        <w:rPr>
          <w:rFonts w:ascii="Arial" w:cs="Arial" w:eastAsia="Arial" w:hAnsi="Arial"/>
          <w:sz w:val="23"/>
          <w:szCs w:val="23"/>
          <w:color w:val="auto"/>
          <w:vertAlign w:val="superscript"/>
        </w:rPr>
        <w:t>(1)</w:t>
      </w:r>
    </w:p>
    <w:p>
      <w:pPr>
        <w:sectPr>
          <w:pgSz w:w="11900" w:h="16838" w:orient="portrait"/>
          <w:cols w:equalWidth="0" w:num="1">
            <w:col w:w="11460"/>
          </w:cols>
          <w:pgMar w:left="240" w:top="140" w:right="199" w:bottom="0" w:gutter="0" w:footer="0" w:header="0"/>
        </w:sectPr>
      </w:pPr>
    </w:p>
    <w:bookmarkStart w:id="13" w:name="page14"/>
    <w:bookmarkEnd w:id="13"/>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880" w:type="dxa"/>
            <w:vAlign w:val="bottom"/>
          </w:tcPr>
          <w:p>
            <w:pPr>
              <w:spacing w:after="0"/>
              <w:rPr>
                <w:sz w:val="14"/>
                <w:szCs w:val="14"/>
                <w:color w:val="auto"/>
              </w:rPr>
            </w:pPr>
          </w:p>
        </w:tc>
        <w:tc>
          <w:tcPr>
            <w:tcW w:w="2160" w:type="dxa"/>
            <w:vAlign w:val="bottom"/>
            <w:gridSpan w:val="4"/>
          </w:tcPr>
          <w:p>
            <w:pPr>
              <w:jc w:val="center"/>
              <w:ind w:left="348"/>
              <w:spacing w:after="0"/>
              <w:rPr>
                <w:sz w:val="20"/>
                <w:szCs w:val="20"/>
                <w:color w:val="auto"/>
              </w:rPr>
            </w:pPr>
            <w:r>
              <w:rPr>
                <w:rFonts w:ascii="Arial" w:cs="Arial" w:eastAsia="Arial" w:hAnsi="Arial"/>
                <w:sz w:val="14"/>
                <w:szCs w:val="14"/>
                <w:b w:val="1"/>
                <w:bCs w:val="1"/>
                <w:color w:val="auto"/>
                <w:w w:val="93"/>
              </w:rPr>
              <w:t>Three Months Ended</w:t>
            </w:r>
          </w:p>
        </w:tc>
        <w:tc>
          <w:tcPr>
            <w:tcW w:w="4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660" w:type="dxa"/>
            <w:vAlign w:val="bottom"/>
            <w:gridSpan w:val="6"/>
          </w:tcPr>
          <w:p>
            <w:pPr>
              <w:jc w:val="center"/>
              <w:ind w:right="120"/>
              <w:spacing w:after="0"/>
              <w:rPr>
                <w:sz w:val="20"/>
                <w:szCs w:val="20"/>
                <w:color w:val="auto"/>
              </w:rPr>
            </w:pPr>
            <w:r>
              <w:rPr>
                <w:rFonts w:ascii="Arial" w:cs="Arial" w:eastAsia="Arial" w:hAnsi="Arial"/>
                <w:sz w:val="14"/>
                <w:szCs w:val="14"/>
                <w:b w:val="1"/>
                <w:bCs w:val="1"/>
                <w:color w:val="auto"/>
                <w:w w:val="93"/>
              </w:rPr>
              <w:t>Six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880" w:type="dxa"/>
            <w:vAlign w:val="bottom"/>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3"/>
          </w:tcPr>
          <w:p>
            <w:pPr>
              <w:jc w:val="center"/>
              <w:ind w:right="320"/>
              <w:spacing w:after="0"/>
              <w:rPr>
                <w:sz w:val="20"/>
                <w:szCs w:val="20"/>
                <w:color w:val="auto"/>
              </w:rPr>
            </w:pPr>
            <w:r>
              <w:rPr>
                <w:rFonts w:ascii="Arial" w:cs="Arial" w:eastAsia="Arial" w:hAnsi="Arial"/>
                <w:sz w:val="14"/>
                <w:szCs w:val="14"/>
                <w:b w:val="1"/>
                <w:bCs w:val="1"/>
                <w:color w:val="auto"/>
                <w:w w:val="89"/>
              </w:rPr>
              <w:t>June 30,</w:t>
            </w:r>
          </w:p>
        </w:tc>
        <w:tc>
          <w:tcPr>
            <w:tcW w:w="42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1680" w:type="dxa"/>
            <w:vAlign w:val="bottom"/>
            <w:tcBorders>
              <w:bottom w:val="single" w:sz="8" w:color="auto"/>
            </w:tcBorders>
            <w:gridSpan w:val="3"/>
          </w:tcPr>
          <w:p>
            <w:pPr>
              <w:jc w:val="center"/>
              <w:ind w:left="792"/>
              <w:spacing w:after="0"/>
              <w:rPr>
                <w:sz w:val="20"/>
                <w:szCs w:val="20"/>
                <w:color w:val="auto"/>
              </w:rPr>
            </w:pPr>
            <w:r>
              <w:rPr>
                <w:rFonts w:ascii="Arial" w:cs="Arial" w:eastAsia="Arial" w:hAnsi="Arial"/>
                <w:sz w:val="14"/>
                <w:szCs w:val="14"/>
                <w:b w:val="1"/>
                <w:bCs w:val="1"/>
                <w:color w:val="auto"/>
                <w:w w:val="92"/>
              </w:rPr>
              <w:t>June 30,</w:t>
            </w:r>
          </w:p>
        </w:tc>
        <w:tc>
          <w:tcPr>
            <w:tcW w:w="88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900" w:type="dxa"/>
            <w:vAlign w:val="bottom"/>
            <w:gridSpan w:val="2"/>
          </w:tcPr>
          <w:p>
            <w:pPr>
              <w:spacing w:after="0"/>
              <w:rPr>
                <w:sz w:val="12"/>
                <w:szCs w:val="12"/>
                <w:color w:val="auto"/>
              </w:rPr>
            </w:pPr>
          </w:p>
        </w:tc>
        <w:tc>
          <w:tcPr>
            <w:tcW w:w="74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2014</w:t>
            </w:r>
          </w:p>
        </w:tc>
        <w:tc>
          <w:tcPr>
            <w:tcW w:w="1420" w:type="dxa"/>
            <w:vAlign w:val="bottom"/>
            <w:gridSpan w:val="3"/>
          </w:tcPr>
          <w:p>
            <w:pPr>
              <w:jc w:val="right"/>
              <w:spacing w:after="0" w:line="142" w:lineRule="exact"/>
              <w:rPr>
                <w:sz w:val="20"/>
                <w:szCs w:val="20"/>
                <w:color w:val="auto"/>
              </w:rPr>
            </w:pPr>
            <w:r>
              <w:rPr>
                <w:rFonts w:ascii="Arial" w:cs="Arial" w:eastAsia="Arial" w:hAnsi="Arial"/>
                <w:sz w:val="14"/>
                <w:szCs w:val="14"/>
                <w:b w:val="1"/>
                <w:bCs w:val="1"/>
                <w:color w:val="auto"/>
              </w:rPr>
              <w:t>2013</w:t>
            </w:r>
          </w:p>
        </w:tc>
        <w:tc>
          <w:tcPr>
            <w:tcW w:w="4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40" w:type="dxa"/>
            <w:vAlign w:val="bottom"/>
          </w:tcPr>
          <w:p>
            <w:pPr>
              <w:jc w:val="right"/>
              <w:ind w:right="332"/>
              <w:spacing w:after="0" w:line="142" w:lineRule="exact"/>
              <w:rPr>
                <w:sz w:val="20"/>
                <w:szCs w:val="20"/>
                <w:color w:val="auto"/>
              </w:rPr>
            </w:pPr>
            <w:r>
              <w:rPr>
                <w:rFonts w:ascii="Arial" w:cs="Arial" w:eastAsia="Arial" w:hAnsi="Arial"/>
                <w:sz w:val="14"/>
                <w:szCs w:val="14"/>
                <w:b w:val="1"/>
                <w:bCs w:val="1"/>
                <w:color w:val="auto"/>
              </w:rPr>
              <w:t>2014</w:t>
            </w:r>
          </w:p>
        </w:tc>
        <w:tc>
          <w:tcPr>
            <w:tcW w:w="2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Pr>
          <w:p>
            <w:pPr>
              <w:jc w:val="right"/>
              <w:ind w:right="351"/>
              <w:spacing w:after="0" w:line="142" w:lineRule="exact"/>
              <w:rPr>
                <w:sz w:val="20"/>
                <w:szCs w:val="20"/>
                <w:color w:val="auto"/>
              </w:rPr>
            </w:pPr>
            <w:r>
              <w:rPr>
                <w:rFonts w:ascii="Arial" w:cs="Arial" w:eastAsia="Arial" w:hAnsi="Arial"/>
                <w:sz w:val="14"/>
                <w:szCs w:val="14"/>
                <w:b w:val="1"/>
                <w:bCs w:val="1"/>
                <w:color w:val="auto"/>
              </w:rPr>
              <w:t>2013</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880" w:type="dxa"/>
            <w:vAlign w:val="bottom"/>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6620" w:type="dxa"/>
            <w:vAlign w:val="bottom"/>
            <w:gridSpan w:val="2"/>
            <w:shd w:val="clear" w:color="auto" w:fill="CCEEFF"/>
          </w:tcPr>
          <w:p>
            <w:pPr>
              <w:spacing w:after="0" w:line="198" w:lineRule="exact"/>
              <w:rPr>
                <w:sz w:val="20"/>
                <w:szCs w:val="20"/>
                <w:color w:val="auto"/>
              </w:rPr>
            </w:pPr>
            <w:r>
              <w:rPr>
                <w:rFonts w:ascii="Arial" w:cs="Arial" w:eastAsia="Arial" w:hAnsi="Arial"/>
                <w:sz w:val="18"/>
                <w:szCs w:val="18"/>
                <w:b w:val="1"/>
                <w:bCs w:val="1"/>
                <w:color w:val="auto"/>
              </w:rPr>
              <w:t>Transportation activities (average daily volumes in thousands of barrels</w:t>
            </w:r>
          </w:p>
        </w:tc>
        <w:tc>
          <w:tcPr>
            <w:tcW w:w="4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620" w:type="dxa"/>
            <w:vAlign w:val="bottom"/>
            <w:gridSpan w:val="2"/>
            <w:shd w:val="clear" w:color="auto" w:fill="CCEEFF"/>
          </w:tcPr>
          <w:p>
            <w:pPr>
              <w:ind w:left="160"/>
              <w:spacing w:after="0"/>
              <w:rPr>
                <w:sz w:val="20"/>
                <w:szCs w:val="20"/>
                <w:color w:val="auto"/>
              </w:rPr>
            </w:pPr>
            <w:r>
              <w:rPr>
                <w:rFonts w:ascii="Arial" w:cs="Arial" w:eastAsia="Arial" w:hAnsi="Arial"/>
                <w:sz w:val="18"/>
                <w:szCs w:val="18"/>
                <w:b w:val="1"/>
                <w:bCs w:val="1"/>
                <w:color w:val="auto"/>
              </w:rPr>
              <w:t>per day):</w:t>
            </w:r>
          </w:p>
        </w:tc>
        <w:tc>
          <w:tcPr>
            <w:tcW w:w="4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tcPr>
          <w:p>
            <w:pPr>
              <w:spacing w:after="0"/>
              <w:rPr>
                <w:sz w:val="20"/>
                <w:szCs w:val="20"/>
                <w:color w:val="auto"/>
              </w:rPr>
            </w:pPr>
            <w:r>
              <w:rPr>
                <w:rFonts w:ascii="Arial" w:cs="Arial" w:eastAsia="Arial" w:hAnsi="Arial"/>
                <w:sz w:val="18"/>
                <w:szCs w:val="18"/>
                <w:color w:val="auto"/>
              </w:rPr>
              <w:t>Tariff activities</w:t>
            </w:r>
          </w:p>
        </w:tc>
        <w:tc>
          <w:tcPr>
            <w:tcW w:w="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Crude Oil Pipelines</w:t>
            </w:r>
          </w:p>
        </w:tc>
        <w:tc>
          <w:tcPr>
            <w:tcW w:w="4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tcPr>
          <w:p>
            <w:pPr>
              <w:ind w:left="340"/>
              <w:spacing w:after="0"/>
              <w:rPr>
                <w:sz w:val="20"/>
                <w:szCs w:val="20"/>
                <w:color w:val="auto"/>
              </w:rPr>
            </w:pPr>
            <w:r>
              <w:rPr>
                <w:rFonts w:ascii="Arial" w:cs="Arial" w:eastAsia="Arial" w:hAnsi="Arial"/>
                <w:sz w:val="18"/>
                <w:szCs w:val="18"/>
                <w:color w:val="auto"/>
              </w:rPr>
              <w:t>All American</w:t>
            </w:r>
          </w:p>
        </w:tc>
        <w:tc>
          <w:tcPr>
            <w:tcW w:w="700" w:type="dxa"/>
            <w:vAlign w:val="bottom"/>
            <w:gridSpan w:val="2"/>
          </w:tcPr>
          <w:p>
            <w:pPr>
              <w:jc w:val="right"/>
              <w:ind w:right="280"/>
              <w:spacing w:after="0"/>
              <w:rPr>
                <w:sz w:val="20"/>
                <w:szCs w:val="20"/>
                <w:color w:val="auto"/>
              </w:rPr>
            </w:pPr>
            <w:r>
              <w:rPr>
                <w:rFonts w:ascii="Arial" w:cs="Arial" w:eastAsia="Arial" w:hAnsi="Arial"/>
                <w:sz w:val="18"/>
                <w:szCs w:val="18"/>
                <w:color w:val="auto"/>
              </w:rPr>
              <w:t>38</w:t>
            </w:r>
          </w:p>
        </w:tc>
        <w:tc>
          <w:tcPr>
            <w:tcW w:w="7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38</w:t>
            </w:r>
          </w:p>
        </w:tc>
        <w:tc>
          <w:tcPr>
            <w:tcW w:w="2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36</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39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Bakken Area Systems</w:t>
            </w:r>
          </w:p>
        </w:tc>
        <w:tc>
          <w:tcPr>
            <w:tcW w:w="7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145</w:t>
            </w:r>
          </w:p>
        </w:tc>
        <w:tc>
          <w:tcPr>
            <w:tcW w:w="7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130</w:t>
            </w:r>
          </w:p>
        </w:tc>
        <w:tc>
          <w:tcPr>
            <w:tcW w:w="1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138</w:t>
            </w:r>
          </w:p>
        </w:tc>
        <w:tc>
          <w:tcPr>
            <w:tcW w:w="2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tcPr>
          <w:p>
            <w:pPr>
              <w:ind w:left="340"/>
              <w:spacing w:after="0"/>
              <w:rPr>
                <w:sz w:val="20"/>
                <w:szCs w:val="20"/>
                <w:color w:val="auto"/>
              </w:rPr>
            </w:pPr>
            <w:r>
              <w:rPr>
                <w:rFonts w:ascii="Arial" w:cs="Arial" w:eastAsia="Arial" w:hAnsi="Arial"/>
                <w:sz w:val="18"/>
                <w:szCs w:val="18"/>
                <w:color w:val="auto"/>
              </w:rPr>
              <w:t>Basin / Mesa</w:t>
            </w:r>
          </w:p>
        </w:tc>
        <w:tc>
          <w:tcPr>
            <w:tcW w:w="700" w:type="dxa"/>
            <w:vAlign w:val="bottom"/>
            <w:gridSpan w:val="2"/>
          </w:tcPr>
          <w:p>
            <w:pPr>
              <w:jc w:val="right"/>
              <w:ind w:right="280"/>
              <w:spacing w:after="0"/>
              <w:rPr>
                <w:sz w:val="20"/>
                <w:szCs w:val="20"/>
                <w:color w:val="auto"/>
              </w:rPr>
            </w:pPr>
            <w:r>
              <w:rPr>
                <w:rFonts w:ascii="Arial" w:cs="Arial" w:eastAsia="Arial" w:hAnsi="Arial"/>
                <w:sz w:val="18"/>
                <w:szCs w:val="18"/>
                <w:color w:val="auto"/>
              </w:rPr>
              <w:t>714</w:t>
            </w:r>
          </w:p>
        </w:tc>
        <w:tc>
          <w:tcPr>
            <w:tcW w:w="720" w:type="dxa"/>
            <w:vAlign w:val="bottom"/>
          </w:tcPr>
          <w:p>
            <w:pPr>
              <w:spacing w:after="0"/>
              <w:rPr>
                <w:sz w:val="18"/>
                <w:szCs w:val="18"/>
                <w:color w:val="auto"/>
              </w:rPr>
            </w:pPr>
          </w:p>
        </w:tc>
        <w:tc>
          <w:tcPr>
            <w:tcW w:w="700" w:type="dxa"/>
            <w:vAlign w:val="bottom"/>
            <w:gridSpan w:val="2"/>
          </w:tcPr>
          <w:p>
            <w:pPr>
              <w:jc w:val="right"/>
              <w:ind w:right="280"/>
              <w:spacing w:after="0"/>
              <w:rPr>
                <w:sz w:val="20"/>
                <w:szCs w:val="20"/>
                <w:color w:val="auto"/>
              </w:rPr>
            </w:pPr>
            <w:r>
              <w:rPr>
                <w:rFonts w:ascii="Arial" w:cs="Arial" w:eastAsia="Arial" w:hAnsi="Arial"/>
                <w:sz w:val="18"/>
                <w:szCs w:val="18"/>
                <w:color w:val="auto"/>
              </w:rPr>
              <w:t>680</w:t>
            </w: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729</w:t>
            </w:r>
          </w:p>
        </w:tc>
        <w:tc>
          <w:tcPr>
            <w:tcW w:w="26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702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Capline</w:t>
            </w:r>
          </w:p>
        </w:tc>
        <w:tc>
          <w:tcPr>
            <w:tcW w:w="7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121</w:t>
            </w:r>
          </w:p>
        </w:tc>
        <w:tc>
          <w:tcPr>
            <w:tcW w:w="7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158</w:t>
            </w:r>
          </w:p>
        </w:tc>
        <w:tc>
          <w:tcPr>
            <w:tcW w:w="1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123</w:t>
            </w:r>
          </w:p>
        </w:tc>
        <w:tc>
          <w:tcPr>
            <w:tcW w:w="2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tcPr>
          <w:p>
            <w:pPr>
              <w:ind w:left="340"/>
              <w:spacing w:after="0"/>
              <w:rPr>
                <w:sz w:val="20"/>
                <w:szCs w:val="20"/>
                <w:color w:val="auto"/>
              </w:rPr>
            </w:pPr>
            <w:r>
              <w:rPr>
                <w:rFonts w:ascii="Arial" w:cs="Arial" w:eastAsia="Arial" w:hAnsi="Arial"/>
                <w:sz w:val="18"/>
                <w:szCs w:val="18"/>
                <w:color w:val="auto"/>
              </w:rPr>
              <w:t>Eagle Ford Area Systems</w:t>
            </w:r>
          </w:p>
        </w:tc>
        <w:tc>
          <w:tcPr>
            <w:tcW w:w="700" w:type="dxa"/>
            <w:vAlign w:val="bottom"/>
            <w:gridSpan w:val="2"/>
          </w:tcPr>
          <w:p>
            <w:pPr>
              <w:jc w:val="right"/>
              <w:ind w:right="280"/>
              <w:spacing w:after="0"/>
              <w:rPr>
                <w:sz w:val="20"/>
                <w:szCs w:val="20"/>
                <w:color w:val="auto"/>
              </w:rPr>
            </w:pPr>
            <w:r>
              <w:rPr>
                <w:rFonts w:ascii="Arial" w:cs="Arial" w:eastAsia="Arial" w:hAnsi="Arial"/>
                <w:sz w:val="18"/>
                <w:szCs w:val="18"/>
                <w:color w:val="auto"/>
              </w:rPr>
              <w:t>209</w:t>
            </w:r>
          </w:p>
        </w:tc>
        <w:tc>
          <w:tcPr>
            <w:tcW w:w="7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74</w:t>
            </w:r>
          </w:p>
        </w:tc>
        <w:tc>
          <w:tcPr>
            <w:tcW w:w="280" w:type="dxa"/>
            <w:vAlign w:val="bottom"/>
          </w:tcPr>
          <w:p>
            <w:pPr>
              <w:spacing w:after="0"/>
              <w:rPr>
                <w:sz w:val="18"/>
                <w:szCs w:val="18"/>
                <w:color w:val="auto"/>
              </w:rPr>
            </w:pP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199</w:t>
            </w:r>
          </w:p>
        </w:tc>
        <w:tc>
          <w:tcPr>
            <w:tcW w:w="26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61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Line 63 / Line 2000</w:t>
            </w:r>
          </w:p>
        </w:tc>
        <w:tc>
          <w:tcPr>
            <w:tcW w:w="7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106</w:t>
            </w:r>
          </w:p>
        </w:tc>
        <w:tc>
          <w:tcPr>
            <w:tcW w:w="7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108</w:t>
            </w:r>
          </w:p>
        </w:tc>
        <w:tc>
          <w:tcPr>
            <w:tcW w:w="1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116</w:t>
            </w:r>
          </w:p>
        </w:tc>
        <w:tc>
          <w:tcPr>
            <w:tcW w:w="26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tcPr>
          <w:p>
            <w:pPr>
              <w:ind w:left="340"/>
              <w:spacing w:after="0"/>
              <w:rPr>
                <w:sz w:val="20"/>
                <w:szCs w:val="20"/>
                <w:color w:val="auto"/>
              </w:rPr>
            </w:pPr>
            <w:r>
              <w:rPr>
                <w:rFonts w:ascii="Arial" w:cs="Arial" w:eastAsia="Arial" w:hAnsi="Arial"/>
                <w:sz w:val="18"/>
                <w:szCs w:val="18"/>
                <w:color w:val="auto"/>
              </w:rPr>
              <w:t>Manito</w:t>
            </w:r>
          </w:p>
        </w:tc>
        <w:tc>
          <w:tcPr>
            <w:tcW w:w="700" w:type="dxa"/>
            <w:vAlign w:val="bottom"/>
            <w:gridSpan w:val="2"/>
          </w:tcPr>
          <w:p>
            <w:pPr>
              <w:jc w:val="right"/>
              <w:ind w:right="280"/>
              <w:spacing w:after="0"/>
              <w:rPr>
                <w:sz w:val="20"/>
                <w:szCs w:val="20"/>
                <w:color w:val="auto"/>
              </w:rPr>
            </w:pPr>
            <w:r>
              <w:rPr>
                <w:rFonts w:ascii="Arial" w:cs="Arial" w:eastAsia="Arial" w:hAnsi="Arial"/>
                <w:sz w:val="18"/>
                <w:szCs w:val="18"/>
                <w:color w:val="auto"/>
              </w:rPr>
              <w:t>44</w:t>
            </w:r>
          </w:p>
        </w:tc>
        <w:tc>
          <w:tcPr>
            <w:tcW w:w="7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46</w:t>
            </w:r>
          </w:p>
        </w:tc>
        <w:tc>
          <w:tcPr>
            <w:tcW w:w="2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44</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46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Mid-Continent Area Systems</w:t>
            </w:r>
          </w:p>
        </w:tc>
        <w:tc>
          <w:tcPr>
            <w:tcW w:w="7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360</w:t>
            </w:r>
          </w:p>
        </w:tc>
        <w:tc>
          <w:tcPr>
            <w:tcW w:w="7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282</w:t>
            </w:r>
          </w:p>
        </w:tc>
        <w:tc>
          <w:tcPr>
            <w:tcW w:w="1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338</w:t>
            </w:r>
          </w:p>
        </w:tc>
        <w:tc>
          <w:tcPr>
            <w:tcW w:w="2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287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tcPr>
          <w:p>
            <w:pPr>
              <w:ind w:left="340"/>
              <w:spacing w:after="0"/>
              <w:rPr>
                <w:sz w:val="20"/>
                <w:szCs w:val="20"/>
                <w:color w:val="auto"/>
              </w:rPr>
            </w:pPr>
            <w:r>
              <w:rPr>
                <w:rFonts w:ascii="Arial" w:cs="Arial" w:eastAsia="Arial" w:hAnsi="Arial"/>
                <w:sz w:val="18"/>
                <w:szCs w:val="18"/>
                <w:color w:val="auto"/>
              </w:rPr>
              <w:t>Permian Basin Area Systems</w:t>
            </w:r>
          </w:p>
        </w:tc>
        <w:tc>
          <w:tcPr>
            <w:tcW w:w="700" w:type="dxa"/>
            <w:vAlign w:val="bottom"/>
            <w:gridSpan w:val="2"/>
          </w:tcPr>
          <w:p>
            <w:pPr>
              <w:jc w:val="right"/>
              <w:ind w:right="280"/>
              <w:spacing w:after="0"/>
              <w:rPr>
                <w:sz w:val="20"/>
                <w:szCs w:val="20"/>
                <w:color w:val="auto"/>
              </w:rPr>
            </w:pPr>
            <w:r>
              <w:rPr>
                <w:rFonts w:ascii="Arial" w:cs="Arial" w:eastAsia="Arial" w:hAnsi="Arial"/>
                <w:sz w:val="18"/>
                <w:szCs w:val="18"/>
                <w:color w:val="auto"/>
              </w:rPr>
              <w:t>759</w:t>
            </w:r>
          </w:p>
        </w:tc>
        <w:tc>
          <w:tcPr>
            <w:tcW w:w="720" w:type="dxa"/>
            <w:vAlign w:val="bottom"/>
          </w:tcPr>
          <w:p>
            <w:pPr>
              <w:spacing w:after="0"/>
              <w:rPr>
                <w:sz w:val="18"/>
                <w:szCs w:val="18"/>
                <w:color w:val="auto"/>
              </w:rPr>
            </w:pPr>
          </w:p>
        </w:tc>
        <w:tc>
          <w:tcPr>
            <w:tcW w:w="700" w:type="dxa"/>
            <w:vAlign w:val="bottom"/>
            <w:gridSpan w:val="2"/>
          </w:tcPr>
          <w:p>
            <w:pPr>
              <w:jc w:val="right"/>
              <w:ind w:right="280"/>
              <w:spacing w:after="0"/>
              <w:rPr>
                <w:sz w:val="20"/>
                <w:szCs w:val="20"/>
                <w:color w:val="auto"/>
              </w:rPr>
            </w:pPr>
            <w:r>
              <w:rPr>
                <w:rFonts w:ascii="Arial" w:cs="Arial" w:eastAsia="Arial" w:hAnsi="Arial"/>
                <w:sz w:val="18"/>
                <w:szCs w:val="18"/>
                <w:color w:val="auto"/>
              </w:rPr>
              <w:t>548</w:t>
            </w: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759</w:t>
            </w:r>
          </w:p>
        </w:tc>
        <w:tc>
          <w:tcPr>
            <w:tcW w:w="26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513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Rainbow</w:t>
            </w:r>
          </w:p>
        </w:tc>
        <w:tc>
          <w:tcPr>
            <w:tcW w:w="7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108</w:t>
            </w:r>
          </w:p>
        </w:tc>
        <w:tc>
          <w:tcPr>
            <w:tcW w:w="7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125</w:t>
            </w:r>
          </w:p>
        </w:tc>
        <w:tc>
          <w:tcPr>
            <w:tcW w:w="1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114</w:t>
            </w:r>
          </w:p>
        </w:tc>
        <w:tc>
          <w:tcPr>
            <w:tcW w:w="2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tcPr>
          <w:p>
            <w:pPr>
              <w:ind w:left="340"/>
              <w:spacing w:after="0"/>
              <w:rPr>
                <w:sz w:val="20"/>
                <w:szCs w:val="20"/>
                <w:color w:val="auto"/>
              </w:rPr>
            </w:pPr>
            <w:r>
              <w:rPr>
                <w:rFonts w:ascii="Arial" w:cs="Arial" w:eastAsia="Arial" w:hAnsi="Arial"/>
                <w:sz w:val="18"/>
                <w:szCs w:val="18"/>
                <w:color w:val="auto"/>
              </w:rPr>
              <w:t>Rangeland</w:t>
            </w:r>
          </w:p>
        </w:tc>
        <w:tc>
          <w:tcPr>
            <w:tcW w:w="700" w:type="dxa"/>
            <w:vAlign w:val="bottom"/>
            <w:gridSpan w:val="2"/>
          </w:tcPr>
          <w:p>
            <w:pPr>
              <w:jc w:val="right"/>
              <w:ind w:right="280"/>
              <w:spacing w:after="0"/>
              <w:rPr>
                <w:sz w:val="20"/>
                <w:szCs w:val="20"/>
                <w:color w:val="auto"/>
              </w:rPr>
            </w:pPr>
            <w:r>
              <w:rPr>
                <w:rFonts w:ascii="Arial" w:cs="Arial" w:eastAsia="Arial" w:hAnsi="Arial"/>
                <w:sz w:val="18"/>
                <w:szCs w:val="18"/>
                <w:color w:val="auto"/>
              </w:rPr>
              <w:t>65</w:t>
            </w:r>
          </w:p>
        </w:tc>
        <w:tc>
          <w:tcPr>
            <w:tcW w:w="7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56</w:t>
            </w:r>
          </w:p>
        </w:tc>
        <w:tc>
          <w:tcPr>
            <w:tcW w:w="2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67</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62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Salt Lake City Area Systems</w:t>
            </w:r>
          </w:p>
        </w:tc>
        <w:tc>
          <w:tcPr>
            <w:tcW w:w="7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130</w:t>
            </w:r>
          </w:p>
        </w:tc>
        <w:tc>
          <w:tcPr>
            <w:tcW w:w="7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131</w:t>
            </w:r>
          </w:p>
        </w:tc>
        <w:tc>
          <w:tcPr>
            <w:tcW w:w="1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131</w:t>
            </w:r>
          </w:p>
        </w:tc>
        <w:tc>
          <w:tcPr>
            <w:tcW w:w="2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tcPr>
          <w:p>
            <w:pPr>
              <w:ind w:left="340"/>
              <w:spacing w:after="0"/>
              <w:rPr>
                <w:sz w:val="20"/>
                <w:szCs w:val="20"/>
                <w:color w:val="auto"/>
              </w:rPr>
            </w:pPr>
            <w:r>
              <w:rPr>
                <w:rFonts w:ascii="Arial" w:cs="Arial" w:eastAsia="Arial" w:hAnsi="Arial"/>
                <w:sz w:val="18"/>
                <w:szCs w:val="18"/>
                <w:color w:val="auto"/>
              </w:rPr>
              <w:t>South Saskatchewan</w:t>
            </w:r>
          </w:p>
        </w:tc>
        <w:tc>
          <w:tcPr>
            <w:tcW w:w="700" w:type="dxa"/>
            <w:vAlign w:val="bottom"/>
            <w:gridSpan w:val="2"/>
          </w:tcPr>
          <w:p>
            <w:pPr>
              <w:jc w:val="right"/>
              <w:ind w:right="280"/>
              <w:spacing w:after="0"/>
              <w:rPr>
                <w:sz w:val="20"/>
                <w:szCs w:val="20"/>
                <w:color w:val="auto"/>
              </w:rPr>
            </w:pPr>
            <w:r>
              <w:rPr>
                <w:rFonts w:ascii="Arial" w:cs="Arial" w:eastAsia="Arial" w:hAnsi="Arial"/>
                <w:sz w:val="18"/>
                <w:szCs w:val="18"/>
                <w:color w:val="auto"/>
              </w:rPr>
              <w:t>58</w:t>
            </w:r>
          </w:p>
        </w:tc>
        <w:tc>
          <w:tcPr>
            <w:tcW w:w="7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33</w:t>
            </w:r>
          </w:p>
        </w:tc>
        <w:tc>
          <w:tcPr>
            <w:tcW w:w="2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61</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46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White Cliffs</w:t>
            </w:r>
          </w:p>
        </w:tc>
        <w:tc>
          <w:tcPr>
            <w:tcW w:w="7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24</w:t>
            </w:r>
          </w:p>
        </w:tc>
        <w:tc>
          <w:tcPr>
            <w:tcW w:w="7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tcPr>
          <w:p>
            <w:pPr>
              <w:ind w:left="340"/>
              <w:spacing w:after="0"/>
              <w:rPr>
                <w:sz w:val="20"/>
                <w:szCs w:val="20"/>
                <w:color w:val="auto"/>
              </w:rPr>
            </w:pPr>
            <w:r>
              <w:rPr>
                <w:rFonts w:ascii="Arial" w:cs="Arial" w:eastAsia="Arial" w:hAnsi="Arial"/>
                <w:sz w:val="18"/>
                <w:szCs w:val="18"/>
                <w:color w:val="auto"/>
              </w:rPr>
              <w:t>Other</w:t>
            </w:r>
          </w:p>
        </w:tc>
        <w:tc>
          <w:tcPr>
            <w:tcW w:w="700" w:type="dxa"/>
            <w:vAlign w:val="bottom"/>
            <w:gridSpan w:val="2"/>
          </w:tcPr>
          <w:p>
            <w:pPr>
              <w:jc w:val="right"/>
              <w:ind w:right="280"/>
              <w:spacing w:after="0"/>
              <w:rPr>
                <w:sz w:val="20"/>
                <w:szCs w:val="20"/>
                <w:color w:val="auto"/>
              </w:rPr>
            </w:pPr>
            <w:r>
              <w:rPr>
                <w:rFonts w:ascii="Arial" w:cs="Arial" w:eastAsia="Arial" w:hAnsi="Arial"/>
                <w:sz w:val="18"/>
                <w:szCs w:val="18"/>
                <w:color w:val="auto"/>
              </w:rPr>
              <w:t>745</w:t>
            </w:r>
          </w:p>
        </w:tc>
        <w:tc>
          <w:tcPr>
            <w:tcW w:w="720" w:type="dxa"/>
            <w:vAlign w:val="bottom"/>
          </w:tcPr>
          <w:p>
            <w:pPr>
              <w:spacing w:after="0"/>
              <w:rPr>
                <w:sz w:val="18"/>
                <w:szCs w:val="18"/>
                <w:color w:val="auto"/>
              </w:rPr>
            </w:pPr>
          </w:p>
        </w:tc>
        <w:tc>
          <w:tcPr>
            <w:tcW w:w="700" w:type="dxa"/>
            <w:vAlign w:val="bottom"/>
            <w:gridSpan w:val="2"/>
          </w:tcPr>
          <w:p>
            <w:pPr>
              <w:jc w:val="right"/>
              <w:ind w:right="280"/>
              <w:spacing w:after="0"/>
              <w:rPr>
                <w:sz w:val="20"/>
                <w:szCs w:val="20"/>
                <w:color w:val="auto"/>
              </w:rPr>
            </w:pPr>
            <w:r>
              <w:rPr>
                <w:rFonts w:ascii="Arial" w:cs="Arial" w:eastAsia="Arial" w:hAnsi="Arial"/>
                <w:sz w:val="18"/>
                <w:szCs w:val="18"/>
                <w:color w:val="auto"/>
              </w:rPr>
              <w:t>739</w:t>
            </w: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703</w:t>
            </w:r>
          </w:p>
        </w:tc>
        <w:tc>
          <w:tcPr>
            <w:tcW w:w="26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737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NGL Pipelines</w:t>
            </w:r>
          </w:p>
        </w:tc>
        <w:tc>
          <w:tcPr>
            <w:tcW w:w="4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tcPr>
          <w:p>
            <w:pPr>
              <w:ind w:left="340"/>
              <w:spacing w:after="0"/>
              <w:rPr>
                <w:sz w:val="20"/>
                <w:szCs w:val="20"/>
                <w:color w:val="auto"/>
              </w:rPr>
            </w:pPr>
            <w:r>
              <w:rPr>
                <w:rFonts w:ascii="Arial" w:cs="Arial" w:eastAsia="Arial" w:hAnsi="Arial"/>
                <w:sz w:val="18"/>
                <w:szCs w:val="18"/>
                <w:color w:val="auto"/>
              </w:rPr>
              <w:t>Co-Ed</w:t>
            </w:r>
          </w:p>
        </w:tc>
        <w:tc>
          <w:tcPr>
            <w:tcW w:w="700" w:type="dxa"/>
            <w:vAlign w:val="bottom"/>
            <w:gridSpan w:val="2"/>
          </w:tcPr>
          <w:p>
            <w:pPr>
              <w:jc w:val="right"/>
              <w:ind w:right="280"/>
              <w:spacing w:after="0"/>
              <w:rPr>
                <w:sz w:val="20"/>
                <w:szCs w:val="20"/>
                <w:color w:val="auto"/>
              </w:rPr>
            </w:pPr>
            <w:r>
              <w:rPr>
                <w:rFonts w:ascii="Arial" w:cs="Arial" w:eastAsia="Arial" w:hAnsi="Arial"/>
                <w:sz w:val="18"/>
                <w:szCs w:val="18"/>
                <w:color w:val="auto"/>
              </w:rPr>
              <w:t>55</w:t>
            </w:r>
          </w:p>
        </w:tc>
        <w:tc>
          <w:tcPr>
            <w:tcW w:w="7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51</w:t>
            </w:r>
          </w:p>
        </w:tc>
        <w:tc>
          <w:tcPr>
            <w:tcW w:w="2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56</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54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Other</w:t>
            </w:r>
          </w:p>
        </w:tc>
        <w:tc>
          <w:tcPr>
            <w:tcW w:w="7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123</w:t>
            </w:r>
          </w:p>
        </w:tc>
        <w:tc>
          <w:tcPr>
            <w:tcW w:w="7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165</w:t>
            </w:r>
          </w:p>
        </w:tc>
        <w:tc>
          <w:tcPr>
            <w:tcW w:w="1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119</w:t>
            </w:r>
          </w:p>
        </w:tc>
        <w:tc>
          <w:tcPr>
            <w:tcW w:w="2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tcPr>
          <w:p>
            <w:pPr>
              <w:ind w:left="160"/>
              <w:spacing w:after="0"/>
              <w:rPr>
                <w:sz w:val="20"/>
                <w:szCs w:val="20"/>
                <w:color w:val="auto"/>
              </w:rPr>
            </w:pPr>
            <w:r>
              <w:rPr>
                <w:rFonts w:ascii="Arial" w:cs="Arial" w:eastAsia="Arial" w:hAnsi="Arial"/>
                <w:sz w:val="18"/>
                <w:szCs w:val="18"/>
                <w:color w:val="auto"/>
              </w:rPr>
              <w:t>Refined Products Pipelines</w:t>
            </w:r>
          </w:p>
        </w:tc>
        <w:tc>
          <w:tcPr>
            <w:tcW w:w="1420" w:type="dxa"/>
            <w:vAlign w:val="bottom"/>
            <w:gridSpan w:val="3"/>
          </w:tcPr>
          <w:p>
            <w:pPr>
              <w:jc w:val="right"/>
              <w:ind w:right="100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280"/>
              <w:spacing w:after="0"/>
              <w:rPr>
                <w:sz w:val="20"/>
                <w:szCs w:val="20"/>
                <w:color w:val="auto"/>
              </w:rPr>
            </w:pPr>
            <w:r>
              <w:rPr>
                <w:rFonts w:ascii="Arial" w:cs="Arial" w:eastAsia="Arial" w:hAnsi="Arial"/>
                <w:sz w:val="18"/>
                <w:szCs w:val="18"/>
                <w:color w:val="auto"/>
              </w:rPr>
              <w:t>110</w:t>
            </w:r>
          </w:p>
        </w:tc>
        <w:tc>
          <w:tcPr>
            <w:tcW w:w="1680" w:type="dxa"/>
            <w:vAlign w:val="bottom"/>
            <w:gridSpan w:val="3"/>
          </w:tcPr>
          <w:p>
            <w:pPr>
              <w:jc w:val="right"/>
              <w:ind w:right="54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105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8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Tariff activities total</w:t>
            </w:r>
          </w:p>
        </w:tc>
        <w:tc>
          <w:tcPr>
            <w:tcW w:w="74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3,804</w:t>
            </w:r>
          </w:p>
        </w:tc>
        <w:tc>
          <w:tcPr>
            <w:tcW w:w="28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3,495</w:t>
            </w:r>
          </w:p>
        </w:tc>
        <w:tc>
          <w:tcPr>
            <w:tcW w:w="28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3,757</w:t>
            </w:r>
          </w:p>
        </w:tc>
        <w:tc>
          <w:tcPr>
            <w:tcW w:w="2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3,513</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tcPr>
          <w:p>
            <w:pPr>
              <w:spacing w:after="0"/>
              <w:rPr>
                <w:sz w:val="20"/>
                <w:szCs w:val="20"/>
                <w:color w:val="auto"/>
              </w:rPr>
            </w:pPr>
            <w:r>
              <w:rPr>
                <w:rFonts w:ascii="Arial" w:cs="Arial" w:eastAsia="Arial" w:hAnsi="Arial"/>
                <w:sz w:val="18"/>
                <w:szCs w:val="18"/>
                <w:color w:val="auto"/>
              </w:rPr>
              <w:t>Trucking</w:t>
            </w:r>
          </w:p>
        </w:tc>
        <w:tc>
          <w:tcPr>
            <w:tcW w:w="700" w:type="dxa"/>
            <w:vAlign w:val="bottom"/>
            <w:gridSpan w:val="2"/>
          </w:tcPr>
          <w:p>
            <w:pPr>
              <w:jc w:val="right"/>
              <w:ind w:right="280"/>
              <w:spacing w:after="0"/>
              <w:rPr>
                <w:sz w:val="20"/>
                <w:szCs w:val="20"/>
                <w:color w:val="auto"/>
              </w:rPr>
            </w:pPr>
            <w:r>
              <w:rPr>
                <w:rFonts w:ascii="Arial" w:cs="Arial" w:eastAsia="Arial" w:hAnsi="Arial"/>
                <w:sz w:val="18"/>
                <w:szCs w:val="18"/>
                <w:color w:val="auto"/>
              </w:rPr>
              <w:t>127</w:t>
            </w:r>
          </w:p>
        </w:tc>
        <w:tc>
          <w:tcPr>
            <w:tcW w:w="720" w:type="dxa"/>
            <w:vAlign w:val="bottom"/>
          </w:tcPr>
          <w:p>
            <w:pPr>
              <w:spacing w:after="0"/>
              <w:rPr>
                <w:sz w:val="18"/>
                <w:szCs w:val="18"/>
                <w:color w:val="auto"/>
              </w:rPr>
            </w:pPr>
          </w:p>
        </w:tc>
        <w:tc>
          <w:tcPr>
            <w:tcW w:w="700" w:type="dxa"/>
            <w:vAlign w:val="bottom"/>
            <w:gridSpan w:val="2"/>
          </w:tcPr>
          <w:p>
            <w:pPr>
              <w:jc w:val="right"/>
              <w:ind w:right="280"/>
              <w:spacing w:after="0"/>
              <w:rPr>
                <w:sz w:val="20"/>
                <w:szCs w:val="20"/>
                <w:color w:val="auto"/>
              </w:rPr>
            </w:pPr>
            <w:r>
              <w:rPr>
                <w:rFonts w:ascii="Arial" w:cs="Arial" w:eastAsia="Arial" w:hAnsi="Arial"/>
                <w:sz w:val="18"/>
                <w:szCs w:val="18"/>
                <w:color w:val="auto"/>
              </w:rPr>
              <w:t>108</w:t>
            </w: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129</w:t>
            </w:r>
          </w:p>
        </w:tc>
        <w:tc>
          <w:tcPr>
            <w:tcW w:w="26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109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8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Transportation activities total</w:t>
            </w:r>
          </w:p>
        </w:tc>
        <w:tc>
          <w:tcPr>
            <w:tcW w:w="740" w:type="dxa"/>
            <w:vAlign w:val="bottom"/>
            <w:tcBorders>
              <w:top w:val="single" w:sz="8" w:color="auto"/>
              <w:bottom w:val="single" w:sz="8" w:color="auto"/>
            </w:tcBorders>
            <w:shd w:val="clear" w:color="auto" w:fill="CCEEFF"/>
          </w:tcPr>
          <w:p>
            <w:pPr>
              <w:spacing w:after="0"/>
              <w:rPr>
                <w:sz w:val="18"/>
                <w:szCs w:val="18"/>
                <w:color w:val="auto"/>
              </w:rPr>
            </w:pP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3,931</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spacing w:after="0"/>
              <w:rPr>
                <w:sz w:val="18"/>
                <w:szCs w:val="18"/>
                <w:color w:val="auto"/>
              </w:rPr>
            </w:pP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3,603</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3,886</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3,622</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8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58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Facilities activities (average monthly volumes):</w:t>
            </w:r>
          </w:p>
        </w:tc>
        <w:tc>
          <w:tcPr>
            <w:tcW w:w="4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620" w:type="dxa"/>
            <w:vAlign w:val="bottom"/>
            <w:gridSpan w:val="2"/>
          </w:tcPr>
          <w:p>
            <w:pPr>
              <w:ind w:left="160"/>
              <w:spacing w:after="0" w:line="201" w:lineRule="exact"/>
              <w:rPr>
                <w:sz w:val="20"/>
                <w:szCs w:val="20"/>
                <w:color w:val="auto"/>
              </w:rPr>
            </w:pPr>
            <w:r>
              <w:rPr>
                <w:rFonts w:ascii="Arial" w:cs="Arial" w:eastAsia="Arial" w:hAnsi="Arial"/>
                <w:sz w:val="18"/>
                <w:szCs w:val="18"/>
                <w:color w:val="auto"/>
              </w:rPr>
              <w:t>Crude oil, refined products and NGL terminalling and storage (average</w:t>
            </w:r>
          </w:p>
        </w:tc>
        <w:tc>
          <w:tcPr>
            <w:tcW w:w="420" w:type="dxa"/>
            <w:vAlign w:val="bottom"/>
            <w:vMerge w:val="restart"/>
          </w:tcPr>
          <w:p>
            <w:pPr>
              <w:jc w:val="right"/>
              <w:spacing w:after="0"/>
              <w:rPr>
                <w:sz w:val="20"/>
                <w:szCs w:val="20"/>
                <w:color w:val="auto"/>
              </w:rPr>
            </w:pPr>
            <w:r>
              <w:rPr>
                <w:rFonts w:ascii="Arial" w:cs="Arial" w:eastAsia="Arial" w:hAnsi="Arial"/>
                <w:sz w:val="18"/>
                <w:szCs w:val="18"/>
                <w:color w:val="auto"/>
              </w:rPr>
              <w:t>94</w:t>
            </w:r>
          </w:p>
        </w:tc>
        <w:tc>
          <w:tcPr>
            <w:tcW w:w="280" w:type="dxa"/>
            <w:vAlign w:val="bottom"/>
            <w:vMerge w:val="restart"/>
          </w:tcPr>
          <w:p>
            <w:pPr>
              <w:spacing w:after="0"/>
              <w:rPr>
                <w:sz w:val="17"/>
                <w:szCs w:val="17"/>
                <w:color w:val="auto"/>
              </w:rPr>
            </w:pPr>
          </w:p>
        </w:tc>
        <w:tc>
          <w:tcPr>
            <w:tcW w:w="720" w:type="dxa"/>
            <w:vAlign w:val="bottom"/>
          </w:tcPr>
          <w:p>
            <w:pPr>
              <w:spacing w:after="0"/>
              <w:rPr>
                <w:sz w:val="17"/>
                <w:szCs w:val="17"/>
                <w:color w:val="auto"/>
              </w:rPr>
            </w:pPr>
          </w:p>
        </w:tc>
        <w:tc>
          <w:tcPr>
            <w:tcW w:w="420" w:type="dxa"/>
            <w:vAlign w:val="bottom"/>
            <w:vMerge w:val="restart"/>
          </w:tcPr>
          <w:p>
            <w:pPr>
              <w:jc w:val="right"/>
              <w:spacing w:after="0"/>
              <w:rPr>
                <w:sz w:val="20"/>
                <w:szCs w:val="20"/>
                <w:color w:val="auto"/>
              </w:rPr>
            </w:pPr>
            <w:r>
              <w:rPr>
                <w:rFonts w:ascii="Arial" w:cs="Arial" w:eastAsia="Arial" w:hAnsi="Arial"/>
                <w:sz w:val="18"/>
                <w:szCs w:val="18"/>
                <w:color w:val="auto"/>
              </w:rPr>
              <w:t>95</w:t>
            </w:r>
          </w:p>
        </w:tc>
        <w:tc>
          <w:tcPr>
            <w:tcW w:w="280" w:type="dxa"/>
            <w:vAlign w:val="bottom"/>
          </w:tcPr>
          <w:p>
            <w:pPr>
              <w:spacing w:after="0"/>
              <w:rPr>
                <w:sz w:val="17"/>
                <w:szCs w:val="17"/>
                <w:color w:val="auto"/>
              </w:rPr>
            </w:pPr>
          </w:p>
        </w:tc>
        <w:tc>
          <w:tcPr>
            <w:tcW w:w="1140" w:type="dxa"/>
            <w:vAlign w:val="bottom"/>
            <w:vMerge w:val="restart"/>
          </w:tcPr>
          <w:p>
            <w:pPr>
              <w:jc w:val="right"/>
              <w:spacing w:after="0"/>
              <w:rPr>
                <w:sz w:val="20"/>
                <w:szCs w:val="20"/>
                <w:color w:val="auto"/>
              </w:rPr>
            </w:pPr>
            <w:r>
              <w:rPr>
                <w:rFonts w:ascii="Arial" w:cs="Arial" w:eastAsia="Arial" w:hAnsi="Arial"/>
                <w:sz w:val="18"/>
                <w:szCs w:val="18"/>
                <w:color w:val="auto"/>
              </w:rPr>
              <w:t>95</w:t>
            </w: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vMerge w:val="restart"/>
          </w:tcPr>
          <w:p>
            <w:pPr>
              <w:jc w:val="right"/>
              <w:spacing w:after="0"/>
              <w:rPr>
                <w:sz w:val="20"/>
                <w:szCs w:val="20"/>
                <w:color w:val="auto"/>
              </w:rPr>
            </w:pPr>
            <w:r>
              <w:rPr>
                <w:rFonts w:ascii="Arial" w:cs="Arial" w:eastAsia="Arial" w:hAnsi="Arial"/>
                <w:sz w:val="18"/>
                <w:szCs w:val="18"/>
                <w:color w:val="auto"/>
              </w:rPr>
              <w:t>94</w:t>
            </w:r>
          </w:p>
        </w:tc>
        <w:tc>
          <w:tcPr>
            <w:tcW w:w="20" w:type="dxa"/>
            <w:vAlign w:val="bottom"/>
            <w:vMerge w:val="restart"/>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588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monthly capacity in millions of barrels)</w:t>
            </w:r>
          </w:p>
        </w:tc>
        <w:tc>
          <w:tcPr>
            <w:tcW w:w="740" w:type="dxa"/>
            <w:vAlign w:val="bottom"/>
            <w:tcBorders>
              <w:bottom w:val="single" w:sz="8" w:color="auto"/>
            </w:tcBorders>
          </w:tcPr>
          <w:p>
            <w:pPr>
              <w:spacing w:after="0"/>
              <w:rPr>
                <w:sz w:val="22"/>
                <w:szCs w:val="22"/>
                <w:color w:val="auto"/>
              </w:rPr>
            </w:pPr>
          </w:p>
        </w:tc>
        <w:tc>
          <w:tcPr>
            <w:tcW w:w="420" w:type="dxa"/>
            <w:vAlign w:val="bottom"/>
            <w:tcBorders>
              <w:bottom w:val="single" w:sz="8" w:color="auto"/>
            </w:tcBorders>
            <w:vMerge w:val="continue"/>
          </w:tcPr>
          <w:p>
            <w:pPr>
              <w:spacing w:after="0"/>
              <w:rPr>
                <w:sz w:val="22"/>
                <w:szCs w:val="22"/>
                <w:color w:val="auto"/>
              </w:rPr>
            </w:pPr>
          </w:p>
        </w:tc>
        <w:tc>
          <w:tcPr>
            <w:tcW w:w="280" w:type="dxa"/>
            <w:vAlign w:val="bottom"/>
            <w:tcBorders>
              <w:bottom w:val="single" w:sz="8" w:color="CCEEFF"/>
            </w:tcBorders>
            <w:vMerge w:val="continue"/>
          </w:tcPr>
          <w:p>
            <w:pPr>
              <w:spacing w:after="0"/>
              <w:rPr>
                <w:sz w:val="22"/>
                <w:szCs w:val="22"/>
                <w:color w:val="auto"/>
              </w:rPr>
            </w:pPr>
          </w:p>
        </w:tc>
        <w:tc>
          <w:tcPr>
            <w:tcW w:w="720" w:type="dxa"/>
            <w:vAlign w:val="bottom"/>
            <w:tcBorders>
              <w:bottom w:val="single" w:sz="8" w:color="auto"/>
            </w:tcBorders>
          </w:tcPr>
          <w:p>
            <w:pPr>
              <w:spacing w:after="0"/>
              <w:rPr>
                <w:sz w:val="22"/>
                <w:szCs w:val="22"/>
                <w:color w:val="auto"/>
              </w:rPr>
            </w:pPr>
          </w:p>
        </w:tc>
        <w:tc>
          <w:tcPr>
            <w:tcW w:w="420" w:type="dxa"/>
            <w:vAlign w:val="bottom"/>
            <w:tcBorders>
              <w:bottom w:val="single" w:sz="8" w:color="auto"/>
            </w:tcBorders>
            <w:vMerge w:val="continue"/>
          </w:tcPr>
          <w:p>
            <w:pPr>
              <w:spacing w:after="0"/>
              <w:rPr>
                <w:sz w:val="22"/>
                <w:szCs w:val="22"/>
                <w:color w:val="auto"/>
              </w:rPr>
            </w:pPr>
          </w:p>
        </w:tc>
        <w:tc>
          <w:tcPr>
            <w:tcW w:w="280" w:type="dxa"/>
            <w:vAlign w:val="bottom"/>
            <w:tcBorders>
              <w:bottom w:val="single" w:sz="8" w:color="CCEEFF"/>
            </w:tcBorders>
          </w:tcPr>
          <w:p>
            <w:pPr>
              <w:spacing w:after="0"/>
              <w:rPr>
                <w:sz w:val="22"/>
                <w:szCs w:val="22"/>
                <w:color w:val="auto"/>
              </w:rPr>
            </w:pPr>
          </w:p>
        </w:tc>
        <w:tc>
          <w:tcPr>
            <w:tcW w:w="1140" w:type="dxa"/>
            <w:vAlign w:val="bottom"/>
            <w:tcBorders>
              <w:bottom w:val="single" w:sz="8" w:color="auto"/>
            </w:tcBorders>
            <w:vMerge w:val="continue"/>
          </w:tcPr>
          <w:p>
            <w:pPr>
              <w:spacing w:after="0"/>
              <w:rPr>
                <w:sz w:val="22"/>
                <w:szCs w:val="22"/>
                <w:color w:val="auto"/>
              </w:rPr>
            </w:pPr>
          </w:p>
        </w:tc>
        <w:tc>
          <w:tcPr>
            <w:tcW w:w="28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vMerge w:val="continue"/>
          </w:tcPr>
          <w:p>
            <w:pPr>
              <w:spacing w:after="0"/>
              <w:rPr>
                <w:sz w:val="22"/>
                <w:szCs w:val="22"/>
                <w:color w:val="auto"/>
              </w:rPr>
            </w:pPr>
          </w:p>
        </w:tc>
        <w:tc>
          <w:tcPr>
            <w:tcW w:w="20" w:type="dxa"/>
            <w:vAlign w:val="bottom"/>
            <w:tcBorders>
              <w:bottom w:val="single" w:sz="8" w:color="CCEEFF"/>
            </w:tcBorders>
            <w:vMerge w:val="continue"/>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5880" w:type="dxa"/>
            <w:vAlign w:val="bottom"/>
            <w:shd w:val="clear" w:color="auto" w:fill="CCEEFF"/>
          </w:tcPr>
          <w:p>
            <w:pPr>
              <w:ind w:left="160"/>
              <w:spacing w:after="0" w:line="156" w:lineRule="exact"/>
              <w:rPr>
                <w:sz w:val="20"/>
                <w:szCs w:val="20"/>
                <w:color w:val="auto"/>
              </w:rPr>
            </w:pPr>
            <w:r>
              <w:rPr>
                <w:rFonts w:ascii="Arial" w:cs="Arial" w:eastAsia="Arial" w:hAnsi="Arial"/>
                <w:sz w:val="18"/>
                <w:szCs w:val="18"/>
                <w:color w:val="auto"/>
                <w:w w:val="98"/>
              </w:rPr>
              <w:t>Rail load / unload volumes (average volumes in thousands of barrels per</w:t>
            </w:r>
          </w:p>
        </w:tc>
        <w:tc>
          <w:tcPr>
            <w:tcW w:w="740" w:type="dxa"/>
            <w:vAlign w:val="bottom"/>
            <w:shd w:val="clear" w:color="auto" w:fill="CCEEFF"/>
          </w:tcPr>
          <w:p>
            <w:pPr>
              <w:spacing w:after="0"/>
              <w:rPr>
                <w:sz w:val="13"/>
                <w:szCs w:val="13"/>
                <w:color w:val="auto"/>
              </w:rPr>
            </w:pPr>
          </w:p>
        </w:tc>
        <w:tc>
          <w:tcPr>
            <w:tcW w:w="4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224</w:t>
            </w:r>
          </w:p>
        </w:tc>
        <w:tc>
          <w:tcPr>
            <w:tcW w:w="280" w:type="dxa"/>
            <w:vAlign w:val="bottom"/>
            <w:vMerge w:val="restart"/>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4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231</w:t>
            </w:r>
          </w:p>
        </w:tc>
        <w:tc>
          <w:tcPr>
            <w:tcW w:w="280" w:type="dxa"/>
            <w:vAlign w:val="bottom"/>
            <w:vMerge w:val="restart"/>
            <w:shd w:val="clear" w:color="auto" w:fill="CCEEFF"/>
          </w:tcPr>
          <w:p>
            <w:pPr>
              <w:spacing w:after="0"/>
              <w:rPr>
                <w:sz w:val="13"/>
                <w:szCs w:val="13"/>
                <w:color w:val="auto"/>
              </w:rPr>
            </w:pP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227</w:t>
            </w:r>
          </w:p>
        </w:tc>
        <w:tc>
          <w:tcPr>
            <w:tcW w:w="280" w:type="dxa"/>
            <w:vAlign w:val="bottom"/>
            <w:vMerge w:val="restart"/>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223</w:t>
            </w:r>
          </w:p>
        </w:tc>
        <w:tc>
          <w:tcPr>
            <w:tcW w:w="20" w:type="dxa"/>
            <w:vAlign w:val="bottom"/>
            <w:vMerge w:val="restart"/>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8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day)</w:t>
            </w:r>
          </w:p>
        </w:tc>
        <w:tc>
          <w:tcPr>
            <w:tcW w:w="74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vMerge w:val="continue"/>
            <w:shd w:val="clear" w:color="auto" w:fill="CCEEFF"/>
          </w:tcPr>
          <w:p>
            <w:pPr>
              <w:spacing w:after="0"/>
              <w:rPr>
                <w:sz w:val="18"/>
                <w:szCs w:val="18"/>
                <w:color w:val="auto"/>
              </w:rPr>
            </w:pPr>
          </w:p>
        </w:tc>
        <w:tc>
          <w:tcPr>
            <w:tcW w:w="280" w:type="dxa"/>
            <w:vAlign w:val="bottom"/>
            <w:tcBorders>
              <w:bottom w:val="single" w:sz="8" w:color="CCEEFF"/>
            </w:tcBorders>
            <w:vMerge w:val="continue"/>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vMerge w:val="continue"/>
            <w:shd w:val="clear" w:color="auto" w:fill="CCEEFF"/>
          </w:tcPr>
          <w:p>
            <w:pPr>
              <w:spacing w:after="0"/>
              <w:rPr>
                <w:sz w:val="18"/>
                <w:szCs w:val="18"/>
                <w:color w:val="auto"/>
              </w:rPr>
            </w:pPr>
          </w:p>
        </w:tc>
        <w:tc>
          <w:tcPr>
            <w:tcW w:w="280" w:type="dxa"/>
            <w:vAlign w:val="bottom"/>
            <w:tcBorders>
              <w:bottom w:val="single" w:sz="8" w:color="CCEEFF"/>
            </w:tcBorders>
            <w:vMerge w:val="continue"/>
            <w:shd w:val="clear" w:color="auto" w:fill="CCEEFF"/>
          </w:tcPr>
          <w:p>
            <w:pPr>
              <w:spacing w:after="0"/>
              <w:rPr>
                <w:sz w:val="18"/>
                <w:szCs w:val="18"/>
                <w:color w:val="auto"/>
              </w:rPr>
            </w:pPr>
          </w:p>
        </w:tc>
        <w:tc>
          <w:tcPr>
            <w:tcW w:w="1140" w:type="dxa"/>
            <w:vAlign w:val="bottom"/>
            <w:tcBorders>
              <w:bottom w:val="single" w:sz="8" w:color="auto"/>
            </w:tcBorders>
            <w:vMerge w:val="continue"/>
            <w:shd w:val="clear" w:color="auto" w:fill="CCEEFF"/>
          </w:tcPr>
          <w:p>
            <w:pPr>
              <w:spacing w:after="0"/>
              <w:rPr>
                <w:sz w:val="18"/>
                <w:szCs w:val="18"/>
                <w:color w:val="auto"/>
              </w:rPr>
            </w:pPr>
          </w:p>
        </w:tc>
        <w:tc>
          <w:tcPr>
            <w:tcW w:w="280" w:type="dxa"/>
            <w:vAlign w:val="bottom"/>
            <w:tcBorders>
              <w:bottom w:val="single" w:sz="8" w:color="CCEEFF"/>
            </w:tcBorders>
            <w:vMerge w:val="continue"/>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vMerge w:val="continue"/>
            <w:shd w:val="clear" w:color="auto" w:fill="CCEEFF"/>
          </w:tcPr>
          <w:p>
            <w:pPr>
              <w:spacing w:after="0"/>
              <w:rPr>
                <w:sz w:val="18"/>
                <w:szCs w:val="18"/>
                <w:color w:val="auto"/>
              </w:rPr>
            </w:pPr>
          </w:p>
        </w:tc>
        <w:tc>
          <w:tcPr>
            <w:tcW w:w="20" w:type="dxa"/>
            <w:vAlign w:val="bottom"/>
            <w:tcBorders>
              <w:bottom w:val="single" w:sz="8" w:color="CCEEFF"/>
            </w:tcBorders>
            <w:vMerge w:val="continue"/>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2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5880" w:type="dxa"/>
            <w:vAlign w:val="bottom"/>
            <w:tcBorders>
              <w:bottom w:val="single" w:sz="8" w:color="CCEEFF"/>
            </w:tcBorders>
          </w:tcPr>
          <w:p>
            <w:pPr>
              <w:ind w:left="160"/>
              <w:spacing w:after="0" w:line="196" w:lineRule="exact"/>
              <w:rPr>
                <w:sz w:val="20"/>
                <w:szCs w:val="20"/>
                <w:color w:val="auto"/>
              </w:rPr>
            </w:pPr>
            <w:r>
              <w:rPr>
                <w:rFonts w:ascii="Arial" w:cs="Arial" w:eastAsia="Arial" w:hAnsi="Arial"/>
                <w:sz w:val="18"/>
                <w:szCs w:val="18"/>
                <w:color w:val="auto"/>
              </w:rPr>
              <w:t>Natural gas storage (average monthly capacity in billions of cubic feet)</w:t>
            </w:r>
          </w:p>
        </w:tc>
        <w:tc>
          <w:tcPr>
            <w:tcW w:w="740" w:type="dxa"/>
            <w:vAlign w:val="bottom"/>
            <w:tcBorders>
              <w:top w:val="single" w:sz="8" w:color="auto"/>
              <w:bottom w:val="single" w:sz="8" w:color="auto"/>
            </w:tcBorders>
          </w:tcPr>
          <w:p>
            <w:pPr>
              <w:spacing w:after="0"/>
              <w:rPr>
                <w:sz w:val="20"/>
                <w:szCs w:val="20"/>
                <w:color w:val="auto"/>
              </w:rPr>
            </w:pPr>
          </w:p>
        </w:tc>
        <w:tc>
          <w:tcPr>
            <w:tcW w:w="42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97</w:t>
            </w:r>
          </w:p>
        </w:tc>
        <w:tc>
          <w:tcPr>
            <w:tcW w:w="280" w:type="dxa"/>
            <w:vAlign w:val="bottom"/>
            <w:tcBorders>
              <w:bottom w:val="single" w:sz="8" w:color="CCEEFF"/>
            </w:tcBorders>
            <w:vMerge w:val="continue"/>
          </w:tcPr>
          <w:p>
            <w:pPr>
              <w:spacing w:after="0"/>
              <w:rPr>
                <w:sz w:val="20"/>
                <w:szCs w:val="20"/>
                <w:color w:val="auto"/>
              </w:rPr>
            </w:pPr>
          </w:p>
        </w:tc>
        <w:tc>
          <w:tcPr>
            <w:tcW w:w="720" w:type="dxa"/>
            <w:vAlign w:val="bottom"/>
            <w:tcBorders>
              <w:top w:val="single" w:sz="8" w:color="auto"/>
              <w:bottom w:val="single" w:sz="8" w:color="auto"/>
            </w:tcBorders>
          </w:tcPr>
          <w:p>
            <w:pPr>
              <w:spacing w:after="0"/>
              <w:rPr>
                <w:sz w:val="20"/>
                <w:szCs w:val="20"/>
                <w:color w:val="auto"/>
              </w:rPr>
            </w:pPr>
          </w:p>
        </w:tc>
        <w:tc>
          <w:tcPr>
            <w:tcW w:w="42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97</w:t>
            </w:r>
          </w:p>
        </w:tc>
        <w:tc>
          <w:tcPr>
            <w:tcW w:w="280" w:type="dxa"/>
            <w:vAlign w:val="bottom"/>
            <w:tcBorders>
              <w:bottom w:val="single" w:sz="8" w:color="CCEEFF"/>
            </w:tcBorders>
          </w:tcPr>
          <w:p>
            <w:pPr>
              <w:spacing w:after="0"/>
              <w:rPr>
                <w:sz w:val="20"/>
                <w:szCs w:val="20"/>
                <w:color w:val="auto"/>
              </w:rPr>
            </w:pPr>
          </w:p>
        </w:tc>
        <w:tc>
          <w:tcPr>
            <w:tcW w:w="11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97</w:t>
            </w:r>
          </w:p>
        </w:tc>
        <w:tc>
          <w:tcPr>
            <w:tcW w:w="280" w:type="dxa"/>
            <w:vAlign w:val="bottom"/>
            <w:tcBorders>
              <w:bottom w:val="single" w:sz="8" w:color="CCEEFF"/>
            </w:tcBorders>
          </w:tcPr>
          <w:p>
            <w:pPr>
              <w:spacing w:after="0"/>
              <w:rPr>
                <w:sz w:val="20"/>
                <w:szCs w:val="20"/>
                <w:color w:val="auto"/>
              </w:rPr>
            </w:pPr>
          </w:p>
        </w:tc>
        <w:tc>
          <w:tcPr>
            <w:tcW w:w="26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95</w:t>
            </w:r>
          </w:p>
        </w:tc>
        <w:tc>
          <w:tcPr>
            <w:tcW w:w="20" w:type="dxa"/>
            <w:vAlign w:val="bottom"/>
            <w:tcBorders>
              <w:bottom w:val="single" w:sz="8" w:color="CCEEFF"/>
            </w:tcBorders>
            <w:vMerge w:val="continue"/>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5880" w:type="dxa"/>
            <w:vAlign w:val="bottom"/>
            <w:tcBorders>
              <w:bottom w:val="single" w:sz="8" w:color="CCEEFF"/>
            </w:tcBorders>
            <w:shd w:val="clear" w:color="auto" w:fill="CCEEFF"/>
          </w:tcPr>
          <w:p>
            <w:pPr>
              <w:ind w:left="160"/>
              <w:spacing w:after="0" w:line="196" w:lineRule="exact"/>
              <w:rPr>
                <w:sz w:val="20"/>
                <w:szCs w:val="20"/>
                <w:color w:val="auto"/>
              </w:rPr>
            </w:pPr>
            <w:r>
              <w:rPr>
                <w:rFonts w:ascii="Arial" w:cs="Arial" w:eastAsia="Arial" w:hAnsi="Arial"/>
                <w:sz w:val="18"/>
                <w:szCs w:val="18"/>
                <w:color w:val="auto"/>
              </w:rPr>
              <w:t>NGL fractionation (average volumes in thousands of barrels per day)</w:t>
            </w:r>
          </w:p>
        </w:tc>
        <w:tc>
          <w:tcPr>
            <w:tcW w:w="740" w:type="dxa"/>
            <w:vAlign w:val="bottom"/>
            <w:tcBorders>
              <w:bottom w:val="single" w:sz="8" w:color="auto"/>
            </w:tcBorders>
            <w:shd w:val="clear" w:color="auto" w:fill="CCEEFF"/>
          </w:tcPr>
          <w:p>
            <w:pPr>
              <w:spacing w:after="0"/>
              <w:rPr>
                <w:sz w:val="17"/>
                <w:szCs w:val="17"/>
                <w:color w:val="auto"/>
              </w:rPr>
            </w:pPr>
          </w:p>
        </w:tc>
        <w:tc>
          <w:tcPr>
            <w:tcW w:w="4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86</w:t>
            </w:r>
          </w:p>
        </w:tc>
        <w:tc>
          <w:tcPr>
            <w:tcW w:w="28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spacing w:after="0"/>
              <w:rPr>
                <w:sz w:val="17"/>
                <w:szCs w:val="17"/>
                <w:color w:val="auto"/>
              </w:rPr>
            </w:pPr>
          </w:p>
        </w:tc>
        <w:tc>
          <w:tcPr>
            <w:tcW w:w="4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90</w:t>
            </w:r>
          </w:p>
        </w:tc>
        <w:tc>
          <w:tcPr>
            <w:tcW w:w="28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89</w:t>
            </w:r>
          </w:p>
        </w:tc>
        <w:tc>
          <w:tcPr>
            <w:tcW w:w="28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95</w:t>
            </w:r>
          </w:p>
        </w:tc>
        <w:tc>
          <w:tcPr>
            <w:tcW w:w="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80" w:type="dxa"/>
            <w:vAlign w:val="bottom"/>
            <w:vMerge w:val="restart"/>
          </w:tcPr>
          <w:p>
            <w:pPr>
              <w:ind w:left="160"/>
              <w:spacing w:after="0" w:line="156" w:lineRule="exact"/>
              <w:rPr>
                <w:sz w:val="20"/>
                <w:szCs w:val="20"/>
                <w:color w:val="auto"/>
              </w:rPr>
            </w:pPr>
            <w:r>
              <w:rPr>
                <w:rFonts w:ascii="Arial" w:cs="Arial" w:eastAsia="Arial" w:hAnsi="Arial"/>
                <w:sz w:val="18"/>
                <w:szCs w:val="18"/>
                <w:color w:val="auto"/>
              </w:rPr>
              <w:t>Facilities activities total (average monthly volumes in millions of barrels)</w:t>
            </w:r>
          </w:p>
        </w:tc>
        <w:tc>
          <w:tcPr>
            <w:tcW w:w="7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6"/>
        </w:trPr>
        <w:tc>
          <w:tcPr>
            <w:tcW w:w="20" w:type="dxa"/>
            <w:vAlign w:val="bottom"/>
          </w:tcPr>
          <w:p>
            <w:pPr>
              <w:spacing w:after="0"/>
              <w:rPr>
                <w:sz w:val="10"/>
                <w:szCs w:val="10"/>
                <w:color w:val="auto"/>
              </w:rPr>
            </w:pPr>
          </w:p>
        </w:tc>
        <w:tc>
          <w:tcPr>
            <w:tcW w:w="5880" w:type="dxa"/>
            <w:vAlign w:val="bottom"/>
            <w:vMerge w:val="continue"/>
          </w:tcPr>
          <w:p>
            <w:pPr>
              <w:spacing w:after="0"/>
              <w:rPr>
                <w:sz w:val="10"/>
                <w:szCs w:val="10"/>
                <w:color w:val="auto"/>
              </w:rPr>
            </w:pPr>
          </w:p>
        </w:tc>
        <w:tc>
          <w:tcPr>
            <w:tcW w:w="740" w:type="dxa"/>
            <w:vAlign w:val="bottom"/>
          </w:tcPr>
          <w:p>
            <w:pPr>
              <w:spacing w:after="0"/>
              <w:rPr>
                <w:sz w:val="10"/>
                <w:szCs w:val="10"/>
                <w:color w:val="auto"/>
              </w:rPr>
            </w:pPr>
          </w:p>
        </w:tc>
        <w:tc>
          <w:tcPr>
            <w:tcW w:w="700" w:type="dxa"/>
            <w:vAlign w:val="bottom"/>
            <w:gridSpan w:val="2"/>
            <w:vMerge w:val="restart"/>
          </w:tcPr>
          <w:p>
            <w:pPr>
              <w:jc w:val="right"/>
              <w:ind w:right="280"/>
              <w:spacing w:after="0"/>
              <w:rPr>
                <w:sz w:val="20"/>
                <w:szCs w:val="20"/>
                <w:color w:val="auto"/>
              </w:rPr>
            </w:pPr>
            <w:r>
              <w:rPr>
                <w:rFonts w:ascii="Arial" w:cs="Arial" w:eastAsia="Arial" w:hAnsi="Arial"/>
                <w:sz w:val="18"/>
                <w:szCs w:val="18"/>
                <w:color w:val="auto"/>
              </w:rPr>
              <w:t>120</w:t>
            </w:r>
          </w:p>
        </w:tc>
        <w:tc>
          <w:tcPr>
            <w:tcW w:w="720" w:type="dxa"/>
            <w:vAlign w:val="bottom"/>
          </w:tcPr>
          <w:p>
            <w:pPr>
              <w:spacing w:after="0"/>
              <w:rPr>
                <w:sz w:val="10"/>
                <w:szCs w:val="10"/>
                <w:color w:val="auto"/>
              </w:rPr>
            </w:pPr>
          </w:p>
        </w:tc>
        <w:tc>
          <w:tcPr>
            <w:tcW w:w="700" w:type="dxa"/>
            <w:vAlign w:val="bottom"/>
            <w:gridSpan w:val="2"/>
            <w:vMerge w:val="restart"/>
          </w:tcPr>
          <w:p>
            <w:pPr>
              <w:jc w:val="right"/>
              <w:ind w:right="280"/>
              <w:spacing w:after="0"/>
              <w:rPr>
                <w:sz w:val="20"/>
                <w:szCs w:val="20"/>
                <w:color w:val="auto"/>
              </w:rPr>
            </w:pPr>
            <w:r>
              <w:rPr>
                <w:rFonts w:ascii="Arial" w:cs="Arial" w:eastAsia="Arial" w:hAnsi="Arial"/>
                <w:sz w:val="18"/>
                <w:szCs w:val="18"/>
                <w:color w:val="auto"/>
              </w:rPr>
              <w:t>121</w:t>
            </w:r>
          </w:p>
        </w:tc>
        <w:tc>
          <w:tcPr>
            <w:tcW w:w="1420" w:type="dxa"/>
            <w:vAlign w:val="bottom"/>
            <w:gridSpan w:val="2"/>
            <w:vMerge w:val="restart"/>
          </w:tcPr>
          <w:p>
            <w:pPr>
              <w:jc w:val="right"/>
              <w:ind w:right="280"/>
              <w:spacing w:after="0"/>
              <w:rPr>
                <w:sz w:val="20"/>
                <w:szCs w:val="20"/>
                <w:color w:val="auto"/>
              </w:rPr>
            </w:pPr>
            <w:r>
              <w:rPr>
                <w:rFonts w:ascii="Arial" w:cs="Arial" w:eastAsia="Arial" w:hAnsi="Arial"/>
                <w:sz w:val="18"/>
                <w:szCs w:val="18"/>
                <w:color w:val="auto"/>
              </w:rPr>
              <w:t>121</w:t>
            </w:r>
          </w:p>
        </w:tc>
        <w:tc>
          <w:tcPr>
            <w:tcW w:w="260" w:type="dxa"/>
            <w:vAlign w:val="bottom"/>
          </w:tcPr>
          <w:p>
            <w:pPr>
              <w:spacing w:after="0"/>
              <w:rPr>
                <w:sz w:val="10"/>
                <w:szCs w:val="10"/>
                <w:color w:val="auto"/>
              </w:rPr>
            </w:pPr>
          </w:p>
        </w:tc>
        <w:tc>
          <w:tcPr>
            <w:tcW w:w="900" w:type="dxa"/>
            <w:vAlign w:val="bottom"/>
            <w:gridSpan w:val="2"/>
            <w:vMerge w:val="restart"/>
          </w:tcPr>
          <w:p>
            <w:pPr>
              <w:jc w:val="right"/>
              <w:ind w:right="20"/>
              <w:spacing w:after="0"/>
              <w:rPr>
                <w:sz w:val="20"/>
                <w:szCs w:val="20"/>
                <w:color w:val="auto"/>
              </w:rPr>
            </w:pPr>
            <w:r>
              <w:rPr>
                <w:rFonts w:ascii="Arial" w:cs="Arial" w:eastAsia="Arial" w:hAnsi="Arial"/>
                <w:sz w:val="18"/>
                <w:szCs w:val="18"/>
                <w:color w:val="auto"/>
              </w:rPr>
              <w:t>120</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5900" w:type="dxa"/>
            <w:vAlign w:val="bottom"/>
            <w:gridSpan w:val="2"/>
          </w:tcPr>
          <w:p>
            <w:pPr>
              <w:ind w:left="360"/>
              <w:spacing w:after="0"/>
              <w:rPr>
                <w:sz w:val="20"/>
                <w:szCs w:val="20"/>
                <w:color w:val="auto"/>
              </w:rPr>
            </w:pPr>
            <w:r>
              <w:rPr>
                <w:rFonts w:ascii="Arial" w:cs="Arial" w:eastAsia="Arial" w:hAnsi="Arial"/>
                <w:sz w:val="12"/>
                <w:szCs w:val="12"/>
                <w:color w:val="auto"/>
              </w:rPr>
              <w:t>(2)</w:t>
            </w:r>
          </w:p>
        </w:tc>
        <w:tc>
          <w:tcPr>
            <w:tcW w:w="740" w:type="dxa"/>
            <w:vAlign w:val="bottom"/>
          </w:tcPr>
          <w:p>
            <w:pPr>
              <w:spacing w:after="0"/>
              <w:rPr>
                <w:sz w:val="18"/>
                <w:szCs w:val="18"/>
                <w:color w:val="auto"/>
              </w:rPr>
            </w:pPr>
          </w:p>
        </w:tc>
        <w:tc>
          <w:tcPr>
            <w:tcW w:w="700" w:type="dxa"/>
            <w:vAlign w:val="bottom"/>
            <w:gridSpan w:val="2"/>
            <w:vMerge w:val="continue"/>
          </w:tcPr>
          <w:p>
            <w:pPr>
              <w:spacing w:after="0"/>
              <w:rPr>
                <w:sz w:val="18"/>
                <w:szCs w:val="18"/>
                <w:color w:val="auto"/>
              </w:rPr>
            </w:pPr>
          </w:p>
        </w:tc>
        <w:tc>
          <w:tcPr>
            <w:tcW w:w="720" w:type="dxa"/>
            <w:vAlign w:val="bottom"/>
          </w:tcPr>
          <w:p>
            <w:pPr>
              <w:spacing w:after="0"/>
              <w:rPr>
                <w:sz w:val="18"/>
                <w:szCs w:val="18"/>
                <w:color w:val="auto"/>
              </w:rPr>
            </w:pPr>
          </w:p>
        </w:tc>
        <w:tc>
          <w:tcPr>
            <w:tcW w:w="700" w:type="dxa"/>
            <w:vAlign w:val="bottom"/>
            <w:gridSpan w:val="2"/>
            <w:vMerge w:val="continue"/>
          </w:tcPr>
          <w:p>
            <w:pPr>
              <w:spacing w:after="0"/>
              <w:rPr>
                <w:sz w:val="18"/>
                <w:szCs w:val="18"/>
                <w:color w:val="auto"/>
              </w:rPr>
            </w:pPr>
          </w:p>
        </w:tc>
        <w:tc>
          <w:tcPr>
            <w:tcW w:w="1420" w:type="dxa"/>
            <w:vAlign w:val="bottom"/>
            <w:gridSpan w:val="2"/>
            <w:vMerge w:val="continue"/>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588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6620" w:type="dxa"/>
            <w:vAlign w:val="bottom"/>
            <w:gridSpan w:val="2"/>
          </w:tcPr>
          <w:p>
            <w:pPr>
              <w:spacing w:after="0" w:line="198" w:lineRule="exact"/>
              <w:rPr>
                <w:sz w:val="20"/>
                <w:szCs w:val="20"/>
                <w:color w:val="auto"/>
              </w:rPr>
            </w:pPr>
            <w:r>
              <w:rPr>
                <w:rFonts w:ascii="Arial" w:cs="Arial" w:eastAsia="Arial" w:hAnsi="Arial"/>
                <w:sz w:val="18"/>
                <w:szCs w:val="18"/>
                <w:b w:val="1"/>
                <w:bCs w:val="1"/>
                <w:color w:val="auto"/>
              </w:rPr>
              <w:t>Supply and Logistics activities (average daily volumes in thousands of</w:t>
            </w:r>
          </w:p>
        </w:tc>
        <w:tc>
          <w:tcPr>
            <w:tcW w:w="4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620" w:type="dxa"/>
            <w:vAlign w:val="bottom"/>
            <w:gridSpan w:val="2"/>
          </w:tcPr>
          <w:p>
            <w:pPr>
              <w:ind w:left="160"/>
              <w:spacing w:after="0"/>
              <w:rPr>
                <w:sz w:val="20"/>
                <w:szCs w:val="20"/>
                <w:color w:val="auto"/>
              </w:rPr>
            </w:pPr>
            <w:r>
              <w:rPr>
                <w:rFonts w:ascii="Arial" w:cs="Arial" w:eastAsia="Arial" w:hAnsi="Arial"/>
                <w:sz w:val="18"/>
                <w:szCs w:val="18"/>
                <w:b w:val="1"/>
                <w:bCs w:val="1"/>
                <w:color w:val="auto"/>
              </w:rPr>
              <w:t>barrels per day):</w:t>
            </w:r>
          </w:p>
        </w:tc>
        <w:tc>
          <w:tcPr>
            <w:tcW w:w="4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Crude oil lease gathering purchases</w:t>
            </w:r>
          </w:p>
        </w:tc>
        <w:tc>
          <w:tcPr>
            <w:tcW w:w="7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931</w:t>
            </w:r>
          </w:p>
        </w:tc>
        <w:tc>
          <w:tcPr>
            <w:tcW w:w="7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853</w:t>
            </w:r>
          </w:p>
        </w:tc>
        <w:tc>
          <w:tcPr>
            <w:tcW w:w="1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912</w:t>
            </w:r>
          </w:p>
        </w:tc>
        <w:tc>
          <w:tcPr>
            <w:tcW w:w="2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855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tcPr>
          <w:p>
            <w:pPr>
              <w:ind w:left="160"/>
              <w:spacing w:after="0"/>
              <w:rPr>
                <w:sz w:val="20"/>
                <w:szCs w:val="20"/>
                <w:color w:val="auto"/>
              </w:rPr>
            </w:pPr>
            <w:r>
              <w:rPr>
                <w:rFonts w:ascii="Arial" w:cs="Arial" w:eastAsia="Arial" w:hAnsi="Arial"/>
                <w:sz w:val="18"/>
                <w:szCs w:val="18"/>
                <w:color w:val="auto"/>
              </w:rPr>
              <w:t>NGL sales</w:t>
            </w:r>
          </w:p>
        </w:tc>
        <w:tc>
          <w:tcPr>
            <w:tcW w:w="700" w:type="dxa"/>
            <w:vAlign w:val="bottom"/>
            <w:gridSpan w:val="2"/>
          </w:tcPr>
          <w:p>
            <w:pPr>
              <w:jc w:val="right"/>
              <w:ind w:right="280"/>
              <w:spacing w:after="0"/>
              <w:rPr>
                <w:sz w:val="20"/>
                <w:szCs w:val="20"/>
                <w:color w:val="auto"/>
              </w:rPr>
            </w:pPr>
            <w:r>
              <w:rPr>
                <w:rFonts w:ascii="Arial" w:cs="Arial" w:eastAsia="Arial" w:hAnsi="Arial"/>
                <w:sz w:val="18"/>
                <w:szCs w:val="18"/>
                <w:color w:val="auto"/>
              </w:rPr>
              <w:t>139</w:t>
            </w:r>
          </w:p>
        </w:tc>
        <w:tc>
          <w:tcPr>
            <w:tcW w:w="720" w:type="dxa"/>
            <w:vAlign w:val="bottom"/>
          </w:tcPr>
          <w:p>
            <w:pPr>
              <w:spacing w:after="0"/>
              <w:rPr>
                <w:sz w:val="18"/>
                <w:szCs w:val="18"/>
                <w:color w:val="auto"/>
              </w:rPr>
            </w:pPr>
          </w:p>
        </w:tc>
        <w:tc>
          <w:tcPr>
            <w:tcW w:w="700" w:type="dxa"/>
            <w:vAlign w:val="bottom"/>
            <w:gridSpan w:val="2"/>
          </w:tcPr>
          <w:p>
            <w:pPr>
              <w:jc w:val="right"/>
              <w:ind w:right="280"/>
              <w:spacing w:after="0"/>
              <w:rPr>
                <w:sz w:val="20"/>
                <w:szCs w:val="20"/>
                <w:color w:val="auto"/>
              </w:rPr>
            </w:pPr>
            <w:r>
              <w:rPr>
                <w:rFonts w:ascii="Arial" w:cs="Arial" w:eastAsia="Arial" w:hAnsi="Arial"/>
                <w:sz w:val="18"/>
                <w:szCs w:val="18"/>
                <w:color w:val="auto"/>
              </w:rPr>
              <w:t>160</w:t>
            </w: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205</w:t>
            </w:r>
          </w:p>
        </w:tc>
        <w:tc>
          <w:tcPr>
            <w:tcW w:w="26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221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Waterborne cargos</w:t>
            </w:r>
          </w:p>
        </w:tc>
        <w:tc>
          <w:tcPr>
            <w:tcW w:w="1420" w:type="dxa"/>
            <w:vAlign w:val="bottom"/>
            <w:gridSpan w:val="3"/>
            <w:shd w:val="clear" w:color="auto" w:fill="CCEEFF"/>
          </w:tcPr>
          <w:p>
            <w:pPr>
              <w:jc w:val="right"/>
              <w:ind w:right="100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w:t>
            </w:r>
          </w:p>
        </w:tc>
        <w:tc>
          <w:tcPr>
            <w:tcW w:w="168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880" w:type="dxa"/>
            <w:vAlign w:val="bottom"/>
          </w:tcPr>
          <w:p>
            <w:pPr>
              <w:ind w:left="340"/>
              <w:spacing w:after="0"/>
              <w:rPr>
                <w:sz w:val="20"/>
                <w:szCs w:val="20"/>
                <w:color w:val="auto"/>
              </w:rPr>
            </w:pPr>
            <w:r>
              <w:rPr>
                <w:rFonts w:ascii="Arial" w:cs="Arial" w:eastAsia="Arial" w:hAnsi="Arial"/>
                <w:sz w:val="18"/>
                <w:szCs w:val="18"/>
                <w:color w:val="auto"/>
              </w:rPr>
              <w:t>Supply and Logistics activities total</w:t>
            </w:r>
          </w:p>
        </w:tc>
        <w:tc>
          <w:tcPr>
            <w:tcW w:w="740" w:type="dxa"/>
            <w:vAlign w:val="bottom"/>
            <w:tcBorders>
              <w:top w:val="single" w:sz="8" w:color="auto"/>
              <w:bottom w:val="single" w:sz="8" w:color="auto"/>
            </w:tcBorders>
          </w:tcPr>
          <w:p>
            <w:pPr>
              <w:spacing w:after="0"/>
              <w:rPr>
                <w:sz w:val="18"/>
                <w:szCs w:val="18"/>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1,070</w:t>
            </w:r>
          </w:p>
        </w:tc>
        <w:tc>
          <w:tcPr>
            <w:tcW w:w="280" w:type="dxa"/>
            <w:vAlign w:val="bottom"/>
          </w:tcPr>
          <w:p>
            <w:pPr>
              <w:spacing w:after="0"/>
              <w:rPr>
                <w:sz w:val="18"/>
                <w:szCs w:val="18"/>
                <w:color w:val="auto"/>
              </w:rPr>
            </w:pPr>
          </w:p>
        </w:tc>
        <w:tc>
          <w:tcPr>
            <w:tcW w:w="720" w:type="dxa"/>
            <w:vAlign w:val="bottom"/>
            <w:tcBorders>
              <w:top w:val="single" w:sz="8" w:color="auto"/>
              <w:bottom w:val="single" w:sz="8" w:color="auto"/>
            </w:tcBorders>
          </w:tcPr>
          <w:p>
            <w:pPr>
              <w:spacing w:after="0"/>
              <w:rPr>
                <w:sz w:val="18"/>
                <w:szCs w:val="18"/>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1,020</w:t>
            </w:r>
          </w:p>
        </w:tc>
        <w:tc>
          <w:tcPr>
            <w:tcW w:w="280" w:type="dxa"/>
            <w:vAlign w:val="bottom"/>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1,117</w:t>
            </w:r>
          </w:p>
        </w:tc>
        <w:tc>
          <w:tcPr>
            <w:tcW w:w="280" w:type="dxa"/>
            <w:vAlign w:val="bottom"/>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1,082</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8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180" w:right="400" w:hanging="172"/>
        <w:spacing w:after="0" w:line="274" w:lineRule="auto"/>
        <w:tabs>
          <w:tab w:leader="none" w:pos="164" w:val="left"/>
        </w:tabs>
        <w:numPr>
          <w:ilvl w:val="0"/>
          <w:numId w:val="23"/>
        </w:numPr>
        <w:rPr>
          <w:rFonts w:ascii="Arial" w:cs="Arial" w:eastAsia="Arial" w:hAnsi="Arial"/>
          <w:sz w:val="19"/>
          <w:szCs w:val="19"/>
          <w:color w:val="auto"/>
          <w:vertAlign w:val="superscript"/>
        </w:rPr>
      </w:pPr>
      <w:r>
        <w:rPr>
          <w:rFonts w:ascii="Arial" w:cs="Arial" w:eastAsia="Arial" w:hAnsi="Arial"/>
          <w:sz w:val="15"/>
          <w:szCs w:val="15"/>
          <w:color w:val="auto"/>
        </w:rPr>
        <w:t>Volumes associated with assets employed through acquisitions and internal growth projects represent total volumes (attributable to our interest) for the number of days or months we employed the assets divided by the number of days or months in the period.</w:t>
      </w:r>
    </w:p>
    <w:p>
      <w:pPr>
        <w:ind w:left="180" w:right="40" w:hanging="172"/>
        <w:spacing w:after="0" w:line="294" w:lineRule="auto"/>
        <w:tabs>
          <w:tab w:leader="none" w:pos="164" w:val="left"/>
        </w:tabs>
        <w:numPr>
          <w:ilvl w:val="0"/>
          <w:numId w:val="23"/>
        </w:numPr>
        <w:rPr>
          <w:rFonts w:ascii="Arial" w:cs="Arial" w:eastAsia="Arial" w:hAnsi="Arial"/>
          <w:sz w:val="19"/>
          <w:szCs w:val="19"/>
          <w:color w:val="auto"/>
          <w:vertAlign w:val="superscript"/>
        </w:rPr>
      </w:pPr>
      <w:r>
        <w:rPr>
          <w:rFonts w:ascii="Arial" w:cs="Arial" w:eastAsia="Arial" w:hAnsi="Arial"/>
          <w:sz w:val="15"/>
          <w:szCs w:val="15"/>
          <w:color w:val="auto"/>
        </w:rPr>
        <w:t>Facilities total is calculated as the sum of: (i) crude oil, refined products and NGL terminalling and storage capacity; (ii) rail load and unload volumes multiplied by the number of days in the period and divided by the number of months in the period; (iii) natural gas storage capacity divided by 6 to account for the 6:1 mcf of gas to crude Btu equivalent ratio and further divided by 1,000 to convert to monthly volumes in millions; and (iv) NGL fractionation volumes multiplied by the number of days in the period and divided by the number of months in the period.</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more –</w:t>
      </w:r>
    </w:p>
    <w:p>
      <w:pPr>
        <w:spacing w:after="0" w:line="46" w:lineRule="exact"/>
        <w:rPr>
          <w:sz w:val="20"/>
          <w:szCs w:val="20"/>
          <w:color w:val="auto"/>
        </w:rPr>
      </w:pPr>
    </w:p>
    <w:p>
      <w:pPr>
        <w:ind w:left="2200"/>
        <w:spacing w:after="0"/>
        <w:tabs>
          <w:tab w:leader="none" w:pos="4700" w:val="left"/>
          <w:tab w:leader="none" w:pos="6820" w:val="left"/>
        </w:tabs>
        <w:rPr>
          <w:sz w:val="20"/>
          <w:szCs w:val="20"/>
          <w:color w:val="auto"/>
        </w:rPr>
      </w:pPr>
      <w:r>
        <w:rPr>
          <w:rFonts w:ascii="Arial" w:cs="Arial" w:eastAsia="Arial" w:hAnsi="Arial"/>
          <w:sz w:val="18"/>
          <w:szCs w:val="18"/>
          <w:b w:val="1"/>
          <w:bCs w:val="1"/>
          <w:color w:val="auto"/>
        </w:rPr>
        <w:t>333 Clay Street, Suite 1600</w:t>
      </w:r>
      <w:r>
        <w:rPr>
          <w:sz w:val="20"/>
          <w:szCs w:val="20"/>
          <w:color w:val="auto"/>
        </w:rPr>
        <w:tab/>
      </w:r>
      <w:r>
        <w:rPr>
          <w:rFonts w:ascii="Arial" w:cs="Arial" w:eastAsia="Arial" w:hAnsi="Arial"/>
          <w:sz w:val="18"/>
          <w:szCs w:val="18"/>
          <w:b w:val="1"/>
          <w:bCs w:val="1"/>
          <w:color w:val="auto"/>
        </w:rPr>
        <w:t>Houston, Texas 77002</w:t>
      </w:r>
      <w:r>
        <w:rPr>
          <w:sz w:val="20"/>
          <w:szCs w:val="20"/>
          <w:color w:val="auto"/>
        </w:rPr>
        <w:tab/>
      </w:r>
      <w:r>
        <w:rPr>
          <w:rFonts w:ascii="Arial" w:cs="Arial" w:eastAsia="Arial" w:hAnsi="Arial"/>
          <w:sz w:val="16"/>
          <w:szCs w:val="16"/>
          <w:b w:val="1"/>
          <w:bCs w:val="1"/>
          <w:color w:val="auto"/>
        </w:rPr>
        <w:t>(713) 646-4100 / (866) 809-1291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24662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220980</wp:posOffset>
            </wp:positionV>
            <wp:extent cx="7267575" cy="298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Page 11</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FINANCIAL SUMMARY </w:t>
      </w:r>
      <w:r>
        <w:rPr>
          <w:rFonts w:ascii="Arial" w:cs="Arial" w:eastAsia="Arial" w:hAnsi="Arial"/>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14" w:lineRule="exact"/>
        <w:rPr>
          <w:sz w:val="20"/>
          <w:szCs w:val="20"/>
          <w:color w:val="auto"/>
        </w:rPr>
      </w:pPr>
    </w:p>
    <w:p>
      <w:pPr>
        <w:ind w:right="4220"/>
        <w:spacing w:after="0" w:line="282" w:lineRule="auto"/>
        <w:rPr>
          <w:sz w:val="20"/>
          <w:szCs w:val="20"/>
          <w:color w:val="auto"/>
        </w:rPr>
      </w:pPr>
      <w:r>
        <w:rPr>
          <w:rFonts w:ascii="Arial" w:cs="Arial" w:eastAsia="Arial" w:hAnsi="Arial"/>
          <w:sz w:val="18"/>
          <w:szCs w:val="18"/>
          <w:b w:val="1"/>
          <w:bCs w:val="1"/>
          <w:u w:val="single" w:color="auto"/>
          <w:color w:val="auto"/>
        </w:rPr>
        <w:t xml:space="preserve">COMPUTATION OF BASIC AND DILUTED EARNINGS PER LIMITED PARTNER UNIT </w:t>
      </w:r>
      <w:r>
        <w:rPr>
          <w:rFonts w:ascii="Arial" w:cs="Arial" w:eastAsia="Arial" w:hAnsi="Arial"/>
          <w:sz w:val="18"/>
          <w:szCs w:val="18"/>
          <w:color w:val="auto"/>
        </w:rPr>
        <w:t>(in millions, except per unit data)</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2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480" w:type="dxa"/>
            <w:vAlign w:val="bottom"/>
            <w:gridSpan w:val="6"/>
          </w:tcPr>
          <w:p>
            <w:pPr>
              <w:jc w:val="center"/>
              <w:ind w:right="380"/>
              <w:spacing w:after="0"/>
              <w:rPr>
                <w:sz w:val="20"/>
                <w:szCs w:val="20"/>
                <w:color w:val="auto"/>
              </w:rPr>
            </w:pPr>
            <w:r>
              <w:rPr>
                <w:rFonts w:ascii="Arial" w:cs="Arial" w:eastAsia="Arial" w:hAnsi="Arial"/>
                <w:sz w:val="14"/>
                <w:szCs w:val="14"/>
                <w:b w:val="1"/>
                <w:bCs w:val="1"/>
                <w:color w:val="auto"/>
                <w:w w:val="93"/>
              </w:rPr>
              <w:t>Three Months Ended</w:t>
            </w:r>
          </w:p>
        </w:tc>
        <w:tc>
          <w:tcPr>
            <w:tcW w:w="1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380" w:type="dxa"/>
            <w:vAlign w:val="bottom"/>
            <w:gridSpan w:val="5"/>
          </w:tcPr>
          <w:p>
            <w:pPr>
              <w:jc w:val="center"/>
              <w:ind w:right="360"/>
              <w:spacing w:after="0"/>
              <w:rPr>
                <w:sz w:val="20"/>
                <w:szCs w:val="20"/>
                <w:color w:val="auto"/>
              </w:rPr>
            </w:pPr>
            <w:r>
              <w:rPr>
                <w:rFonts w:ascii="Arial" w:cs="Arial" w:eastAsia="Arial" w:hAnsi="Arial"/>
                <w:sz w:val="14"/>
                <w:szCs w:val="14"/>
                <w:b w:val="1"/>
                <w:bCs w:val="1"/>
                <w:color w:val="auto"/>
                <w:w w:val="93"/>
              </w:rPr>
              <w:t>Six Months Ended</w:t>
            </w:r>
          </w:p>
        </w:tc>
      </w:tr>
      <w:tr>
        <w:trPr>
          <w:trHeight w:val="171"/>
        </w:trPr>
        <w:tc>
          <w:tcPr>
            <w:tcW w:w="46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gridSpan w:val="4"/>
          </w:tcPr>
          <w:p>
            <w:pPr>
              <w:jc w:val="center"/>
              <w:ind w:left="564"/>
              <w:spacing w:after="0"/>
              <w:rPr>
                <w:sz w:val="20"/>
                <w:szCs w:val="20"/>
                <w:color w:val="auto"/>
              </w:rPr>
            </w:pPr>
            <w:r>
              <w:rPr>
                <w:rFonts w:ascii="Arial" w:cs="Arial" w:eastAsia="Arial" w:hAnsi="Arial"/>
                <w:sz w:val="14"/>
                <w:szCs w:val="14"/>
                <w:b w:val="1"/>
                <w:bCs w:val="1"/>
                <w:color w:val="auto"/>
                <w:w w:val="89"/>
              </w:rPr>
              <w:t>June 30,</w:t>
            </w:r>
          </w:p>
        </w:tc>
        <w:tc>
          <w:tcPr>
            <w:tcW w:w="88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3"/>
          </w:tcPr>
          <w:p>
            <w:pPr>
              <w:jc w:val="center"/>
              <w:ind w:left="524"/>
              <w:spacing w:after="0"/>
              <w:rPr>
                <w:sz w:val="20"/>
                <w:szCs w:val="20"/>
                <w:color w:val="auto"/>
              </w:rPr>
            </w:pPr>
            <w:r>
              <w:rPr>
                <w:rFonts w:ascii="Arial" w:cs="Arial" w:eastAsia="Arial" w:hAnsi="Arial"/>
                <w:sz w:val="14"/>
                <w:szCs w:val="14"/>
                <w:b w:val="1"/>
                <w:bCs w:val="1"/>
                <w:color w:val="auto"/>
                <w:w w:val="89"/>
              </w:rPr>
              <w:t>June 30,</w:t>
            </w:r>
          </w:p>
        </w:tc>
        <w:tc>
          <w:tcPr>
            <w:tcW w:w="8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4620" w:type="dxa"/>
            <w:vAlign w:val="bottom"/>
            <w:tcBorders>
              <w:bottom w:val="single" w:sz="8" w:color="CCEEFF"/>
            </w:tcBorders>
          </w:tcPr>
          <w:p>
            <w:pPr>
              <w:spacing w:after="0"/>
              <w:rPr>
                <w:sz w:val="12"/>
                <w:szCs w:val="12"/>
                <w:color w:val="auto"/>
              </w:rPr>
            </w:pPr>
          </w:p>
        </w:tc>
        <w:tc>
          <w:tcPr>
            <w:tcW w:w="128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364"/>
              <w:spacing w:after="0" w:line="142" w:lineRule="exact"/>
              <w:rPr>
                <w:sz w:val="20"/>
                <w:szCs w:val="20"/>
                <w:color w:val="auto"/>
              </w:rPr>
            </w:pPr>
            <w:r>
              <w:rPr>
                <w:rFonts w:ascii="Arial" w:cs="Arial" w:eastAsia="Arial" w:hAnsi="Arial"/>
                <w:sz w:val="14"/>
                <w:szCs w:val="14"/>
                <w:b w:val="1"/>
                <w:bCs w:val="1"/>
                <w:color w:val="auto"/>
              </w:rPr>
              <w:t>2014</w:t>
            </w:r>
          </w:p>
        </w:tc>
        <w:tc>
          <w:tcPr>
            <w:tcW w:w="140" w:type="dxa"/>
            <w:vAlign w:val="bottom"/>
            <w:tcBorders>
              <w:bottom w:val="single" w:sz="8" w:color="CCEEFF"/>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339"/>
              <w:spacing w:after="0" w:line="142" w:lineRule="exact"/>
              <w:rPr>
                <w:sz w:val="20"/>
                <w:szCs w:val="20"/>
                <w:color w:val="auto"/>
              </w:rPr>
            </w:pPr>
            <w:r>
              <w:rPr>
                <w:rFonts w:ascii="Arial" w:cs="Arial" w:eastAsia="Arial" w:hAnsi="Arial"/>
                <w:sz w:val="14"/>
                <w:szCs w:val="14"/>
                <w:b w:val="1"/>
                <w:bCs w:val="1"/>
                <w:color w:val="auto"/>
              </w:rPr>
              <w:t>2013</w:t>
            </w:r>
          </w:p>
        </w:tc>
        <w:tc>
          <w:tcPr>
            <w:tcW w:w="140" w:type="dxa"/>
            <w:vAlign w:val="bottom"/>
            <w:tcBorders>
              <w:bottom w:val="single" w:sz="8" w:color="CCEEFF"/>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324"/>
              <w:spacing w:after="0" w:line="142" w:lineRule="exact"/>
              <w:rPr>
                <w:sz w:val="20"/>
                <w:szCs w:val="20"/>
                <w:color w:val="auto"/>
              </w:rPr>
            </w:pPr>
            <w:r>
              <w:rPr>
                <w:rFonts w:ascii="Arial" w:cs="Arial" w:eastAsia="Arial" w:hAnsi="Arial"/>
                <w:sz w:val="14"/>
                <w:szCs w:val="14"/>
                <w:b w:val="1"/>
                <w:bCs w:val="1"/>
                <w:color w:val="auto"/>
              </w:rPr>
              <w:t>2014</w:t>
            </w:r>
          </w:p>
        </w:tc>
        <w:tc>
          <w:tcPr>
            <w:tcW w:w="30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339"/>
              <w:spacing w:after="0" w:line="142" w:lineRule="exact"/>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12"/>
                <w:szCs w:val="12"/>
                <w:color w:val="auto"/>
              </w:rPr>
            </w:pPr>
          </w:p>
        </w:tc>
      </w:tr>
      <w:tr>
        <w:trPr>
          <w:trHeight w:val="196"/>
        </w:trPr>
        <w:tc>
          <w:tcPr>
            <w:tcW w:w="462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Basic Net Income per Limited Partner Unit</w:t>
            </w:r>
          </w:p>
        </w:tc>
        <w:tc>
          <w:tcPr>
            <w:tcW w:w="12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Net income attributable to PAA</w:t>
            </w:r>
          </w:p>
        </w:tc>
        <w:tc>
          <w:tcPr>
            <w:tcW w:w="15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287</w:t>
            </w:r>
          </w:p>
        </w:tc>
        <w:tc>
          <w:tcPr>
            <w:tcW w:w="4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292</w:t>
            </w:r>
          </w:p>
        </w:tc>
        <w:tc>
          <w:tcPr>
            <w:tcW w:w="4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300"/>
              <w:spacing w:after="0"/>
              <w:rPr>
                <w:sz w:val="20"/>
                <w:szCs w:val="20"/>
                <w:color w:val="auto"/>
              </w:rPr>
            </w:pPr>
            <w:r>
              <w:rPr>
                <w:rFonts w:ascii="Arial" w:cs="Arial" w:eastAsia="Arial" w:hAnsi="Arial"/>
                <w:sz w:val="18"/>
                <w:szCs w:val="18"/>
                <w:color w:val="auto"/>
              </w:rPr>
              <w:t>671</w:t>
            </w: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821</w:t>
            </w:r>
          </w:p>
        </w:tc>
      </w:tr>
      <w:tr>
        <w:trPr>
          <w:trHeight w:val="178"/>
        </w:trPr>
        <w:tc>
          <w:tcPr>
            <w:tcW w:w="462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r>
    </w:tbl>
    <w:p>
      <w:pPr>
        <w:sectPr>
          <w:pgSz w:w="11900" w:h="16900" w:orient="portrait"/>
          <w:cols w:equalWidth="0" w:num="1">
            <w:col w:w="11420"/>
          </w:cols>
          <w:pgMar w:left="240" w:top="347" w:right="239" w:bottom="0" w:gutter="0" w:footer="0" w:header="0"/>
        </w:sectPr>
      </w:pPr>
    </w:p>
    <w:bookmarkStart w:id="14" w:name="page15"/>
    <w:bookmarkEnd w:id="1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20" w:type="dxa"/>
            <w:vAlign w:val="bottom"/>
          </w:tcPr>
          <w:p>
            <w:pPr>
              <w:spacing w:after="0"/>
              <w:rPr>
                <w:sz w:val="22"/>
                <w:szCs w:val="22"/>
                <w:color w:val="auto"/>
              </w:rPr>
            </w:pPr>
          </w:p>
        </w:tc>
        <w:tc>
          <w:tcPr>
            <w:tcW w:w="57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 xml:space="preserve">Less: General partner’s incentive distribution </w:t>
            </w:r>
            <w:r>
              <w:rPr>
                <w:rFonts w:ascii="Arial" w:cs="Arial" w:eastAsia="Arial" w:hAnsi="Arial"/>
                <w:sz w:val="23"/>
                <w:szCs w:val="23"/>
                <w:color w:val="auto"/>
                <w:vertAlign w:val="superscript"/>
              </w:rPr>
              <w:t>(1)</w:t>
            </w:r>
          </w:p>
        </w:tc>
        <w:tc>
          <w:tcPr>
            <w:tcW w:w="140" w:type="dxa"/>
            <w:vAlign w:val="bottom"/>
            <w:shd w:val="clear" w:color="auto" w:fill="CCEEFF"/>
          </w:tcPr>
          <w:p>
            <w:pPr>
              <w:spacing w:after="0"/>
              <w:rPr>
                <w:sz w:val="22"/>
                <w:szCs w:val="22"/>
                <w:color w:val="auto"/>
              </w:rPr>
            </w:pPr>
          </w:p>
        </w:tc>
        <w:tc>
          <w:tcPr>
            <w:tcW w:w="460" w:type="dxa"/>
            <w:vAlign w:val="bottom"/>
            <w:shd w:val="clear" w:color="auto" w:fill="CCEEFF"/>
          </w:tcPr>
          <w:p>
            <w:pPr>
              <w:spacing w:after="0"/>
              <w:rPr>
                <w:sz w:val="22"/>
                <w:szCs w:val="22"/>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(117)</w:t>
            </w:r>
          </w:p>
        </w:tc>
        <w:tc>
          <w:tcPr>
            <w:tcW w:w="120" w:type="dxa"/>
            <w:vAlign w:val="bottom"/>
            <w:shd w:val="clear" w:color="auto" w:fill="CCEEFF"/>
          </w:tcPr>
          <w:p>
            <w:pPr>
              <w:spacing w:after="0"/>
              <w:rPr>
                <w:sz w:val="22"/>
                <w:szCs w:val="22"/>
                <w:color w:val="auto"/>
              </w:rPr>
            </w:pPr>
          </w:p>
        </w:tc>
        <w:tc>
          <w:tcPr>
            <w:tcW w:w="460" w:type="dxa"/>
            <w:vAlign w:val="bottom"/>
            <w:shd w:val="clear" w:color="auto" w:fill="CCEEFF"/>
          </w:tcPr>
          <w:p>
            <w:pPr>
              <w:spacing w:after="0"/>
              <w:rPr>
                <w:sz w:val="22"/>
                <w:szCs w:val="22"/>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(91)</w:t>
            </w:r>
          </w:p>
        </w:tc>
        <w:tc>
          <w:tcPr>
            <w:tcW w:w="10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(227)</w:t>
            </w:r>
          </w:p>
        </w:tc>
        <w:tc>
          <w:tcPr>
            <w:tcW w:w="440" w:type="dxa"/>
            <w:vAlign w:val="bottom"/>
            <w:shd w:val="clear" w:color="auto" w:fill="CCEEFF"/>
          </w:tcPr>
          <w:p>
            <w:pPr>
              <w:spacing w:after="0"/>
              <w:rPr>
                <w:sz w:val="22"/>
                <w:szCs w:val="22"/>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tcPr>
          <w:p>
            <w:pPr>
              <w:ind w:left="160"/>
              <w:spacing w:after="0" w:line="216" w:lineRule="exact"/>
              <w:rPr>
                <w:sz w:val="20"/>
                <w:szCs w:val="20"/>
                <w:color w:val="auto"/>
              </w:rPr>
            </w:pPr>
            <w:r>
              <w:rPr>
                <w:rFonts w:ascii="Arial" w:cs="Arial" w:eastAsia="Arial" w:hAnsi="Arial"/>
                <w:sz w:val="18"/>
                <w:szCs w:val="18"/>
                <w:color w:val="auto"/>
              </w:rPr>
              <w:t xml:space="preserve">Less: General partner 2% ownership </w:t>
            </w:r>
            <w:r>
              <w:rPr>
                <w:rFonts w:ascii="Arial" w:cs="Arial" w:eastAsia="Arial" w:hAnsi="Arial"/>
                <w:sz w:val="23"/>
                <w:szCs w:val="23"/>
                <w:color w:val="auto"/>
                <w:vertAlign w:val="superscript"/>
              </w:rPr>
              <w:t>(1)</w:t>
            </w: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8"/>
                <w:szCs w:val="18"/>
                <w:color w:val="auto"/>
              </w:rPr>
              <w:t>(9)</w:t>
            </w:r>
          </w:p>
        </w:tc>
        <w:tc>
          <w:tcPr>
            <w:tcW w:w="44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740" w:type="dxa"/>
            <w:vAlign w:val="bottom"/>
            <w:tcBorders>
              <w:top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Net income available to limited partners</w:t>
            </w:r>
          </w:p>
        </w:tc>
        <w:tc>
          <w:tcPr>
            <w:tcW w:w="14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197</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435</w:t>
            </w:r>
          </w:p>
        </w:tc>
        <w:tc>
          <w:tcPr>
            <w:tcW w:w="30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631</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740" w:type="dxa"/>
            <w:vAlign w:val="bottom"/>
          </w:tcPr>
          <w:p>
            <w:pPr>
              <w:ind w:left="160"/>
              <w:spacing w:after="0" w:line="201" w:lineRule="exact"/>
              <w:rPr>
                <w:sz w:val="20"/>
                <w:szCs w:val="20"/>
                <w:color w:val="auto"/>
              </w:rPr>
            </w:pPr>
            <w:r>
              <w:rPr>
                <w:rFonts w:ascii="Arial" w:cs="Arial" w:eastAsia="Arial" w:hAnsi="Arial"/>
                <w:sz w:val="18"/>
                <w:szCs w:val="18"/>
                <w:color w:val="auto"/>
                <w:w w:val="98"/>
              </w:rPr>
              <w:t>Less: Undistributed earnings allocated and distributions to participating</w:t>
            </w: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740" w:type="dxa"/>
            <w:vAlign w:val="bottom"/>
          </w:tcPr>
          <w:p>
            <w:pPr>
              <w:ind w:left="340"/>
              <w:spacing w:after="0" w:line="231" w:lineRule="exact"/>
              <w:rPr>
                <w:sz w:val="20"/>
                <w:szCs w:val="20"/>
                <w:color w:val="auto"/>
              </w:rPr>
            </w:pPr>
            <w:r>
              <w:rPr>
                <w:rFonts w:ascii="Arial" w:cs="Arial" w:eastAsia="Arial" w:hAnsi="Arial"/>
                <w:sz w:val="18"/>
                <w:szCs w:val="18"/>
                <w:color w:val="auto"/>
              </w:rPr>
              <w:t xml:space="preserve">securities </w:t>
            </w:r>
            <w:r>
              <w:rPr>
                <w:rFonts w:ascii="Arial" w:cs="Arial" w:eastAsia="Arial" w:hAnsi="Arial"/>
                <w:sz w:val="23"/>
                <w:szCs w:val="23"/>
                <w:color w:val="auto"/>
                <w:vertAlign w:val="superscript"/>
              </w:rPr>
              <w:t>(1)</w:t>
            </w:r>
          </w:p>
        </w:tc>
        <w:tc>
          <w:tcPr>
            <w:tcW w:w="1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8"/>
                <w:szCs w:val="18"/>
                <w:color w:val="auto"/>
              </w:rPr>
              <w:t>(3)</w:t>
            </w:r>
          </w:p>
        </w:tc>
        <w:tc>
          <w:tcPr>
            <w:tcW w:w="440" w:type="dxa"/>
            <w:vAlign w:val="bottom"/>
          </w:tcPr>
          <w:p>
            <w:pPr>
              <w:spacing w:after="0"/>
              <w:rPr>
                <w:sz w:val="20"/>
                <w:szCs w:val="20"/>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40" w:type="dxa"/>
            <w:vAlign w:val="bottom"/>
            <w:vMerge w:val="restart"/>
            <w:shd w:val="clear" w:color="auto" w:fill="CCEEFF"/>
          </w:tcPr>
          <w:p>
            <w:pPr>
              <w:spacing w:after="0" w:line="201" w:lineRule="exact"/>
              <w:rPr>
                <w:sz w:val="20"/>
                <w:szCs w:val="20"/>
                <w:color w:val="auto"/>
              </w:rPr>
            </w:pPr>
            <w:r>
              <w:rPr>
                <w:rFonts w:ascii="Arial" w:cs="Arial" w:eastAsia="Arial" w:hAnsi="Arial"/>
                <w:sz w:val="18"/>
                <w:szCs w:val="18"/>
                <w:color w:val="auto"/>
                <w:w w:val="93"/>
              </w:rPr>
              <w:t>Net income available to limited partners in accordance with application of the</w:t>
            </w:r>
          </w:p>
        </w:tc>
        <w:tc>
          <w:tcPr>
            <w:tcW w:w="140" w:type="dxa"/>
            <w:vAlign w:val="bottom"/>
            <w:shd w:val="clear" w:color="auto" w:fill="CCEE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20" w:type="dxa"/>
            <w:vAlign w:val="bottom"/>
          </w:tcPr>
          <w:p>
            <w:pPr>
              <w:spacing w:after="0"/>
              <w:rPr>
                <w:sz w:val="15"/>
                <w:szCs w:val="15"/>
                <w:color w:val="auto"/>
              </w:rPr>
            </w:pPr>
          </w:p>
        </w:tc>
        <w:tc>
          <w:tcPr>
            <w:tcW w:w="5740" w:type="dxa"/>
            <w:vAlign w:val="bottom"/>
            <w:vMerge w:val="continue"/>
            <w:shd w:val="clear" w:color="auto" w:fill="CCEEFF"/>
          </w:tcPr>
          <w:p>
            <w:pPr>
              <w:spacing w:after="0"/>
              <w:rPr>
                <w:sz w:val="15"/>
                <w:szCs w:val="15"/>
                <w:color w:val="auto"/>
              </w:rPr>
            </w:pPr>
          </w:p>
        </w:tc>
        <w:tc>
          <w:tcPr>
            <w:tcW w:w="140" w:type="dxa"/>
            <w:vAlign w:val="bottom"/>
            <w:vMerge w:val="restart"/>
            <w:shd w:val="clear" w:color="auto" w:fill="CCEEFF"/>
          </w:tcPr>
          <w:p>
            <w:pPr>
              <w:spacing w:after="0"/>
              <w:rPr>
                <w:sz w:val="15"/>
                <w:szCs w:val="15"/>
                <w:color w:val="auto"/>
              </w:rPr>
            </w:pPr>
          </w:p>
        </w:tc>
        <w:tc>
          <w:tcPr>
            <w:tcW w:w="460" w:type="dxa"/>
            <w:vAlign w:val="bottom"/>
            <w:vMerge w:val="restart"/>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165</w:t>
            </w:r>
          </w:p>
        </w:tc>
        <w:tc>
          <w:tcPr>
            <w:tcW w:w="180" w:type="dxa"/>
            <w:vAlign w:val="bottom"/>
            <w:vMerge w:val="restart"/>
            <w:shd w:val="clear" w:color="auto" w:fill="CCEEFF"/>
          </w:tcPr>
          <w:p>
            <w:pPr>
              <w:spacing w:after="0"/>
              <w:rPr>
                <w:sz w:val="15"/>
                <w:szCs w:val="15"/>
                <w:color w:val="auto"/>
              </w:rPr>
            </w:pPr>
          </w:p>
        </w:tc>
        <w:tc>
          <w:tcPr>
            <w:tcW w:w="580" w:type="dxa"/>
            <w:vAlign w:val="bottom"/>
            <w:gridSpan w:val="2"/>
            <w:vMerge w:val="restart"/>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8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196</w:t>
            </w:r>
          </w:p>
        </w:tc>
        <w:tc>
          <w:tcPr>
            <w:tcW w:w="540" w:type="dxa"/>
            <w:vAlign w:val="bottom"/>
            <w:gridSpan w:val="2"/>
            <w:vMerge w:val="restart"/>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980" w:type="dxa"/>
            <w:vAlign w:val="bottom"/>
            <w:gridSpan w:val="2"/>
            <w:vMerge w:val="restart"/>
            <w:shd w:val="clear" w:color="auto" w:fill="CCEEFF"/>
          </w:tcPr>
          <w:p>
            <w:pPr>
              <w:jc w:val="right"/>
              <w:ind w:right="300"/>
              <w:spacing w:after="0"/>
              <w:rPr>
                <w:sz w:val="20"/>
                <w:szCs w:val="20"/>
                <w:color w:val="auto"/>
              </w:rPr>
            </w:pPr>
            <w:r>
              <w:rPr>
                <w:rFonts w:ascii="Arial" w:cs="Arial" w:eastAsia="Arial" w:hAnsi="Arial"/>
                <w:sz w:val="18"/>
                <w:szCs w:val="18"/>
                <w:color w:val="auto"/>
              </w:rPr>
              <w:t>432</w:t>
            </w:r>
          </w:p>
        </w:tc>
        <w:tc>
          <w:tcPr>
            <w:tcW w:w="440" w:type="dxa"/>
            <w:vAlign w:val="bottom"/>
            <w:vMerge w:val="restart"/>
            <w:shd w:val="clear" w:color="auto" w:fill="CCEEFF"/>
          </w:tcPr>
          <w:p>
            <w:pPr>
              <w:jc w:val="right"/>
              <w:ind w:right="285"/>
              <w:spacing w:after="0"/>
              <w:rPr>
                <w:sz w:val="20"/>
                <w:szCs w:val="20"/>
                <w:color w:val="auto"/>
              </w:rPr>
            </w:pPr>
            <w:r>
              <w:rPr>
                <w:rFonts w:ascii="Arial" w:cs="Arial" w:eastAsia="Arial" w:hAnsi="Arial"/>
                <w:sz w:val="15"/>
                <w:szCs w:val="15"/>
                <w:color w:val="auto"/>
                <w:w w:val="71"/>
              </w:rPr>
              <w:t>$</w:t>
            </w:r>
          </w:p>
        </w:tc>
        <w:tc>
          <w:tcPr>
            <w:tcW w:w="78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626</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7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two-class method for MLPs</w:t>
            </w:r>
          </w:p>
        </w:tc>
        <w:tc>
          <w:tcPr>
            <w:tcW w:w="140" w:type="dxa"/>
            <w:vAlign w:val="bottom"/>
            <w:vMerge w:val="continue"/>
            <w:shd w:val="clear" w:color="auto" w:fill="CCEEFF"/>
          </w:tcPr>
          <w:p>
            <w:pPr>
              <w:spacing w:after="0"/>
              <w:rPr>
                <w:sz w:val="18"/>
                <w:szCs w:val="18"/>
                <w:color w:val="auto"/>
              </w:rPr>
            </w:pPr>
          </w:p>
        </w:tc>
        <w:tc>
          <w:tcPr>
            <w:tcW w:w="460" w:type="dxa"/>
            <w:vAlign w:val="bottom"/>
            <w:vMerge w:val="continue"/>
            <w:shd w:val="clear" w:color="auto" w:fill="CCEEFF"/>
          </w:tcPr>
          <w:p>
            <w:pPr>
              <w:spacing w:after="0"/>
              <w:rPr>
                <w:sz w:val="18"/>
                <w:szCs w:val="18"/>
                <w:color w:val="auto"/>
              </w:rPr>
            </w:pPr>
          </w:p>
        </w:tc>
        <w:tc>
          <w:tcPr>
            <w:tcW w:w="700" w:type="dxa"/>
            <w:vAlign w:val="bottom"/>
            <w:vMerge w:val="continue"/>
            <w:shd w:val="clear" w:color="auto" w:fill="CCEEFF"/>
          </w:tcPr>
          <w:p>
            <w:pPr>
              <w:spacing w:after="0"/>
              <w:rPr>
                <w:sz w:val="18"/>
                <w:szCs w:val="18"/>
                <w:color w:val="auto"/>
              </w:rPr>
            </w:pPr>
          </w:p>
        </w:tc>
        <w:tc>
          <w:tcPr>
            <w:tcW w:w="180" w:type="dxa"/>
            <w:vAlign w:val="bottom"/>
            <w:vMerge w:val="continue"/>
            <w:shd w:val="clear" w:color="auto" w:fill="CCEEFF"/>
          </w:tcPr>
          <w:p>
            <w:pPr>
              <w:spacing w:after="0"/>
              <w:rPr>
                <w:sz w:val="18"/>
                <w:szCs w:val="18"/>
                <w:color w:val="auto"/>
              </w:rPr>
            </w:pPr>
          </w:p>
        </w:tc>
        <w:tc>
          <w:tcPr>
            <w:tcW w:w="580" w:type="dxa"/>
            <w:vAlign w:val="bottom"/>
            <w:gridSpan w:val="2"/>
            <w:vMerge w:val="continue"/>
            <w:shd w:val="clear" w:color="auto" w:fill="CCEEFF"/>
          </w:tcPr>
          <w:p>
            <w:pPr>
              <w:spacing w:after="0"/>
              <w:rPr>
                <w:sz w:val="18"/>
                <w:szCs w:val="18"/>
                <w:color w:val="auto"/>
              </w:rPr>
            </w:pPr>
          </w:p>
        </w:tc>
        <w:tc>
          <w:tcPr>
            <w:tcW w:w="860" w:type="dxa"/>
            <w:vAlign w:val="bottom"/>
            <w:gridSpan w:val="2"/>
            <w:vMerge w:val="continue"/>
            <w:shd w:val="clear" w:color="auto" w:fill="CCEEFF"/>
          </w:tcPr>
          <w:p>
            <w:pPr>
              <w:spacing w:after="0"/>
              <w:rPr>
                <w:sz w:val="18"/>
                <w:szCs w:val="18"/>
                <w:color w:val="auto"/>
              </w:rPr>
            </w:pPr>
          </w:p>
        </w:tc>
        <w:tc>
          <w:tcPr>
            <w:tcW w:w="540" w:type="dxa"/>
            <w:vAlign w:val="bottom"/>
            <w:gridSpan w:val="2"/>
            <w:vMerge w:val="continue"/>
            <w:shd w:val="clear" w:color="auto" w:fill="CCEEFF"/>
          </w:tcPr>
          <w:p>
            <w:pPr>
              <w:spacing w:after="0"/>
              <w:rPr>
                <w:sz w:val="18"/>
                <w:szCs w:val="18"/>
                <w:color w:val="auto"/>
              </w:rPr>
            </w:pPr>
          </w:p>
        </w:tc>
        <w:tc>
          <w:tcPr>
            <w:tcW w:w="980" w:type="dxa"/>
            <w:vAlign w:val="bottom"/>
            <w:gridSpan w:val="2"/>
            <w:vMerge w:val="continue"/>
            <w:shd w:val="clear" w:color="auto" w:fill="CCEEFF"/>
          </w:tcPr>
          <w:p>
            <w:pPr>
              <w:spacing w:after="0"/>
              <w:rPr>
                <w:sz w:val="18"/>
                <w:szCs w:val="18"/>
                <w:color w:val="auto"/>
              </w:rPr>
            </w:pPr>
          </w:p>
        </w:tc>
        <w:tc>
          <w:tcPr>
            <w:tcW w:w="440" w:type="dxa"/>
            <w:vAlign w:val="bottom"/>
            <w:vMerge w:val="continue"/>
            <w:shd w:val="clear" w:color="auto" w:fill="CCEEFF"/>
          </w:tcPr>
          <w:p>
            <w:pPr>
              <w:spacing w:after="0"/>
              <w:rPr>
                <w:sz w:val="18"/>
                <w:szCs w:val="18"/>
                <w:color w:val="auto"/>
              </w:rPr>
            </w:pPr>
          </w:p>
        </w:tc>
        <w:tc>
          <w:tcPr>
            <w:tcW w:w="78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5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Basic weighted average number of limited partner units outstanding</w:t>
            </w: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365</w:t>
            </w: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340</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363</w:t>
            </w:r>
          </w:p>
        </w:tc>
        <w:tc>
          <w:tcPr>
            <w:tcW w:w="4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Basic net income per limited partner unit</w:t>
            </w:r>
          </w:p>
        </w:tc>
        <w:tc>
          <w:tcPr>
            <w:tcW w:w="600" w:type="dxa"/>
            <w:vAlign w:val="bottom"/>
            <w:gridSpan w:val="2"/>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0.45</w:t>
            </w:r>
          </w:p>
        </w:tc>
        <w:tc>
          <w:tcPr>
            <w:tcW w:w="5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0.58</w:t>
            </w:r>
          </w:p>
        </w:tc>
        <w:tc>
          <w:tcPr>
            <w:tcW w:w="5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1.19</w:t>
            </w:r>
          </w:p>
        </w:tc>
        <w:tc>
          <w:tcPr>
            <w:tcW w:w="440" w:type="dxa"/>
            <w:vAlign w:val="bottom"/>
            <w:shd w:val="clear" w:color="auto" w:fill="CCEEFF"/>
          </w:tcPr>
          <w:p>
            <w:pPr>
              <w:jc w:val="right"/>
              <w:ind w:right="285"/>
              <w:spacing w:after="0"/>
              <w:rPr>
                <w:sz w:val="20"/>
                <w:szCs w:val="20"/>
                <w:color w:val="auto"/>
              </w:rPr>
            </w:pPr>
            <w:r>
              <w:rPr>
                <w:rFonts w:ascii="Arial" w:cs="Arial" w:eastAsia="Arial" w:hAnsi="Arial"/>
                <w:sz w:val="15"/>
                <w:szCs w:val="15"/>
                <w:color w:val="auto"/>
                <w:w w:val="71"/>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5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Diluted Net Income per Limited Partner Unit</w:t>
            </w: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tcPr>
          <w:p>
            <w:pPr>
              <w:spacing w:after="0"/>
              <w:rPr>
                <w:sz w:val="20"/>
                <w:szCs w:val="20"/>
                <w:color w:val="auto"/>
              </w:rPr>
            </w:pPr>
            <w:r>
              <w:rPr>
                <w:rFonts w:ascii="Arial" w:cs="Arial" w:eastAsia="Arial" w:hAnsi="Arial"/>
                <w:sz w:val="18"/>
                <w:szCs w:val="18"/>
                <w:color w:val="auto"/>
              </w:rPr>
              <w:t>Net income attributable to PAA</w:t>
            </w:r>
          </w:p>
        </w:tc>
        <w:tc>
          <w:tcPr>
            <w:tcW w:w="600" w:type="dxa"/>
            <w:vAlign w:val="bottom"/>
            <w:gridSpan w:val="2"/>
          </w:tcPr>
          <w:p>
            <w:pPr>
              <w:jc w:val="right"/>
              <w:ind w:right="27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287</w:t>
            </w:r>
          </w:p>
        </w:tc>
        <w:tc>
          <w:tcPr>
            <w:tcW w:w="58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292</w:t>
            </w:r>
          </w:p>
        </w:tc>
        <w:tc>
          <w:tcPr>
            <w:tcW w:w="5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300"/>
              <w:spacing w:after="0"/>
              <w:rPr>
                <w:sz w:val="20"/>
                <w:szCs w:val="20"/>
                <w:color w:val="auto"/>
              </w:rPr>
            </w:pPr>
            <w:r>
              <w:rPr>
                <w:rFonts w:ascii="Arial" w:cs="Arial" w:eastAsia="Arial" w:hAnsi="Arial"/>
                <w:sz w:val="18"/>
                <w:szCs w:val="18"/>
                <w:color w:val="auto"/>
              </w:rPr>
              <w:t>671</w:t>
            </w:r>
          </w:p>
        </w:tc>
        <w:tc>
          <w:tcPr>
            <w:tcW w:w="440" w:type="dxa"/>
            <w:vAlign w:val="bottom"/>
          </w:tcPr>
          <w:p>
            <w:pPr>
              <w:jc w:val="right"/>
              <w:ind w:right="285"/>
              <w:spacing w:after="0"/>
              <w:rPr>
                <w:sz w:val="20"/>
                <w:szCs w:val="20"/>
                <w:color w:val="auto"/>
              </w:rPr>
            </w:pPr>
            <w:r>
              <w:rPr>
                <w:rFonts w:ascii="Arial" w:cs="Arial" w:eastAsia="Arial" w:hAnsi="Arial"/>
                <w:sz w:val="15"/>
                <w:szCs w:val="15"/>
                <w:color w:val="auto"/>
                <w:w w:val="71"/>
              </w:rPr>
              <w:t>$</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821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shd w:val="clear" w:color="auto" w:fill="CCEEFF"/>
          </w:tcPr>
          <w:p>
            <w:pPr>
              <w:ind w:left="160"/>
              <w:spacing w:after="0" w:line="216" w:lineRule="exact"/>
              <w:rPr>
                <w:sz w:val="20"/>
                <w:szCs w:val="20"/>
                <w:color w:val="auto"/>
              </w:rPr>
            </w:pPr>
            <w:r>
              <w:rPr>
                <w:rFonts w:ascii="Arial" w:cs="Arial" w:eastAsia="Arial" w:hAnsi="Arial"/>
                <w:sz w:val="18"/>
                <w:szCs w:val="18"/>
                <w:color w:val="auto"/>
              </w:rPr>
              <w:t xml:space="preserve">Less: General partner’s incentive distribution </w:t>
            </w:r>
            <w:r>
              <w:rPr>
                <w:rFonts w:ascii="Arial" w:cs="Arial" w:eastAsia="Arial" w:hAnsi="Arial"/>
                <w:sz w:val="23"/>
                <w:szCs w:val="23"/>
                <w:color w:val="auto"/>
                <w:vertAlign w:val="superscript"/>
              </w:rPr>
              <w:t>(1)</w:t>
            </w: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(117)</w:t>
            </w: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(91)</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(227)</w:t>
            </w:r>
          </w:p>
        </w:tc>
        <w:tc>
          <w:tcPr>
            <w:tcW w:w="4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tcPr>
          <w:p>
            <w:pPr>
              <w:ind w:left="160"/>
              <w:spacing w:after="0" w:line="216" w:lineRule="exact"/>
              <w:rPr>
                <w:sz w:val="20"/>
                <w:szCs w:val="20"/>
                <w:color w:val="auto"/>
              </w:rPr>
            </w:pPr>
            <w:r>
              <w:rPr>
                <w:rFonts w:ascii="Arial" w:cs="Arial" w:eastAsia="Arial" w:hAnsi="Arial"/>
                <w:sz w:val="18"/>
                <w:szCs w:val="18"/>
                <w:color w:val="auto"/>
              </w:rPr>
              <w:t xml:space="preserve">Less: General partner 2% ownership </w:t>
            </w:r>
            <w:r>
              <w:rPr>
                <w:rFonts w:ascii="Arial" w:cs="Arial" w:eastAsia="Arial" w:hAnsi="Arial"/>
                <w:sz w:val="23"/>
                <w:szCs w:val="23"/>
                <w:color w:val="auto"/>
                <w:vertAlign w:val="superscript"/>
              </w:rPr>
              <w:t>(1)</w:t>
            </w: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8"/>
                <w:szCs w:val="18"/>
                <w:color w:val="auto"/>
              </w:rPr>
              <w:t>(9)</w:t>
            </w:r>
          </w:p>
        </w:tc>
        <w:tc>
          <w:tcPr>
            <w:tcW w:w="44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740" w:type="dxa"/>
            <w:vAlign w:val="bottom"/>
            <w:tcBorders>
              <w:top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Net income available to limited partners</w:t>
            </w:r>
          </w:p>
        </w:tc>
        <w:tc>
          <w:tcPr>
            <w:tcW w:w="14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197</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435</w:t>
            </w:r>
          </w:p>
        </w:tc>
        <w:tc>
          <w:tcPr>
            <w:tcW w:w="30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631</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740" w:type="dxa"/>
            <w:vAlign w:val="bottom"/>
          </w:tcPr>
          <w:p>
            <w:pPr>
              <w:ind w:left="160"/>
              <w:spacing w:after="0" w:line="201" w:lineRule="exact"/>
              <w:rPr>
                <w:sz w:val="20"/>
                <w:szCs w:val="20"/>
                <w:color w:val="auto"/>
              </w:rPr>
            </w:pPr>
            <w:r>
              <w:rPr>
                <w:rFonts w:ascii="Arial" w:cs="Arial" w:eastAsia="Arial" w:hAnsi="Arial"/>
                <w:sz w:val="18"/>
                <w:szCs w:val="18"/>
                <w:color w:val="auto"/>
                <w:w w:val="98"/>
              </w:rPr>
              <w:t>Less: Undistributed earnings allocated and distributions to participating</w:t>
            </w: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740" w:type="dxa"/>
            <w:vAlign w:val="bottom"/>
          </w:tcPr>
          <w:p>
            <w:pPr>
              <w:ind w:left="340"/>
              <w:spacing w:after="0" w:line="231" w:lineRule="exact"/>
              <w:rPr>
                <w:sz w:val="20"/>
                <w:szCs w:val="20"/>
                <w:color w:val="auto"/>
              </w:rPr>
            </w:pPr>
            <w:r>
              <w:rPr>
                <w:rFonts w:ascii="Arial" w:cs="Arial" w:eastAsia="Arial" w:hAnsi="Arial"/>
                <w:sz w:val="18"/>
                <w:szCs w:val="18"/>
                <w:color w:val="auto"/>
              </w:rPr>
              <w:t xml:space="preserve">securities </w:t>
            </w:r>
            <w:r>
              <w:rPr>
                <w:rFonts w:ascii="Arial" w:cs="Arial" w:eastAsia="Arial" w:hAnsi="Arial"/>
                <w:sz w:val="23"/>
                <w:szCs w:val="23"/>
                <w:color w:val="auto"/>
                <w:vertAlign w:val="superscript"/>
              </w:rPr>
              <w:t>(1)</w:t>
            </w:r>
          </w:p>
        </w:tc>
        <w:tc>
          <w:tcPr>
            <w:tcW w:w="1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8"/>
                <w:szCs w:val="18"/>
                <w:color w:val="auto"/>
              </w:rPr>
              <w:t>(3)</w:t>
            </w:r>
          </w:p>
        </w:tc>
        <w:tc>
          <w:tcPr>
            <w:tcW w:w="440" w:type="dxa"/>
            <w:vAlign w:val="bottom"/>
          </w:tcPr>
          <w:p>
            <w:pPr>
              <w:spacing w:after="0"/>
              <w:rPr>
                <w:sz w:val="20"/>
                <w:szCs w:val="20"/>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40" w:type="dxa"/>
            <w:vAlign w:val="bottom"/>
            <w:vMerge w:val="restart"/>
            <w:shd w:val="clear" w:color="auto" w:fill="CCEEFF"/>
          </w:tcPr>
          <w:p>
            <w:pPr>
              <w:spacing w:after="0" w:line="201" w:lineRule="exact"/>
              <w:rPr>
                <w:sz w:val="20"/>
                <w:szCs w:val="20"/>
                <w:color w:val="auto"/>
              </w:rPr>
            </w:pPr>
            <w:r>
              <w:rPr>
                <w:rFonts w:ascii="Arial" w:cs="Arial" w:eastAsia="Arial" w:hAnsi="Arial"/>
                <w:sz w:val="18"/>
                <w:szCs w:val="18"/>
                <w:color w:val="auto"/>
                <w:w w:val="93"/>
              </w:rPr>
              <w:t>Net income available to limited partners in accordance with application of the</w:t>
            </w:r>
          </w:p>
        </w:tc>
        <w:tc>
          <w:tcPr>
            <w:tcW w:w="140" w:type="dxa"/>
            <w:vAlign w:val="bottom"/>
            <w:shd w:val="clear" w:color="auto" w:fill="CCEE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20" w:type="dxa"/>
            <w:vAlign w:val="bottom"/>
          </w:tcPr>
          <w:p>
            <w:pPr>
              <w:spacing w:after="0"/>
              <w:rPr>
                <w:sz w:val="15"/>
                <w:szCs w:val="15"/>
                <w:color w:val="auto"/>
              </w:rPr>
            </w:pPr>
          </w:p>
        </w:tc>
        <w:tc>
          <w:tcPr>
            <w:tcW w:w="5740" w:type="dxa"/>
            <w:vAlign w:val="bottom"/>
            <w:vMerge w:val="continue"/>
            <w:shd w:val="clear" w:color="auto" w:fill="CCEEFF"/>
          </w:tcPr>
          <w:p>
            <w:pPr>
              <w:spacing w:after="0"/>
              <w:rPr>
                <w:sz w:val="15"/>
                <w:szCs w:val="15"/>
                <w:color w:val="auto"/>
              </w:rPr>
            </w:pPr>
          </w:p>
        </w:tc>
        <w:tc>
          <w:tcPr>
            <w:tcW w:w="140" w:type="dxa"/>
            <w:vAlign w:val="bottom"/>
            <w:vMerge w:val="restart"/>
            <w:shd w:val="clear" w:color="auto" w:fill="CCEEFF"/>
          </w:tcPr>
          <w:p>
            <w:pPr>
              <w:spacing w:after="0"/>
              <w:rPr>
                <w:sz w:val="15"/>
                <w:szCs w:val="15"/>
                <w:color w:val="auto"/>
              </w:rPr>
            </w:pPr>
          </w:p>
        </w:tc>
        <w:tc>
          <w:tcPr>
            <w:tcW w:w="460" w:type="dxa"/>
            <w:vAlign w:val="bottom"/>
            <w:vMerge w:val="restart"/>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165</w:t>
            </w:r>
          </w:p>
        </w:tc>
        <w:tc>
          <w:tcPr>
            <w:tcW w:w="180" w:type="dxa"/>
            <w:vAlign w:val="bottom"/>
            <w:vMerge w:val="restart"/>
            <w:shd w:val="clear" w:color="auto" w:fill="CCEEFF"/>
          </w:tcPr>
          <w:p>
            <w:pPr>
              <w:spacing w:after="0"/>
              <w:rPr>
                <w:sz w:val="15"/>
                <w:szCs w:val="15"/>
                <w:color w:val="auto"/>
              </w:rPr>
            </w:pPr>
          </w:p>
        </w:tc>
        <w:tc>
          <w:tcPr>
            <w:tcW w:w="580" w:type="dxa"/>
            <w:vAlign w:val="bottom"/>
            <w:gridSpan w:val="2"/>
            <w:vMerge w:val="restart"/>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8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196</w:t>
            </w:r>
          </w:p>
        </w:tc>
        <w:tc>
          <w:tcPr>
            <w:tcW w:w="540" w:type="dxa"/>
            <w:vAlign w:val="bottom"/>
            <w:gridSpan w:val="2"/>
            <w:vMerge w:val="restart"/>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980" w:type="dxa"/>
            <w:vAlign w:val="bottom"/>
            <w:gridSpan w:val="2"/>
            <w:vMerge w:val="restart"/>
            <w:shd w:val="clear" w:color="auto" w:fill="CCEEFF"/>
          </w:tcPr>
          <w:p>
            <w:pPr>
              <w:jc w:val="right"/>
              <w:ind w:right="300"/>
              <w:spacing w:after="0"/>
              <w:rPr>
                <w:sz w:val="20"/>
                <w:szCs w:val="20"/>
                <w:color w:val="auto"/>
              </w:rPr>
            </w:pPr>
            <w:r>
              <w:rPr>
                <w:rFonts w:ascii="Arial" w:cs="Arial" w:eastAsia="Arial" w:hAnsi="Arial"/>
                <w:sz w:val="18"/>
                <w:szCs w:val="18"/>
                <w:color w:val="auto"/>
              </w:rPr>
              <w:t>432</w:t>
            </w:r>
          </w:p>
        </w:tc>
        <w:tc>
          <w:tcPr>
            <w:tcW w:w="440" w:type="dxa"/>
            <w:vAlign w:val="bottom"/>
            <w:vMerge w:val="restart"/>
            <w:shd w:val="clear" w:color="auto" w:fill="CCEEFF"/>
          </w:tcPr>
          <w:p>
            <w:pPr>
              <w:jc w:val="right"/>
              <w:ind w:right="285"/>
              <w:spacing w:after="0"/>
              <w:rPr>
                <w:sz w:val="20"/>
                <w:szCs w:val="20"/>
                <w:color w:val="auto"/>
              </w:rPr>
            </w:pPr>
            <w:r>
              <w:rPr>
                <w:rFonts w:ascii="Arial" w:cs="Arial" w:eastAsia="Arial" w:hAnsi="Arial"/>
                <w:sz w:val="15"/>
                <w:szCs w:val="15"/>
                <w:color w:val="auto"/>
                <w:w w:val="71"/>
              </w:rPr>
              <w:t>$</w:t>
            </w:r>
          </w:p>
        </w:tc>
        <w:tc>
          <w:tcPr>
            <w:tcW w:w="78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628</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7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two-class method for MLPs</w:t>
            </w:r>
          </w:p>
        </w:tc>
        <w:tc>
          <w:tcPr>
            <w:tcW w:w="140" w:type="dxa"/>
            <w:vAlign w:val="bottom"/>
            <w:vMerge w:val="continue"/>
            <w:shd w:val="clear" w:color="auto" w:fill="CCEEFF"/>
          </w:tcPr>
          <w:p>
            <w:pPr>
              <w:spacing w:after="0"/>
              <w:rPr>
                <w:sz w:val="18"/>
                <w:szCs w:val="18"/>
                <w:color w:val="auto"/>
              </w:rPr>
            </w:pPr>
          </w:p>
        </w:tc>
        <w:tc>
          <w:tcPr>
            <w:tcW w:w="460" w:type="dxa"/>
            <w:vAlign w:val="bottom"/>
            <w:vMerge w:val="continue"/>
            <w:shd w:val="clear" w:color="auto" w:fill="CCEEFF"/>
          </w:tcPr>
          <w:p>
            <w:pPr>
              <w:spacing w:after="0"/>
              <w:rPr>
                <w:sz w:val="18"/>
                <w:szCs w:val="18"/>
                <w:color w:val="auto"/>
              </w:rPr>
            </w:pPr>
          </w:p>
        </w:tc>
        <w:tc>
          <w:tcPr>
            <w:tcW w:w="700" w:type="dxa"/>
            <w:vAlign w:val="bottom"/>
            <w:vMerge w:val="continue"/>
            <w:shd w:val="clear" w:color="auto" w:fill="CCEEFF"/>
          </w:tcPr>
          <w:p>
            <w:pPr>
              <w:spacing w:after="0"/>
              <w:rPr>
                <w:sz w:val="18"/>
                <w:szCs w:val="18"/>
                <w:color w:val="auto"/>
              </w:rPr>
            </w:pPr>
          </w:p>
        </w:tc>
        <w:tc>
          <w:tcPr>
            <w:tcW w:w="180" w:type="dxa"/>
            <w:vAlign w:val="bottom"/>
            <w:vMerge w:val="continue"/>
            <w:shd w:val="clear" w:color="auto" w:fill="CCEEFF"/>
          </w:tcPr>
          <w:p>
            <w:pPr>
              <w:spacing w:after="0"/>
              <w:rPr>
                <w:sz w:val="18"/>
                <w:szCs w:val="18"/>
                <w:color w:val="auto"/>
              </w:rPr>
            </w:pPr>
          </w:p>
        </w:tc>
        <w:tc>
          <w:tcPr>
            <w:tcW w:w="580" w:type="dxa"/>
            <w:vAlign w:val="bottom"/>
            <w:gridSpan w:val="2"/>
            <w:vMerge w:val="continue"/>
            <w:shd w:val="clear" w:color="auto" w:fill="CCEEFF"/>
          </w:tcPr>
          <w:p>
            <w:pPr>
              <w:spacing w:after="0"/>
              <w:rPr>
                <w:sz w:val="18"/>
                <w:szCs w:val="18"/>
                <w:color w:val="auto"/>
              </w:rPr>
            </w:pPr>
          </w:p>
        </w:tc>
        <w:tc>
          <w:tcPr>
            <w:tcW w:w="860" w:type="dxa"/>
            <w:vAlign w:val="bottom"/>
            <w:gridSpan w:val="2"/>
            <w:vMerge w:val="continue"/>
            <w:shd w:val="clear" w:color="auto" w:fill="CCEEFF"/>
          </w:tcPr>
          <w:p>
            <w:pPr>
              <w:spacing w:after="0"/>
              <w:rPr>
                <w:sz w:val="18"/>
                <w:szCs w:val="18"/>
                <w:color w:val="auto"/>
              </w:rPr>
            </w:pPr>
          </w:p>
        </w:tc>
        <w:tc>
          <w:tcPr>
            <w:tcW w:w="540" w:type="dxa"/>
            <w:vAlign w:val="bottom"/>
            <w:gridSpan w:val="2"/>
            <w:vMerge w:val="continue"/>
            <w:shd w:val="clear" w:color="auto" w:fill="CCEEFF"/>
          </w:tcPr>
          <w:p>
            <w:pPr>
              <w:spacing w:after="0"/>
              <w:rPr>
                <w:sz w:val="18"/>
                <w:szCs w:val="18"/>
                <w:color w:val="auto"/>
              </w:rPr>
            </w:pPr>
          </w:p>
        </w:tc>
        <w:tc>
          <w:tcPr>
            <w:tcW w:w="980" w:type="dxa"/>
            <w:vAlign w:val="bottom"/>
            <w:gridSpan w:val="2"/>
            <w:vMerge w:val="continue"/>
            <w:shd w:val="clear" w:color="auto" w:fill="CCEEFF"/>
          </w:tcPr>
          <w:p>
            <w:pPr>
              <w:spacing w:after="0"/>
              <w:rPr>
                <w:sz w:val="18"/>
                <w:szCs w:val="18"/>
                <w:color w:val="auto"/>
              </w:rPr>
            </w:pPr>
          </w:p>
        </w:tc>
        <w:tc>
          <w:tcPr>
            <w:tcW w:w="440" w:type="dxa"/>
            <w:vAlign w:val="bottom"/>
            <w:vMerge w:val="continue"/>
            <w:shd w:val="clear" w:color="auto" w:fill="CCEEFF"/>
          </w:tcPr>
          <w:p>
            <w:pPr>
              <w:spacing w:after="0"/>
              <w:rPr>
                <w:sz w:val="18"/>
                <w:szCs w:val="18"/>
                <w:color w:val="auto"/>
              </w:rPr>
            </w:pPr>
          </w:p>
        </w:tc>
        <w:tc>
          <w:tcPr>
            <w:tcW w:w="78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5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Basic weighted average number of limited partner units outstanding</w:t>
            </w: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365</w:t>
            </w: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340</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363</w:t>
            </w:r>
          </w:p>
        </w:tc>
        <w:tc>
          <w:tcPr>
            <w:tcW w:w="4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tcPr>
          <w:p>
            <w:pPr>
              <w:ind w:left="160"/>
              <w:spacing w:after="0" w:line="216" w:lineRule="exact"/>
              <w:rPr>
                <w:sz w:val="20"/>
                <w:szCs w:val="20"/>
                <w:color w:val="auto"/>
              </w:rPr>
            </w:pPr>
            <w:r>
              <w:rPr>
                <w:rFonts w:ascii="Arial" w:cs="Arial" w:eastAsia="Arial" w:hAnsi="Arial"/>
                <w:sz w:val="18"/>
                <w:szCs w:val="18"/>
                <w:color w:val="auto"/>
              </w:rPr>
              <w:t xml:space="preserve">Effect of dilutive securities: Weighted average LTIP units </w:t>
            </w:r>
            <w:r>
              <w:rPr>
                <w:rFonts w:ascii="Arial" w:cs="Arial" w:eastAsia="Arial" w:hAnsi="Arial"/>
                <w:sz w:val="23"/>
                <w:szCs w:val="23"/>
                <w:color w:val="auto"/>
                <w:vertAlign w:val="superscript"/>
              </w:rPr>
              <w:t>(2)</w:t>
            </w: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80" w:type="dxa"/>
            <w:vAlign w:val="bottom"/>
            <w:gridSpan w:val="2"/>
          </w:tcPr>
          <w:p>
            <w:pPr>
              <w:jc w:val="right"/>
              <w:ind w:right="300"/>
              <w:spacing w:after="0"/>
              <w:rPr>
                <w:sz w:val="20"/>
                <w:szCs w:val="20"/>
                <w:color w:val="auto"/>
              </w:rPr>
            </w:pPr>
            <w:r>
              <w:rPr>
                <w:rFonts w:ascii="Arial" w:cs="Arial" w:eastAsia="Arial" w:hAnsi="Arial"/>
                <w:sz w:val="18"/>
                <w:szCs w:val="18"/>
                <w:color w:val="auto"/>
              </w:rPr>
              <w:t>2</w:t>
            </w:r>
          </w:p>
        </w:tc>
        <w:tc>
          <w:tcPr>
            <w:tcW w:w="44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7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Diluted weighted average number of limited partner units outstanding</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460" w:type="dxa"/>
            <w:vAlign w:val="bottom"/>
            <w:tcBorders>
              <w:top w:val="single" w:sz="8" w:color="auto"/>
              <w:bottom w:val="single" w:sz="8" w:color="auto"/>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367</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460" w:type="dxa"/>
            <w:vAlign w:val="bottom"/>
            <w:tcBorders>
              <w:top w:val="single" w:sz="8" w:color="auto"/>
              <w:bottom w:val="single" w:sz="8" w:color="auto"/>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342</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440" w:type="dxa"/>
            <w:vAlign w:val="bottom"/>
            <w:tcBorders>
              <w:top w:val="single" w:sz="8" w:color="auto"/>
              <w:bottom w:val="single" w:sz="8" w:color="auto"/>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365</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440" w:type="dxa"/>
            <w:vAlign w:val="bottom"/>
            <w:tcBorders>
              <w:top w:val="single" w:sz="8" w:color="auto"/>
              <w:bottom w:val="single" w:sz="8" w:color="auto"/>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341</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5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Diluted net income per limited partner unit</w:t>
            </w:r>
          </w:p>
        </w:tc>
        <w:tc>
          <w:tcPr>
            <w:tcW w:w="600" w:type="dxa"/>
            <w:vAlign w:val="bottom"/>
            <w:gridSpan w:val="2"/>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0.45</w:t>
            </w:r>
          </w:p>
        </w:tc>
        <w:tc>
          <w:tcPr>
            <w:tcW w:w="5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0.57</w:t>
            </w:r>
          </w:p>
        </w:tc>
        <w:tc>
          <w:tcPr>
            <w:tcW w:w="5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1.18</w:t>
            </w:r>
          </w:p>
        </w:tc>
        <w:tc>
          <w:tcPr>
            <w:tcW w:w="440" w:type="dxa"/>
            <w:vAlign w:val="bottom"/>
            <w:shd w:val="clear" w:color="auto" w:fill="CCEEFF"/>
          </w:tcPr>
          <w:p>
            <w:pPr>
              <w:jc w:val="right"/>
              <w:ind w:right="285"/>
              <w:spacing w:after="0"/>
              <w:rPr>
                <w:sz w:val="20"/>
                <w:szCs w:val="20"/>
                <w:color w:val="auto"/>
              </w:rPr>
            </w:pPr>
            <w:r>
              <w:rPr>
                <w:rFonts w:ascii="Arial" w:cs="Arial" w:eastAsia="Arial" w:hAnsi="Arial"/>
                <w:sz w:val="15"/>
                <w:szCs w:val="15"/>
                <w:color w:val="auto"/>
                <w:w w:val="71"/>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180" w:right="120" w:hanging="172"/>
        <w:spacing w:after="0" w:line="298" w:lineRule="auto"/>
        <w:tabs>
          <w:tab w:leader="none" w:pos="164" w:val="left"/>
        </w:tabs>
        <w:numPr>
          <w:ilvl w:val="0"/>
          <w:numId w:val="24"/>
        </w:numPr>
        <w:rPr>
          <w:rFonts w:ascii="Arial" w:cs="Arial" w:eastAsia="Arial" w:hAnsi="Arial"/>
          <w:sz w:val="19"/>
          <w:szCs w:val="19"/>
          <w:color w:val="auto"/>
          <w:vertAlign w:val="superscript"/>
        </w:rPr>
      </w:pPr>
      <w:r>
        <w:rPr>
          <w:rFonts w:ascii="Arial" w:cs="Arial" w:eastAsia="Arial" w:hAnsi="Arial"/>
          <w:sz w:val="15"/>
          <w:szCs w:val="15"/>
          <w:color w:val="auto"/>
        </w:rPr>
        <w:t>We calculate net income available to limited partners based on the distributions pertaining to the current period’s net income. After adjusting for the appropriate period’s distributions, the remaining undistributed earnings or excess distributions over earnings, if any, are allocated to the general partner, limited partners and participating securities in accordance with the contractual terms of the partnership agreement and as further prescribed under the two-class method.</w:t>
      </w:r>
    </w:p>
    <w:p>
      <w:pPr>
        <w:spacing w:after="0" w:line="179" w:lineRule="exact"/>
        <w:rPr>
          <w:rFonts w:ascii="Arial" w:cs="Arial" w:eastAsia="Arial" w:hAnsi="Arial"/>
          <w:sz w:val="19"/>
          <w:szCs w:val="19"/>
          <w:color w:val="auto"/>
          <w:vertAlign w:val="superscript"/>
        </w:rPr>
      </w:pPr>
    </w:p>
    <w:p>
      <w:pPr>
        <w:ind w:left="180" w:right="80" w:hanging="172"/>
        <w:spacing w:after="0" w:line="424" w:lineRule="auto"/>
        <w:tabs>
          <w:tab w:leader="none" w:pos="164" w:val="left"/>
        </w:tabs>
        <w:numPr>
          <w:ilvl w:val="0"/>
          <w:numId w:val="24"/>
        </w:numPr>
        <w:rPr>
          <w:rFonts w:ascii="Arial" w:cs="Arial" w:eastAsia="Arial" w:hAnsi="Arial"/>
          <w:sz w:val="19"/>
          <w:szCs w:val="19"/>
          <w:color w:val="auto"/>
          <w:vertAlign w:val="superscript"/>
        </w:rPr>
      </w:pPr>
      <w:r>
        <w:rPr>
          <w:rFonts w:ascii="Arial" w:cs="Arial" w:eastAsia="Arial" w:hAnsi="Arial"/>
          <w:sz w:val="15"/>
          <w:szCs w:val="15"/>
          <w:color w:val="auto"/>
        </w:rPr>
        <w:t>Our Long-term Incentive Plan (“LTIP”) awards that contemplate the issuance of common units are considered dilutive unless (i) vesting occurs only upon the satisfaction of a performance condition and (ii) that performance condition has yet to be satisfied. LTIP awards that are deemed to be dilutive are reduced by a hypothetical unit repurchase based on the remaining unamortized fair value, as prescribed by the treasury stock method in guidance issued by the FASB.</w:t>
      </w:r>
    </w:p>
    <w:p>
      <w:pPr>
        <w:spacing w:after="0" w:line="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more –</w:t>
      </w:r>
    </w:p>
    <w:p>
      <w:pPr>
        <w:spacing w:after="0" w:line="46" w:lineRule="exact"/>
        <w:rPr>
          <w:sz w:val="20"/>
          <w:szCs w:val="20"/>
          <w:color w:val="auto"/>
        </w:rPr>
      </w:pPr>
    </w:p>
    <w:p>
      <w:pPr>
        <w:ind w:left="2200"/>
        <w:spacing w:after="0"/>
        <w:tabs>
          <w:tab w:leader="none" w:pos="4700" w:val="left"/>
          <w:tab w:leader="none" w:pos="6820" w:val="left"/>
        </w:tabs>
        <w:rPr>
          <w:sz w:val="20"/>
          <w:szCs w:val="20"/>
          <w:color w:val="auto"/>
        </w:rPr>
      </w:pPr>
      <w:r>
        <w:rPr>
          <w:rFonts w:ascii="Arial" w:cs="Arial" w:eastAsia="Arial" w:hAnsi="Arial"/>
          <w:sz w:val="18"/>
          <w:szCs w:val="18"/>
          <w:b w:val="1"/>
          <w:bCs w:val="1"/>
          <w:color w:val="auto"/>
        </w:rPr>
        <w:t>333 Clay Street, Suite 1600</w:t>
      </w:r>
      <w:r>
        <w:rPr>
          <w:sz w:val="20"/>
          <w:szCs w:val="20"/>
          <w:color w:val="auto"/>
        </w:rPr>
        <w:tab/>
      </w:r>
      <w:r>
        <w:rPr>
          <w:rFonts w:ascii="Arial" w:cs="Arial" w:eastAsia="Arial" w:hAnsi="Arial"/>
          <w:sz w:val="18"/>
          <w:szCs w:val="18"/>
          <w:b w:val="1"/>
          <w:bCs w:val="1"/>
          <w:color w:val="auto"/>
        </w:rPr>
        <w:t>Houston, Texas 77002</w:t>
      </w:r>
      <w:r>
        <w:rPr>
          <w:sz w:val="20"/>
          <w:szCs w:val="20"/>
          <w:color w:val="auto"/>
        </w:rPr>
        <w:tab/>
      </w:r>
      <w:r>
        <w:rPr>
          <w:rFonts w:ascii="Arial" w:cs="Arial" w:eastAsia="Arial" w:hAnsi="Arial"/>
          <w:sz w:val="16"/>
          <w:szCs w:val="16"/>
          <w:b w:val="1"/>
          <w:bCs w:val="1"/>
          <w:color w:val="auto"/>
        </w:rPr>
        <w:t>(713) 646-4100 / (866) 809-1291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24662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220980</wp:posOffset>
            </wp:positionV>
            <wp:extent cx="7267575" cy="298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Page 12</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FINANCIAL SUMMARY </w:t>
      </w:r>
      <w:r>
        <w:rPr>
          <w:rFonts w:ascii="Arial" w:cs="Arial" w:eastAsia="Arial" w:hAnsi="Arial"/>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24662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SELECTED ITEMS IMPACTING COMPARABILITY</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(in millions, except per unit data)</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40" w:type="dxa"/>
            <w:vAlign w:val="bottom"/>
            <w:gridSpan w:val="5"/>
          </w:tcPr>
          <w:p>
            <w:pPr>
              <w:jc w:val="right"/>
              <w:ind w:right="205"/>
              <w:spacing w:after="0"/>
              <w:rPr>
                <w:sz w:val="20"/>
                <w:szCs w:val="20"/>
                <w:color w:val="auto"/>
              </w:rPr>
            </w:pPr>
            <w:r>
              <w:rPr>
                <w:rFonts w:ascii="Arial" w:cs="Arial" w:eastAsia="Arial" w:hAnsi="Arial"/>
                <w:sz w:val="14"/>
                <w:szCs w:val="14"/>
                <w:b w:val="1"/>
                <w:bCs w:val="1"/>
                <w:color w:val="auto"/>
              </w:rPr>
              <w:t>Three Months Ended</w:t>
            </w:r>
          </w:p>
        </w:tc>
        <w:tc>
          <w:tcPr>
            <w:tcW w:w="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380" w:type="dxa"/>
            <w:vAlign w:val="bottom"/>
            <w:gridSpan w:val="5"/>
          </w:tcPr>
          <w:p>
            <w:pPr>
              <w:jc w:val="right"/>
              <w:ind w:right="80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gridSpan w:val="4"/>
          </w:tcPr>
          <w:p>
            <w:pPr>
              <w:jc w:val="right"/>
              <w:ind w:right="605"/>
              <w:spacing w:after="0"/>
              <w:rPr>
                <w:sz w:val="20"/>
                <w:szCs w:val="20"/>
                <w:color w:val="auto"/>
              </w:rPr>
            </w:pPr>
            <w:r>
              <w:rPr>
                <w:rFonts w:ascii="Arial" w:cs="Arial" w:eastAsia="Arial" w:hAnsi="Arial"/>
                <w:sz w:val="14"/>
                <w:szCs w:val="14"/>
                <w:b w:val="1"/>
                <w:bCs w:val="1"/>
                <w:color w:val="auto"/>
              </w:rPr>
              <w:t>June 30,</w:t>
            </w:r>
          </w:p>
        </w:tc>
        <w:tc>
          <w:tcPr>
            <w:tcW w:w="36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3"/>
          </w:tcPr>
          <w:p>
            <w:pPr>
              <w:jc w:val="right"/>
              <w:ind w:right="85"/>
              <w:spacing w:after="0"/>
              <w:rPr>
                <w:sz w:val="20"/>
                <w:szCs w:val="20"/>
                <w:color w:val="auto"/>
              </w:rPr>
            </w:pPr>
            <w:r>
              <w:rPr>
                <w:rFonts w:ascii="Arial" w:cs="Arial" w:eastAsia="Arial" w:hAnsi="Arial"/>
                <w:sz w:val="14"/>
                <w:szCs w:val="14"/>
                <w:b w:val="1"/>
                <w:bCs w:val="1"/>
                <w:color w:val="auto"/>
              </w:rPr>
              <w:t>June 30,</w:t>
            </w:r>
          </w:p>
        </w:tc>
        <w:tc>
          <w:tcPr>
            <w:tcW w:w="88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2014</w:t>
            </w:r>
          </w:p>
        </w:tc>
        <w:tc>
          <w:tcPr>
            <w:tcW w:w="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rPr>
              <w:t>2013</w:t>
            </w:r>
          </w:p>
        </w:tc>
        <w:tc>
          <w:tcPr>
            <w:tcW w:w="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tcPr>
          <w:p>
            <w:pPr>
              <w:jc w:val="right"/>
              <w:ind w:right="315"/>
              <w:spacing w:after="0" w:line="142" w:lineRule="exact"/>
              <w:rPr>
                <w:sz w:val="20"/>
                <w:szCs w:val="20"/>
                <w:color w:val="auto"/>
              </w:rPr>
            </w:pPr>
            <w:r>
              <w:rPr>
                <w:rFonts w:ascii="Arial" w:cs="Arial" w:eastAsia="Arial" w:hAnsi="Arial"/>
                <w:sz w:val="14"/>
                <w:szCs w:val="14"/>
                <w:b w:val="1"/>
                <w:bCs w:val="1"/>
                <w:color w:val="auto"/>
              </w:rPr>
              <w:t>2014</w:t>
            </w:r>
          </w:p>
        </w:tc>
        <w:tc>
          <w:tcPr>
            <w:tcW w:w="3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Pr>
          <w:p>
            <w:pPr>
              <w:jc w:val="right"/>
              <w:ind w:right="352"/>
              <w:spacing w:after="0" w:line="142" w:lineRule="exact"/>
              <w:rPr>
                <w:sz w:val="20"/>
                <w:szCs w:val="20"/>
                <w:color w:val="auto"/>
              </w:rPr>
            </w:pPr>
            <w:r>
              <w:rPr>
                <w:rFonts w:ascii="Arial" w:cs="Arial" w:eastAsia="Arial" w:hAnsi="Arial"/>
                <w:sz w:val="14"/>
                <w:szCs w:val="14"/>
                <w:b w:val="1"/>
                <w:bCs w:val="1"/>
                <w:color w:val="auto"/>
              </w:rPr>
              <w:t>2013</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700" w:type="dxa"/>
            <w:vAlign w:val="bottom"/>
            <w:tcBorders>
              <w:top w:val="single" w:sz="8" w:color="CCEEFF"/>
            </w:tcBorders>
            <w:shd w:val="clear" w:color="auto" w:fill="CCEEFF"/>
          </w:tcPr>
          <w:p>
            <w:pPr>
              <w:spacing w:after="0" w:line="197" w:lineRule="exact"/>
              <w:rPr>
                <w:sz w:val="20"/>
                <w:szCs w:val="20"/>
                <w:color w:val="auto"/>
              </w:rPr>
            </w:pPr>
            <w:r>
              <w:rPr>
                <w:rFonts w:ascii="Arial" w:cs="Arial" w:eastAsia="Arial" w:hAnsi="Arial"/>
                <w:sz w:val="17"/>
                <w:szCs w:val="17"/>
                <w:b w:val="1"/>
                <w:bCs w:val="1"/>
                <w:color w:val="auto"/>
              </w:rPr>
              <w:t xml:space="preserve">Selected Items Impacting Comparability - Income/(Loss) </w:t>
            </w:r>
            <w:r>
              <w:rPr>
                <w:rFonts w:ascii="Arial" w:cs="Arial" w:eastAsia="Arial" w:hAnsi="Arial"/>
                <w:sz w:val="22"/>
                <w:szCs w:val="22"/>
                <w:b w:val="1"/>
                <w:bCs w:val="1"/>
                <w:color w:val="auto"/>
                <w:vertAlign w:val="superscript"/>
              </w:rPr>
              <w:t>(1)</w:t>
            </w:r>
            <w:r>
              <w:rPr>
                <w:rFonts w:ascii="Arial" w:cs="Arial" w:eastAsia="Arial" w:hAnsi="Arial"/>
                <w:sz w:val="17"/>
                <w:szCs w:val="17"/>
                <w:b w:val="1"/>
                <w:bCs w:val="1"/>
                <w:color w:val="auto"/>
              </w:rPr>
              <w:t>:</w:t>
            </w:r>
          </w:p>
        </w:tc>
        <w:tc>
          <w:tcPr>
            <w:tcW w:w="18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right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700" w:type="dxa"/>
            <w:vAlign w:val="bottom"/>
          </w:tcPr>
          <w:p>
            <w:pPr>
              <w:spacing w:after="0" w:line="201" w:lineRule="exact"/>
              <w:rPr>
                <w:sz w:val="20"/>
                <w:szCs w:val="20"/>
                <w:color w:val="auto"/>
              </w:rPr>
            </w:pPr>
            <w:r>
              <w:rPr>
                <w:rFonts w:ascii="Arial" w:cs="Arial" w:eastAsia="Arial" w:hAnsi="Arial"/>
                <w:sz w:val="18"/>
                <w:szCs w:val="18"/>
                <w:color w:val="auto"/>
              </w:rPr>
              <w:t>Gains/(losses) from derivative activities net of inventory valuation</w:t>
            </w: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700" w:type="dxa"/>
            <w:vAlign w:val="bottom"/>
          </w:tcPr>
          <w:p>
            <w:pPr>
              <w:ind w:left="160"/>
              <w:spacing w:after="0" w:line="231" w:lineRule="exact"/>
              <w:rPr>
                <w:sz w:val="20"/>
                <w:szCs w:val="20"/>
                <w:color w:val="auto"/>
              </w:rPr>
            </w:pPr>
            <w:r>
              <w:rPr>
                <w:rFonts w:ascii="Arial" w:cs="Arial" w:eastAsia="Arial" w:hAnsi="Arial"/>
                <w:sz w:val="18"/>
                <w:szCs w:val="18"/>
                <w:color w:val="auto"/>
              </w:rPr>
              <w:t xml:space="preserve">adjustments </w:t>
            </w:r>
            <w:r>
              <w:rPr>
                <w:rFonts w:ascii="Arial" w:cs="Arial" w:eastAsia="Arial" w:hAnsi="Arial"/>
                <w:sz w:val="23"/>
                <w:szCs w:val="23"/>
                <w:color w:val="auto"/>
                <w:vertAlign w:val="superscript"/>
              </w:rPr>
              <w:t>(2)</w:t>
            </w:r>
          </w:p>
        </w:tc>
        <w:tc>
          <w:tcPr>
            <w:tcW w:w="940" w:type="dxa"/>
            <w:vAlign w:val="bottom"/>
            <w:gridSpan w:val="2"/>
          </w:tcPr>
          <w:p>
            <w:pPr>
              <w:jc w:val="right"/>
              <w:ind w:right="577"/>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rPr>
              <w:t>(14)</w:t>
            </w:r>
          </w:p>
        </w:tc>
        <w:tc>
          <w:tcPr>
            <w:tcW w:w="900" w:type="dxa"/>
            <w:vAlign w:val="bottom"/>
            <w:gridSpan w:val="2"/>
          </w:tcPr>
          <w:p>
            <w:pPr>
              <w:jc w:val="right"/>
              <w:ind w:right="625"/>
              <w:spacing w:after="0"/>
              <w:rPr>
                <w:sz w:val="20"/>
                <w:szCs w:val="20"/>
                <w:color w:val="auto"/>
              </w:rPr>
            </w:pPr>
            <w:r>
              <w:rPr>
                <w:rFonts w:ascii="Arial" w:cs="Arial" w:eastAsia="Arial" w:hAnsi="Arial"/>
                <w:sz w:val="18"/>
                <w:szCs w:val="18"/>
                <w:color w:val="auto"/>
              </w:rPr>
              <w:t>$</w:t>
            </w:r>
          </w:p>
        </w:tc>
        <w:tc>
          <w:tcPr>
            <w:tcW w:w="360" w:type="dxa"/>
            <w:vAlign w:val="bottom"/>
          </w:tcPr>
          <w:p>
            <w:pPr>
              <w:jc w:val="right"/>
              <w:spacing w:after="0"/>
              <w:rPr>
                <w:sz w:val="20"/>
                <w:szCs w:val="20"/>
                <w:color w:val="auto"/>
              </w:rPr>
            </w:pPr>
            <w:r>
              <w:rPr>
                <w:rFonts w:ascii="Arial" w:cs="Arial" w:eastAsia="Arial" w:hAnsi="Arial"/>
                <w:sz w:val="18"/>
                <w:szCs w:val="18"/>
                <w:color w:val="auto"/>
              </w:rPr>
              <w:t>26</w:t>
            </w:r>
          </w:p>
        </w:tc>
        <w:tc>
          <w:tcPr>
            <w:tcW w:w="180" w:type="dxa"/>
            <w:vAlign w:val="bottom"/>
          </w:tcPr>
          <w:p>
            <w:pPr>
              <w:spacing w:after="0"/>
              <w:rPr>
                <w:sz w:val="20"/>
                <w:szCs w:val="20"/>
                <w:color w:val="auto"/>
              </w:rPr>
            </w:pPr>
          </w:p>
        </w:tc>
        <w:tc>
          <w:tcPr>
            <w:tcW w:w="36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300"/>
              <w:spacing w:after="0"/>
              <w:rPr>
                <w:sz w:val="20"/>
                <w:szCs w:val="20"/>
                <w:color w:val="auto"/>
              </w:rPr>
            </w:pPr>
            <w:r>
              <w:rPr>
                <w:rFonts w:ascii="Arial" w:cs="Arial" w:eastAsia="Arial" w:hAnsi="Arial"/>
                <w:sz w:val="18"/>
                <w:szCs w:val="18"/>
                <w:color w:val="auto"/>
              </w:rPr>
              <w:t>50</w:t>
            </w: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50</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shd w:val="clear" w:color="auto" w:fill="CCEEFF"/>
          </w:tcPr>
          <w:p>
            <w:pPr>
              <w:spacing w:after="0" w:line="216" w:lineRule="exact"/>
              <w:rPr>
                <w:sz w:val="20"/>
                <w:szCs w:val="20"/>
                <w:color w:val="auto"/>
              </w:rPr>
            </w:pPr>
            <w:r>
              <w:rPr>
                <w:rFonts w:ascii="Arial" w:cs="Arial" w:eastAsia="Arial" w:hAnsi="Arial"/>
                <w:sz w:val="18"/>
                <w:szCs w:val="18"/>
                <w:color w:val="auto"/>
              </w:rPr>
              <w:t xml:space="preserve">Equity-indexed compensation expense </w:t>
            </w:r>
            <w:r>
              <w:rPr>
                <w:rFonts w:ascii="Arial" w:cs="Arial" w:eastAsia="Arial" w:hAnsi="Arial"/>
                <w:sz w:val="23"/>
                <w:szCs w:val="23"/>
                <w:color w:val="auto"/>
                <w:vertAlign w:val="superscript"/>
              </w:rPr>
              <w:t>(3)</w:t>
            </w: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w:t>
            </w: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(36)</w:t>
            </w:r>
          </w:p>
        </w:tc>
        <w:tc>
          <w:tcPr>
            <w:tcW w:w="2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Net gain/(loss) on foreign currency revaluation</w:t>
            </w: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40" w:type="dxa"/>
            <w:vAlign w:val="bottom"/>
            <w:gridSpan w:val="2"/>
          </w:tcPr>
          <w:p>
            <w:pPr>
              <w:jc w:val="right"/>
              <w:ind w:right="120"/>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gridSpan w:val="2"/>
          </w:tcPr>
          <w:p>
            <w:pPr>
              <w:jc w:val="right"/>
              <w:ind w:right="300"/>
              <w:spacing w:after="0"/>
              <w:rPr>
                <w:sz w:val="20"/>
                <w:szCs w:val="20"/>
                <w:color w:val="auto"/>
              </w:rPr>
            </w:pPr>
            <w:r>
              <w:rPr>
                <w:rFonts w:ascii="Arial" w:cs="Arial" w:eastAsia="Arial" w:hAnsi="Arial"/>
                <w:sz w:val="18"/>
                <w:szCs w:val="18"/>
                <w:color w:val="auto"/>
              </w:rPr>
              <w:t>6</w:t>
            </w: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Tax effect on selected items impacting comparability</w:t>
            </w: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w:t>
            </w:r>
          </w:p>
        </w:tc>
        <w:tc>
          <w:tcPr>
            <w:tcW w:w="2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tcPr>
          <w:p>
            <w:pPr>
              <w:spacing w:after="0" w:line="216" w:lineRule="exact"/>
              <w:rPr>
                <w:sz w:val="20"/>
                <w:szCs w:val="20"/>
                <w:color w:val="auto"/>
              </w:rPr>
            </w:pPr>
            <w:r>
              <w:rPr>
                <w:rFonts w:ascii="Arial" w:cs="Arial" w:eastAsia="Arial" w:hAnsi="Arial"/>
                <w:sz w:val="18"/>
                <w:szCs w:val="18"/>
                <w:color w:val="auto"/>
              </w:rPr>
              <w:t xml:space="preserve">Other </w:t>
            </w:r>
            <w:r>
              <w:rPr>
                <w:rFonts w:ascii="Arial" w:cs="Arial" w:eastAsia="Arial" w:hAnsi="Arial"/>
                <w:sz w:val="23"/>
                <w:szCs w:val="23"/>
                <w:color w:val="auto"/>
                <w:vertAlign w:val="superscript"/>
              </w:rPr>
              <w:t>(4)</w:t>
            </w: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700" w:type="dxa"/>
            <w:vAlign w:val="bottom"/>
            <w:tcBorders>
              <w:top w:val="single" w:sz="8" w:color="CCEEFF"/>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w w:val="95"/>
              </w:rPr>
              <w:t>Selected items impacting comparability of net income attributable to PAA</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jc w:val="right"/>
              <w:ind w:right="577"/>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ind w:right="625"/>
              <w:spacing w:after="0"/>
              <w:rPr>
                <w:sz w:val="20"/>
                <w:szCs w:val="20"/>
                <w:color w:val="auto"/>
              </w:rPr>
            </w:pPr>
            <w:r>
              <w:rPr>
                <w:rFonts w:ascii="Arial" w:cs="Arial" w:eastAsia="Arial" w:hAnsi="Arial"/>
                <w:sz w:val="15"/>
                <w:szCs w:val="15"/>
                <w:color w:val="auto"/>
                <w:w w:val="71"/>
              </w:rPr>
              <w:t>$</w:t>
            </w:r>
          </w:p>
        </w:tc>
        <w:tc>
          <w:tcPr>
            <w:tcW w:w="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5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Impact to basic net income per limited partner unit</w:t>
            </w: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577"/>
              <w:spacing w:after="0"/>
              <w:rPr>
                <w:sz w:val="20"/>
                <w:szCs w:val="20"/>
                <w:color w:val="auto"/>
              </w:rPr>
            </w:pPr>
            <w:r>
              <w:rPr>
                <w:rFonts w:ascii="Arial" w:cs="Arial" w:eastAsia="Arial" w:hAnsi="Arial"/>
                <w:sz w:val="18"/>
                <w:szCs w:val="18"/>
                <w:color w:val="auto"/>
                <w:w w:val="79"/>
              </w:rPr>
              <w:t>$</w:t>
            </w: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3"/>
              </w:rPr>
              <w:t>(0.06)</w:t>
            </w:r>
          </w:p>
        </w:tc>
        <w:tc>
          <w:tcPr>
            <w:tcW w:w="900" w:type="dxa"/>
            <w:vAlign w:val="bottom"/>
            <w:gridSpan w:val="2"/>
            <w:shd w:val="clear" w:color="auto" w:fill="CCEEFF"/>
          </w:tcPr>
          <w:p>
            <w:pPr>
              <w:jc w:val="right"/>
              <w:ind w:right="625"/>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6"/>
              </w:rPr>
              <w:t>0.02</w:t>
            </w:r>
          </w:p>
        </w:tc>
        <w:tc>
          <w:tcPr>
            <w:tcW w:w="36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0.03</w:t>
            </w: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8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0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tcBorders>
              <w:right w:val="single" w:sz="8" w:color="CCEEFF"/>
            </w:tcBorders>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5720" w:type="dxa"/>
            <w:vAlign w:val="bottom"/>
            <w:gridSpan w:val="2"/>
            <w:vMerge w:val="restart"/>
          </w:tcPr>
          <w:p>
            <w:pPr>
              <w:spacing w:after="0"/>
              <w:rPr>
                <w:sz w:val="20"/>
                <w:szCs w:val="20"/>
                <w:color w:val="auto"/>
              </w:rPr>
            </w:pPr>
            <w:r>
              <w:rPr>
                <w:rFonts w:ascii="Arial" w:cs="Arial" w:eastAsia="Arial" w:hAnsi="Arial"/>
                <w:sz w:val="18"/>
                <w:szCs w:val="18"/>
                <w:color w:val="auto"/>
              </w:rPr>
              <w:t>Impact to diluted net income per limited partner unit</w:t>
            </w:r>
          </w:p>
        </w:tc>
        <w:tc>
          <w:tcPr>
            <w:tcW w:w="180" w:type="dxa"/>
            <w:vAlign w:val="bottom"/>
            <w:vMerge w:val="restart"/>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80" w:type="dxa"/>
            <w:vAlign w:val="bottom"/>
            <w:vMerge w:val="restart"/>
          </w:tcPr>
          <w:p>
            <w:pPr>
              <w:jc w:val="right"/>
              <w:ind w:right="40"/>
              <w:spacing w:after="0"/>
              <w:rPr>
                <w:sz w:val="20"/>
                <w:szCs w:val="20"/>
                <w:color w:val="auto"/>
              </w:rPr>
            </w:pPr>
            <w:r>
              <w:rPr>
                <w:rFonts w:ascii="Arial" w:cs="Arial" w:eastAsia="Arial" w:hAnsi="Arial"/>
                <w:sz w:val="16"/>
                <w:szCs w:val="16"/>
                <w:color w:val="auto"/>
                <w:w w:val="74"/>
              </w:rPr>
              <w:t>)</w:t>
            </w:r>
          </w:p>
        </w:tc>
        <w:tc>
          <w:tcPr>
            <w:tcW w:w="120" w:type="dxa"/>
            <w:vAlign w:val="bottom"/>
            <w:vMerge w:val="restart"/>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720" w:type="dxa"/>
            <w:vAlign w:val="bottom"/>
            <w:gridSpan w:val="2"/>
            <w:vMerge w:val="continue"/>
          </w:tcPr>
          <w:p>
            <w:pPr>
              <w:spacing w:after="0"/>
              <w:rPr>
                <w:sz w:val="17"/>
                <w:szCs w:val="17"/>
                <w:color w:val="auto"/>
              </w:rPr>
            </w:pPr>
          </w:p>
        </w:tc>
        <w:tc>
          <w:tcPr>
            <w:tcW w:w="180" w:type="dxa"/>
            <w:vAlign w:val="bottom"/>
            <w:vMerge w:val="continue"/>
          </w:tcPr>
          <w:p>
            <w:pPr>
              <w:spacing w:after="0"/>
              <w:rPr>
                <w:sz w:val="17"/>
                <w:szCs w:val="17"/>
                <w:color w:val="auto"/>
              </w:rPr>
            </w:pPr>
          </w:p>
        </w:tc>
        <w:tc>
          <w:tcPr>
            <w:tcW w:w="760" w:type="dxa"/>
            <w:vAlign w:val="bottom"/>
            <w:tcBorders>
              <w:bottom w:val="single" w:sz="8" w:color="auto"/>
            </w:tcBorders>
          </w:tcPr>
          <w:p>
            <w:pPr>
              <w:jc w:val="right"/>
              <w:ind w:right="577"/>
              <w:spacing w:after="0" w:line="196" w:lineRule="exact"/>
              <w:rPr>
                <w:sz w:val="20"/>
                <w:szCs w:val="20"/>
                <w:color w:val="auto"/>
              </w:rPr>
            </w:pPr>
            <w:r>
              <w:rPr>
                <w:rFonts w:ascii="Arial" w:cs="Arial" w:eastAsia="Arial" w:hAnsi="Arial"/>
                <w:sz w:val="18"/>
                <w:szCs w:val="18"/>
                <w:color w:val="auto"/>
                <w:w w:val="79"/>
              </w:rPr>
              <w:t>$</w:t>
            </w:r>
          </w:p>
        </w:tc>
        <w:tc>
          <w:tcPr>
            <w:tcW w:w="4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92"/>
              </w:rPr>
              <w:t>(0.05</w:t>
            </w:r>
          </w:p>
        </w:tc>
        <w:tc>
          <w:tcPr>
            <w:tcW w:w="180" w:type="dxa"/>
            <w:vAlign w:val="bottom"/>
            <w:vMerge w:val="continue"/>
          </w:tcPr>
          <w:p>
            <w:pPr>
              <w:spacing w:after="0"/>
              <w:rPr>
                <w:sz w:val="17"/>
                <w:szCs w:val="17"/>
                <w:color w:val="auto"/>
              </w:rPr>
            </w:pPr>
          </w:p>
        </w:tc>
        <w:tc>
          <w:tcPr>
            <w:tcW w:w="120" w:type="dxa"/>
            <w:vAlign w:val="bottom"/>
            <w:vMerge w:val="continue"/>
          </w:tcPr>
          <w:p>
            <w:pPr>
              <w:spacing w:after="0"/>
              <w:rPr>
                <w:sz w:val="17"/>
                <w:szCs w:val="17"/>
                <w:color w:val="auto"/>
              </w:rPr>
            </w:pPr>
          </w:p>
        </w:tc>
        <w:tc>
          <w:tcPr>
            <w:tcW w:w="780" w:type="dxa"/>
            <w:vAlign w:val="bottom"/>
            <w:tcBorders>
              <w:bottom w:val="single" w:sz="8" w:color="auto"/>
            </w:tcBorders>
          </w:tcPr>
          <w:p>
            <w:pPr>
              <w:jc w:val="right"/>
              <w:ind w:right="625"/>
              <w:spacing w:after="0"/>
              <w:rPr>
                <w:sz w:val="20"/>
                <w:szCs w:val="20"/>
                <w:color w:val="auto"/>
              </w:rPr>
            </w:pPr>
            <w:r>
              <w:rPr>
                <w:rFonts w:ascii="Arial" w:cs="Arial" w:eastAsia="Arial" w:hAnsi="Arial"/>
                <w:sz w:val="15"/>
                <w:szCs w:val="15"/>
                <w:color w:val="auto"/>
                <w:w w:val="71"/>
              </w:rPr>
              <w:t>$</w:t>
            </w:r>
          </w:p>
        </w:tc>
        <w:tc>
          <w:tcPr>
            <w:tcW w:w="3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96"/>
              </w:rPr>
              <w:t>0.01</w:t>
            </w:r>
          </w:p>
        </w:tc>
        <w:tc>
          <w:tcPr>
            <w:tcW w:w="180" w:type="dxa"/>
            <w:vAlign w:val="bottom"/>
            <w:vMerge w:val="continue"/>
          </w:tcPr>
          <w:p>
            <w:pPr>
              <w:spacing w:after="0"/>
              <w:rPr>
                <w:sz w:val="17"/>
                <w:szCs w:val="17"/>
                <w:color w:val="auto"/>
              </w:rPr>
            </w:pPr>
          </w:p>
        </w:tc>
        <w:tc>
          <w:tcPr>
            <w:tcW w:w="100" w:type="dxa"/>
            <w:vAlign w:val="bottom"/>
            <w:vMerge w:val="continue"/>
          </w:tcPr>
          <w:p>
            <w:pPr>
              <w:spacing w:after="0"/>
              <w:rPr>
                <w:sz w:val="17"/>
                <w:szCs w:val="17"/>
                <w:color w:val="auto"/>
              </w:rPr>
            </w:pPr>
          </w:p>
        </w:tc>
        <w:tc>
          <w:tcPr>
            <w:tcW w:w="260" w:type="dxa"/>
            <w:vAlign w:val="bottom"/>
            <w:tcBorders>
              <w:bottom w:val="single" w:sz="8" w:color="auto"/>
            </w:tcBorders>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0.03</w:t>
            </w:r>
          </w:p>
        </w:tc>
        <w:tc>
          <w:tcPr>
            <w:tcW w:w="300" w:type="dxa"/>
            <w:vAlign w:val="bottom"/>
            <w:vMerge w:val="continue"/>
          </w:tcPr>
          <w:p>
            <w:pPr>
              <w:spacing w:after="0"/>
              <w:rPr>
                <w:sz w:val="17"/>
                <w:szCs w:val="17"/>
                <w:color w:val="auto"/>
              </w:rPr>
            </w:pPr>
          </w:p>
        </w:tc>
        <w:tc>
          <w:tcPr>
            <w:tcW w:w="260" w:type="dxa"/>
            <w:vAlign w:val="bottom"/>
            <w:tcBorders>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0.02</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400" w:lineRule="exact"/>
        <w:rPr>
          <w:sz w:val="20"/>
          <w:szCs w:val="20"/>
          <w:color w:val="auto"/>
        </w:rPr>
      </w:pPr>
    </w:p>
    <w:p>
      <w:pPr>
        <w:ind w:left="180" w:hanging="172"/>
        <w:spacing w:after="0"/>
        <w:tabs>
          <w:tab w:leader="none" w:pos="180" w:val="left"/>
        </w:tabs>
        <w:numPr>
          <w:ilvl w:val="0"/>
          <w:numId w:val="25"/>
        </w:numPr>
        <w:rPr>
          <w:rFonts w:ascii="Arial" w:cs="Arial" w:eastAsia="Arial" w:hAnsi="Arial"/>
          <w:sz w:val="21"/>
          <w:szCs w:val="21"/>
          <w:color w:val="auto"/>
          <w:vertAlign w:val="superscript"/>
        </w:rPr>
      </w:pPr>
      <w:r>
        <w:rPr>
          <w:rFonts w:ascii="Arial" w:cs="Arial" w:eastAsia="Arial" w:hAnsi="Arial"/>
          <w:sz w:val="16"/>
          <w:szCs w:val="16"/>
          <w:color w:val="auto"/>
        </w:rPr>
        <w:t>Certain of our non-GAAP financial measures may not be impacted by each of the selected items impacting comparability.</w:t>
      </w:r>
    </w:p>
    <w:p>
      <w:pPr>
        <w:spacing w:after="0" w:line="1" w:lineRule="exact"/>
        <w:rPr>
          <w:rFonts w:ascii="Arial" w:cs="Arial" w:eastAsia="Arial" w:hAnsi="Arial"/>
          <w:sz w:val="21"/>
          <w:szCs w:val="21"/>
          <w:color w:val="auto"/>
          <w:vertAlign w:val="superscript"/>
        </w:rPr>
      </w:pPr>
    </w:p>
    <w:p>
      <w:pPr>
        <w:ind w:left="180" w:right="220" w:hanging="172"/>
        <w:spacing w:after="0" w:line="264" w:lineRule="auto"/>
        <w:tabs>
          <w:tab w:leader="none" w:pos="164" w:val="left"/>
        </w:tabs>
        <w:numPr>
          <w:ilvl w:val="0"/>
          <w:numId w:val="25"/>
        </w:numPr>
        <w:rPr>
          <w:rFonts w:ascii="Arial" w:cs="Arial" w:eastAsia="Arial" w:hAnsi="Arial"/>
          <w:sz w:val="19"/>
          <w:szCs w:val="19"/>
          <w:color w:val="auto"/>
          <w:vertAlign w:val="superscript"/>
        </w:rPr>
      </w:pPr>
      <w:r>
        <w:rPr>
          <w:rFonts w:ascii="Arial" w:cs="Arial" w:eastAsia="Arial" w:hAnsi="Arial"/>
          <w:sz w:val="15"/>
          <w:szCs w:val="15"/>
          <w:color w:val="auto"/>
        </w:rPr>
        <w:t>Includes mark-to-market gains and losses resulting from derivative instruments that are related to underlying activities in future periods or the reversal of mark-to-market gains and losses from the prior period, net of inventory valuation adjustments, as applicable.</w:t>
      </w:r>
    </w:p>
    <w:p>
      <w:pPr>
        <w:ind w:left="180" w:right="20" w:hanging="172"/>
        <w:spacing w:after="0" w:line="265" w:lineRule="auto"/>
        <w:tabs>
          <w:tab w:leader="none" w:pos="164" w:val="left"/>
        </w:tabs>
        <w:numPr>
          <w:ilvl w:val="0"/>
          <w:numId w:val="25"/>
        </w:numPr>
        <w:rPr>
          <w:rFonts w:ascii="Arial" w:cs="Arial" w:eastAsia="Arial" w:hAnsi="Arial"/>
          <w:sz w:val="19"/>
          <w:szCs w:val="19"/>
          <w:color w:val="auto"/>
          <w:vertAlign w:val="superscript"/>
        </w:rPr>
      </w:pPr>
      <w:r>
        <w:rPr>
          <w:rFonts w:ascii="Arial" w:cs="Arial" w:eastAsia="Arial" w:hAnsi="Arial"/>
          <w:sz w:val="15"/>
          <w:szCs w:val="15"/>
          <w:color w:val="auto"/>
        </w:rPr>
        <w:t>Equity-indexed compensation expense above excludes the portion of equity-indexed compensation expense represented by grants under LTIP that, pursuant to the terms of the grant, will be settled in cash only and have no impact on diluted units.</w:t>
      </w:r>
    </w:p>
    <w:p>
      <w:pPr>
        <w:ind w:left="180" w:hanging="172"/>
        <w:spacing w:after="0" w:line="214" w:lineRule="auto"/>
        <w:tabs>
          <w:tab w:leader="none" w:pos="180" w:val="left"/>
        </w:tabs>
        <w:numPr>
          <w:ilvl w:val="0"/>
          <w:numId w:val="25"/>
        </w:numPr>
        <w:rPr>
          <w:rFonts w:ascii="Arial" w:cs="Arial" w:eastAsia="Arial" w:hAnsi="Arial"/>
          <w:sz w:val="21"/>
          <w:szCs w:val="21"/>
          <w:color w:val="auto"/>
          <w:vertAlign w:val="superscript"/>
        </w:rPr>
      </w:pPr>
      <w:r>
        <w:rPr>
          <w:rFonts w:ascii="Arial" w:cs="Arial" w:eastAsia="Arial" w:hAnsi="Arial"/>
          <w:sz w:val="16"/>
          <w:szCs w:val="16"/>
          <w:color w:val="auto"/>
        </w:rPr>
        <w:t>Includes other immaterial selected items impacting comparability, as well as the noncontrolling interests’ portion of selected items.</w:t>
      </w:r>
    </w:p>
    <w:p>
      <w:pPr>
        <w:sectPr>
          <w:pgSz w:w="11900" w:h="16838" w:orient="portrait"/>
          <w:cols w:equalWidth="0" w:num="1">
            <w:col w:w="11420"/>
          </w:cols>
          <w:pgMar w:left="240" w:top="91" w:right="239" w:bottom="0" w:gutter="0" w:footer="0" w:header="0"/>
        </w:sectPr>
      </w:pPr>
    </w:p>
    <w:bookmarkStart w:id="15" w:name="page16"/>
    <w:bookmarkEnd w:id="15"/>
    <w:p>
      <w:pPr>
        <w:jc w:val="center"/>
        <w:spacing w:after="0"/>
        <w:rPr>
          <w:sz w:val="20"/>
          <w:szCs w:val="20"/>
          <w:color w:val="auto"/>
        </w:rPr>
      </w:pPr>
      <w:r>
        <w:rPr>
          <w:rFonts w:ascii="Arial" w:cs="Arial" w:eastAsia="Arial" w:hAnsi="Arial"/>
          <w:sz w:val="18"/>
          <w:szCs w:val="18"/>
          <w:color w:val="auto"/>
        </w:rPr>
        <w:t>– more –</w:t>
      </w:r>
    </w:p>
    <w:p>
      <w:pPr>
        <w:spacing w:after="0" w:line="46" w:lineRule="exact"/>
        <w:rPr>
          <w:sz w:val="20"/>
          <w:szCs w:val="20"/>
          <w:color w:val="auto"/>
        </w:rPr>
      </w:pPr>
    </w:p>
    <w:p>
      <w:pPr>
        <w:ind w:left="2200"/>
        <w:spacing w:after="0"/>
        <w:tabs>
          <w:tab w:leader="none" w:pos="4700" w:val="left"/>
          <w:tab w:leader="none" w:pos="6820" w:val="left"/>
        </w:tabs>
        <w:rPr>
          <w:sz w:val="20"/>
          <w:szCs w:val="20"/>
          <w:color w:val="auto"/>
        </w:rPr>
      </w:pPr>
      <w:r>
        <w:rPr>
          <w:rFonts w:ascii="Arial" w:cs="Arial" w:eastAsia="Arial" w:hAnsi="Arial"/>
          <w:sz w:val="18"/>
          <w:szCs w:val="18"/>
          <w:b w:val="1"/>
          <w:bCs w:val="1"/>
          <w:color w:val="auto"/>
        </w:rPr>
        <w:t>333 Clay Street, Suite 1600</w:t>
      </w:r>
      <w:r>
        <w:rPr>
          <w:sz w:val="20"/>
          <w:szCs w:val="20"/>
          <w:color w:val="auto"/>
        </w:rPr>
        <w:tab/>
      </w:r>
      <w:r>
        <w:rPr>
          <w:rFonts w:ascii="Arial" w:cs="Arial" w:eastAsia="Arial" w:hAnsi="Arial"/>
          <w:sz w:val="18"/>
          <w:szCs w:val="18"/>
          <w:b w:val="1"/>
          <w:bCs w:val="1"/>
          <w:color w:val="auto"/>
        </w:rPr>
        <w:t>Houston, Texas 77002</w:t>
      </w:r>
      <w:r>
        <w:rPr>
          <w:sz w:val="20"/>
          <w:szCs w:val="20"/>
          <w:color w:val="auto"/>
        </w:rPr>
        <w:tab/>
      </w:r>
      <w:r>
        <w:rPr>
          <w:rFonts w:ascii="Arial" w:cs="Arial" w:eastAsia="Arial" w:hAnsi="Arial"/>
          <w:sz w:val="16"/>
          <w:szCs w:val="16"/>
          <w:b w:val="1"/>
          <w:bCs w:val="1"/>
          <w:color w:val="auto"/>
        </w:rPr>
        <w:t>(713) 646-4100 / (866) 809-1291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24662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220980</wp:posOffset>
            </wp:positionV>
            <wp:extent cx="7267575" cy="298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Page 13</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FINANCIAL SUMMARY </w:t>
      </w:r>
      <w:r>
        <w:rPr>
          <w:rFonts w:ascii="Arial" w:cs="Arial" w:eastAsia="Arial" w:hAnsi="Arial"/>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14" w:lineRule="exact"/>
        <w:rPr>
          <w:sz w:val="20"/>
          <w:szCs w:val="20"/>
          <w:color w:val="auto"/>
        </w:rPr>
      </w:pPr>
    </w:p>
    <w:p>
      <w:pPr>
        <w:ind w:right="3220"/>
        <w:spacing w:after="0" w:line="282" w:lineRule="auto"/>
        <w:rPr>
          <w:sz w:val="20"/>
          <w:szCs w:val="20"/>
          <w:color w:val="auto"/>
        </w:rPr>
      </w:pPr>
      <w:r>
        <w:rPr>
          <w:rFonts w:ascii="Arial" w:cs="Arial" w:eastAsia="Arial" w:hAnsi="Arial"/>
          <w:sz w:val="18"/>
          <w:szCs w:val="18"/>
          <w:b w:val="1"/>
          <w:bCs w:val="1"/>
          <w:u w:val="single" w:color="auto"/>
          <w:color w:val="auto"/>
        </w:rPr>
        <w:t xml:space="preserve">COMPUTATION OF ADJUSTED BASIC AND DILUTED EARNINGS PER LIMITED PARTNER UNIT </w:t>
      </w:r>
      <w:r>
        <w:rPr>
          <w:rFonts w:ascii="Arial" w:cs="Arial" w:eastAsia="Arial" w:hAnsi="Arial"/>
          <w:sz w:val="18"/>
          <w:szCs w:val="18"/>
          <w:color w:val="auto"/>
        </w:rPr>
        <w:t>(in millions, except per unit data)</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40" w:type="dxa"/>
            <w:vAlign w:val="bottom"/>
            <w:gridSpan w:val="5"/>
          </w:tcPr>
          <w:p>
            <w:pPr>
              <w:jc w:val="right"/>
              <w:ind w:right="205"/>
              <w:spacing w:after="0"/>
              <w:rPr>
                <w:sz w:val="20"/>
                <w:szCs w:val="20"/>
                <w:color w:val="auto"/>
              </w:rPr>
            </w:pPr>
            <w:r>
              <w:rPr>
                <w:rFonts w:ascii="Arial" w:cs="Arial" w:eastAsia="Arial" w:hAnsi="Arial"/>
                <w:sz w:val="14"/>
                <w:szCs w:val="14"/>
                <w:b w:val="1"/>
                <w:bCs w:val="1"/>
                <w:color w:val="auto"/>
              </w:rPr>
              <w:t>Three Months Ended</w:t>
            </w:r>
          </w:p>
        </w:tc>
        <w:tc>
          <w:tcPr>
            <w:tcW w:w="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380" w:type="dxa"/>
            <w:vAlign w:val="bottom"/>
            <w:gridSpan w:val="5"/>
          </w:tcPr>
          <w:p>
            <w:pPr>
              <w:jc w:val="right"/>
              <w:ind w:right="80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gridSpan w:val="4"/>
          </w:tcPr>
          <w:p>
            <w:pPr>
              <w:jc w:val="right"/>
              <w:ind w:right="605"/>
              <w:spacing w:after="0"/>
              <w:rPr>
                <w:sz w:val="20"/>
                <w:szCs w:val="20"/>
                <w:color w:val="auto"/>
              </w:rPr>
            </w:pPr>
            <w:r>
              <w:rPr>
                <w:rFonts w:ascii="Arial" w:cs="Arial" w:eastAsia="Arial" w:hAnsi="Arial"/>
                <w:sz w:val="14"/>
                <w:szCs w:val="14"/>
                <w:b w:val="1"/>
                <w:bCs w:val="1"/>
                <w:color w:val="auto"/>
              </w:rPr>
              <w:t>June 30,</w:t>
            </w:r>
          </w:p>
        </w:tc>
        <w:tc>
          <w:tcPr>
            <w:tcW w:w="36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3"/>
          </w:tcPr>
          <w:p>
            <w:pPr>
              <w:jc w:val="right"/>
              <w:ind w:right="85"/>
              <w:spacing w:after="0"/>
              <w:rPr>
                <w:sz w:val="20"/>
                <w:szCs w:val="20"/>
                <w:color w:val="auto"/>
              </w:rPr>
            </w:pPr>
            <w:r>
              <w:rPr>
                <w:rFonts w:ascii="Arial" w:cs="Arial" w:eastAsia="Arial" w:hAnsi="Arial"/>
                <w:sz w:val="14"/>
                <w:szCs w:val="14"/>
                <w:b w:val="1"/>
                <w:bCs w:val="1"/>
                <w:color w:val="auto"/>
              </w:rPr>
              <w:t>June 30,</w:t>
            </w:r>
          </w:p>
        </w:tc>
        <w:tc>
          <w:tcPr>
            <w:tcW w:w="8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2014</w:t>
            </w:r>
          </w:p>
        </w:tc>
        <w:tc>
          <w:tcPr>
            <w:tcW w:w="3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rPr>
              <w:t>2013</w:t>
            </w:r>
          </w:p>
        </w:tc>
        <w:tc>
          <w:tcPr>
            <w:tcW w:w="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tcPr>
          <w:p>
            <w:pPr>
              <w:jc w:val="right"/>
              <w:ind w:right="312"/>
              <w:spacing w:after="0" w:line="142" w:lineRule="exact"/>
              <w:rPr>
                <w:sz w:val="20"/>
                <w:szCs w:val="20"/>
                <w:color w:val="auto"/>
              </w:rPr>
            </w:pPr>
            <w:r>
              <w:rPr>
                <w:rFonts w:ascii="Arial" w:cs="Arial" w:eastAsia="Arial" w:hAnsi="Arial"/>
                <w:sz w:val="14"/>
                <w:szCs w:val="14"/>
                <w:b w:val="1"/>
                <w:bCs w:val="1"/>
                <w:color w:val="auto"/>
              </w:rPr>
              <w:t>2014</w:t>
            </w:r>
          </w:p>
        </w:tc>
        <w:tc>
          <w:tcPr>
            <w:tcW w:w="3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tcPr>
          <w:p>
            <w:pPr>
              <w:jc w:val="right"/>
              <w:ind w:right="331"/>
              <w:spacing w:after="0" w:line="142" w:lineRule="exact"/>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7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Basic Adjusted Net Income per Limited Partner Unit</w:t>
            </w:r>
          </w:p>
        </w:tc>
        <w:tc>
          <w:tcPr>
            <w:tcW w:w="18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Net income attributable to PAA</w:t>
            </w:r>
          </w:p>
        </w:tc>
        <w:tc>
          <w:tcPr>
            <w:tcW w:w="960" w:type="dxa"/>
            <w:vAlign w:val="bottom"/>
            <w:gridSpan w:val="2"/>
          </w:tcPr>
          <w:p>
            <w:pPr>
              <w:jc w:val="right"/>
              <w:ind w:right="599"/>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180"/>
              <w:spacing w:after="0"/>
              <w:rPr>
                <w:sz w:val="20"/>
                <w:szCs w:val="20"/>
                <w:color w:val="auto"/>
              </w:rPr>
            </w:pPr>
            <w:r>
              <w:rPr>
                <w:rFonts w:ascii="Arial" w:cs="Arial" w:eastAsia="Arial" w:hAnsi="Arial"/>
                <w:sz w:val="18"/>
                <w:szCs w:val="18"/>
                <w:color w:val="auto"/>
              </w:rPr>
              <w:t>287</w:t>
            </w:r>
          </w:p>
        </w:tc>
        <w:tc>
          <w:tcPr>
            <w:tcW w:w="900" w:type="dxa"/>
            <w:vAlign w:val="bottom"/>
            <w:gridSpan w:val="2"/>
          </w:tcPr>
          <w:p>
            <w:pPr>
              <w:jc w:val="right"/>
              <w:ind w:right="625"/>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ind w:right="180"/>
              <w:spacing w:after="0"/>
              <w:rPr>
                <w:sz w:val="20"/>
                <w:szCs w:val="20"/>
                <w:color w:val="auto"/>
              </w:rPr>
            </w:pPr>
            <w:r>
              <w:rPr>
                <w:rFonts w:ascii="Arial" w:cs="Arial" w:eastAsia="Arial" w:hAnsi="Arial"/>
                <w:sz w:val="18"/>
                <w:szCs w:val="18"/>
                <w:color w:val="auto"/>
              </w:rPr>
              <w:t>292</w:t>
            </w:r>
          </w:p>
        </w:tc>
        <w:tc>
          <w:tcPr>
            <w:tcW w:w="36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300"/>
              <w:spacing w:after="0"/>
              <w:rPr>
                <w:sz w:val="20"/>
                <w:szCs w:val="20"/>
                <w:color w:val="auto"/>
              </w:rPr>
            </w:pPr>
            <w:r>
              <w:rPr>
                <w:rFonts w:ascii="Arial" w:cs="Arial" w:eastAsia="Arial" w:hAnsi="Arial"/>
                <w:sz w:val="18"/>
                <w:szCs w:val="18"/>
                <w:color w:val="auto"/>
              </w:rPr>
              <w:t>671</w:t>
            </w: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821</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700" w:type="dxa"/>
            <w:vAlign w:val="bottom"/>
            <w:shd w:val="clear" w:color="auto" w:fill="CCEEFF"/>
          </w:tcPr>
          <w:p>
            <w:pPr>
              <w:ind w:left="160"/>
              <w:spacing w:after="0" w:line="162" w:lineRule="exact"/>
              <w:rPr>
                <w:sz w:val="20"/>
                <w:szCs w:val="20"/>
                <w:color w:val="auto"/>
              </w:rPr>
            </w:pPr>
            <w:r>
              <w:rPr>
                <w:rFonts w:ascii="Arial" w:cs="Arial" w:eastAsia="Arial" w:hAnsi="Arial"/>
                <w:sz w:val="18"/>
                <w:szCs w:val="18"/>
                <w:color w:val="auto"/>
                <w:w w:val="95"/>
              </w:rPr>
              <w:t>Selected items impacting comparability of net income attributable to PAA</w:t>
            </w:r>
          </w:p>
        </w:tc>
        <w:tc>
          <w:tcPr>
            <w:tcW w:w="18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5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20</w:t>
            </w: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54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16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8"/>
                <w:szCs w:val="18"/>
                <w:color w:val="auto"/>
              </w:rPr>
              <w:t>(11)</w:t>
            </w:r>
          </w:p>
        </w:tc>
        <w:tc>
          <w:tcPr>
            <w:tcW w:w="260" w:type="dxa"/>
            <w:vAlign w:val="bottom"/>
            <w:shd w:val="clear" w:color="auto" w:fill="CCEEFF"/>
          </w:tcPr>
          <w:p>
            <w:pPr>
              <w:spacing w:after="0"/>
              <w:rPr>
                <w:sz w:val="14"/>
                <w:szCs w:val="14"/>
                <w:color w:val="auto"/>
              </w:rPr>
            </w:pPr>
          </w:p>
        </w:tc>
        <w:tc>
          <w:tcPr>
            <w:tcW w:w="96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700" w:type="dxa"/>
            <w:vAlign w:val="bottom"/>
            <w:shd w:val="clear" w:color="auto" w:fill="CCEEFF"/>
          </w:tcPr>
          <w:p>
            <w:pPr>
              <w:ind w:left="340"/>
              <w:spacing w:after="0"/>
              <w:rPr>
                <w:sz w:val="20"/>
                <w:szCs w:val="20"/>
                <w:color w:val="auto"/>
              </w:rPr>
            </w:pPr>
            <w:r>
              <w:rPr>
                <w:rFonts w:ascii="Arial" w:cs="Arial" w:eastAsia="Arial" w:hAnsi="Arial"/>
                <w:sz w:val="12"/>
                <w:szCs w:val="12"/>
                <w:color w:val="auto"/>
              </w:rPr>
              <w:t>(1)</w:t>
            </w:r>
          </w:p>
        </w:tc>
        <w:tc>
          <w:tcPr>
            <w:tcW w:w="18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56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54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160" w:type="dxa"/>
            <w:vAlign w:val="bottom"/>
            <w:gridSpan w:val="2"/>
            <w:vMerge w:val="continue"/>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60" w:type="dxa"/>
            <w:vAlign w:val="bottom"/>
            <w:gridSpan w:val="2"/>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Adjusted net income attributable to PAA</w:t>
            </w:r>
          </w:p>
        </w:tc>
        <w:tc>
          <w:tcPr>
            <w:tcW w:w="180" w:type="dxa"/>
            <w:vAlign w:val="bottom"/>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307</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287</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660</w:t>
            </w:r>
          </w:p>
        </w:tc>
        <w:tc>
          <w:tcPr>
            <w:tcW w:w="3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811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shd w:val="clear" w:color="auto" w:fill="CCEEFF"/>
          </w:tcPr>
          <w:p>
            <w:pPr>
              <w:ind w:left="160"/>
              <w:spacing w:after="0" w:line="216" w:lineRule="exact"/>
              <w:rPr>
                <w:sz w:val="20"/>
                <w:szCs w:val="20"/>
                <w:color w:val="auto"/>
              </w:rPr>
            </w:pPr>
            <w:r>
              <w:rPr>
                <w:rFonts w:ascii="Arial" w:cs="Arial" w:eastAsia="Arial" w:hAnsi="Arial"/>
                <w:sz w:val="18"/>
                <w:szCs w:val="18"/>
                <w:color w:val="auto"/>
              </w:rPr>
              <w:t xml:space="preserve">Less: General partner’s incentive distribution </w:t>
            </w:r>
            <w:r>
              <w:rPr>
                <w:rFonts w:ascii="Arial" w:cs="Arial" w:eastAsia="Arial" w:hAnsi="Arial"/>
                <w:sz w:val="23"/>
                <w:szCs w:val="23"/>
                <w:color w:val="auto"/>
                <w:vertAlign w:val="superscript"/>
              </w:rPr>
              <w:t>(2)</w:t>
            </w: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9"/>
              </w:rPr>
              <w:t>(117)</w:t>
            </w: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(91)</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(227)</w:t>
            </w:r>
          </w:p>
        </w:tc>
        <w:tc>
          <w:tcPr>
            <w:tcW w:w="2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tcPr>
          <w:p>
            <w:pPr>
              <w:ind w:left="160"/>
              <w:spacing w:after="0" w:line="216" w:lineRule="exact"/>
              <w:rPr>
                <w:sz w:val="20"/>
                <w:szCs w:val="20"/>
                <w:color w:val="auto"/>
              </w:rPr>
            </w:pPr>
            <w:r>
              <w:rPr>
                <w:rFonts w:ascii="Arial" w:cs="Arial" w:eastAsia="Arial" w:hAnsi="Arial"/>
                <w:sz w:val="18"/>
                <w:szCs w:val="18"/>
                <w:color w:val="auto"/>
              </w:rPr>
              <w:t xml:space="preserve">Less: General partner 2% ownership </w:t>
            </w:r>
            <w:r>
              <w:rPr>
                <w:rFonts w:ascii="Arial" w:cs="Arial" w:eastAsia="Arial" w:hAnsi="Arial"/>
                <w:sz w:val="23"/>
                <w:szCs w:val="23"/>
                <w:color w:val="auto"/>
                <w:vertAlign w:val="superscript"/>
              </w:rPr>
              <w:t>(2)</w:t>
            </w: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60" w:type="dxa"/>
            <w:vAlign w:val="bottom"/>
            <w:gridSpan w:val="2"/>
          </w:tcPr>
          <w:p>
            <w:pPr>
              <w:jc w:val="right"/>
              <w:ind w:right="120"/>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40" w:type="dxa"/>
            <w:vAlign w:val="bottom"/>
            <w:gridSpan w:val="2"/>
          </w:tcPr>
          <w:p>
            <w:pPr>
              <w:jc w:val="right"/>
              <w:ind w:right="120"/>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(9)</w:t>
            </w:r>
          </w:p>
        </w:tc>
        <w:tc>
          <w:tcPr>
            <w:tcW w:w="26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700" w:type="dxa"/>
            <w:vAlign w:val="bottom"/>
            <w:tcBorders>
              <w:top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Adjusted net income available to limited partners</w:t>
            </w:r>
          </w:p>
        </w:tc>
        <w:tc>
          <w:tcPr>
            <w:tcW w:w="18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186</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192</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424</w:t>
            </w:r>
          </w:p>
        </w:tc>
        <w:tc>
          <w:tcPr>
            <w:tcW w:w="3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621</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700" w:type="dxa"/>
            <w:vAlign w:val="bottom"/>
          </w:tcPr>
          <w:p>
            <w:pPr>
              <w:ind w:left="160"/>
              <w:spacing w:after="0" w:line="201" w:lineRule="exact"/>
              <w:rPr>
                <w:sz w:val="20"/>
                <w:szCs w:val="20"/>
                <w:color w:val="auto"/>
              </w:rPr>
            </w:pPr>
            <w:r>
              <w:rPr>
                <w:rFonts w:ascii="Arial" w:cs="Arial" w:eastAsia="Arial" w:hAnsi="Arial"/>
                <w:sz w:val="18"/>
                <w:szCs w:val="18"/>
                <w:color w:val="auto"/>
                <w:w w:val="97"/>
              </w:rPr>
              <w:t>Less: Undistributed earnings allocated and distributions to participating</w:t>
            </w: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700" w:type="dxa"/>
            <w:vAlign w:val="bottom"/>
          </w:tcPr>
          <w:p>
            <w:pPr>
              <w:ind w:left="340"/>
              <w:spacing w:after="0" w:line="231" w:lineRule="exact"/>
              <w:rPr>
                <w:sz w:val="20"/>
                <w:szCs w:val="20"/>
                <w:color w:val="auto"/>
              </w:rPr>
            </w:pPr>
            <w:r>
              <w:rPr>
                <w:rFonts w:ascii="Arial" w:cs="Arial" w:eastAsia="Arial" w:hAnsi="Arial"/>
                <w:sz w:val="18"/>
                <w:szCs w:val="18"/>
                <w:color w:val="auto"/>
              </w:rPr>
              <w:t xml:space="preserve">securities </w:t>
            </w:r>
            <w:r>
              <w:rPr>
                <w:rFonts w:ascii="Arial" w:cs="Arial" w:eastAsia="Arial" w:hAnsi="Arial"/>
                <w:sz w:val="23"/>
                <w:szCs w:val="23"/>
                <w:color w:val="auto"/>
                <w:vertAlign w:val="superscript"/>
              </w:rPr>
              <w:t>(2)</w:t>
            </w:r>
          </w:p>
        </w:tc>
        <w:tc>
          <w:tcPr>
            <w:tcW w:w="1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560" w:type="dxa"/>
            <w:vAlign w:val="bottom"/>
            <w:gridSpan w:val="2"/>
          </w:tcPr>
          <w:p>
            <w:pPr>
              <w:jc w:val="right"/>
              <w:ind w:right="12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540" w:type="dxa"/>
            <w:vAlign w:val="bottom"/>
            <w:gridSpan w:val="2"/>
          </w:tcPr>
          <w:p>
            <w:pPr>
              <w:jc w:val="right"/>
              <w:ind w:right="12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(3)</w:t>
            </w:r>
          </w:p>
        </w:tc>
        <w:tc>
          <w:tcPr>
            <w:tcW w:w="260" w:type="dxa"/>
            <w:vAlign w:val="bottom"/>
          </w:tcPr>
          <w:p>
            <w:pPr>
              <w:spacing w:after="0"/>
              <w:rPr>
                <w:sz w:val="20"/>
                <w:szCs w:val="20"/>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7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Adjusted limited partners’ net income</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ind w:right="599"/>
              <w:spacing w:after="0"/>
              <w:rPr>
                <w:sz w:val="20"/>
                <w:szCs w:val="20"/>
                <w:color w:val="auto"/>
              </w:rPr>
            </w:pPr>
            <w:r>
              <w:rPr>
                <w:rFonts w:ascii="Arial" w:cs="Arial" w:eastAsia="Arial" w:hAnsi="Arial"/>
                <w:sz w:val="18"/>
                <w:szCs w:val="18"/>
                <w:color w:val="auto"/>
                <w:w w:val="79"/>
              </w:rPr>
              <w:t>$</w:t>
            </w:r>
          </w:p>
        </w:tc>
        <w:tc>
          <w:tcPr>
            <w:tcW w:w="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185</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ind w:right="625"/>
              <w:spacing w:after="0"/>
              <w:rPr>
                <w:sz w:val="20"/>
                <w:szCs w:val="20"/>
                <w:color w:val="auto"/>
              </w:rPr>
            </w:pPr>
            <w:r>
              <w:rPr>
                <w:rFonts w:ascii="Arial" w:cs="Arial" w:eastAsia="Arial" w:hAnsi="Arial"/>
                <w:sz w:val="15"/>
                <w:szCs w:val="15"/>
                <w:color w:val="auto"/>
                <w:w w:val="71"/>
              </w:rPr>
              <w:t>$</w:t>
            </w:r>
          </w:p>
        </w:tc>
        <w:tc>
          <w:tcPr>
            <w:tcW w:w="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191</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421</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617</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5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Basic weighted average number of limited partner units outstanding</w:t>
            </w: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365</w:t>
            </w: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340</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363</w:t>
            </w:r>
          </w:p>
        </w:tc>
        <w:tc>
          <w:tcPr>
            <w:tcW w:w="2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Basic adjusted net income per limited partner unit</w:t>
            </w:r>
          </w:p>
        </w:tc>
        <w:tc>
          <w:tcPr>
            <w:tcW w:w="960" w:type="dxa"/>
            <w:vAlign w:val="bottom"/>
            <w:gridSpan w:val="2"/>
            <w:shd w:val="clear" w:color="auto" w:fill="CCEEFF"/>
          </w:tcPr>
          <w:p>
            <w:pPr>
              <w:jc w:val="right"/>
              <w:ind w:right="599"/>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0.51</w:t>
            </w:r>
          </w:p>
        </w:tc>
        <w:tc>
          <w:tcPr>
            <w:tcW w:w="900" w:type="dxa"/>
            <w:vAlign w:val="bottom"/>
            <w:gridSpan w:val="2"/>
            <w:shd w:val="clear" w:color="auto" w:fill="CCEEFF"/>
          </w:tcPr>
          <w:p>
            <w:pPr>
              <w:jc w:val="right"/>
              <w:ind w:right="625"/>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6"/>
              </w:rPr>
              <w:t>0.56</w:t>
            </w:r>
          </w:p>
        </w:tc>
        <w:tc>
          <w:tcPr>
            <w:tcW w:w="36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1.16</w:t>
            </w: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5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Diluted Adjusted Net Income per Limited Partner Unit</w:t>
            </w: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Net income attributable to PAA</w:t>
            </w:r>
          </w:p>
        </w:tc>
        <w:tc>
          <w:tcPr>
            <w:tcW w:w="960" w:type="dxa"/>
            <w:vAlign w:val="bottom"/>
            <w:gridSpan w:val="2"/>
          </w:tcPr>
          <w:p>
            <w:pPr>
              <w:jc w:val="right"/>
              <w:ind w:right="599"/>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180"/>
              <w:spacing w:after="0"/>
              <w:rPr>
                <w:sz w:val="20"/>
                <w:szCs w:val="20"/>
                <w:color w:val="auto"/>
              </w:rPr>
            </w:pPr>
            <w:r>
              <w:rPr>
                <w:rFonts w:ascii="Arial" w:cs="Arial" w:eastAsia="Arial" w:hAnsi="Arial"/>
                <w:sz w:val="18"/>
                <w:szCs w:val="18"/>
                <w:color w:val="auto"/>
              </w:rPr>
              <w:t>287</w:t>
            </w:r>
          </w:p>
        </w:tc>
        <w:tc>
          <w:tcPr>
            <w:tcW w:w="900" w:type="dxa"/>
            <w:vAlign w:val="bottom"/>
            <w:gridSpan w:val="2"/>
          </w:tcPr>
          <w:p>
            <w:pPr>
              <w:jc w:val="right"/>
              <w:ind w:right="625"/>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ind w:right="180"/>
              <w:spacing w:after="0"/>
              <w:rPr>
                <w:sz w:val="20"/>
                <w:szCs w:val="20"/>
                <w:color w:val="auto"/>
              </w:rPr>
            </w:pPr>
            <w:r>
              <w:rPr>
                <w:rFonts w:ascii="Arial" w:cs="Arial" w:eastAsia="Arial" w:hAnsi="Arial"/>
                <w:sz w:val="18"/>
                <w:szCs w:val="18"/>
                <w:color w:val="auto"/>
              </w:rPr>
              <w:t>292</w:t>
            </w:r>
          </w:p>
        </w:tc>
        <w:tc>
          <w:tcPr>
            <w:tcW w:w="36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300"/>
              <w:spacing w:after="0"/>
              <w:rPr>
                <w:sz w:val="20"/>
                <w:szCs w:val="20"/>
                <w:color w:val="auto"/>
              </w:rPr>
            </w:pPr>
            <w:r>
              <w:rPr>
                <w:rFonts w:ascii="Arial" w:cs="Arial" w:eastAsia="Arial" w:hAnsi="Arial"/>
                <w:sz w:val="18"/>
                <w:szCs w:val="18"/>
                <w:color w:val="auto"/>
              </w:rPr>
              <w:t>671</w:t>
            </w: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821</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700" w:type="dxa"/>
            <w:vAlign w:val="bottom"/>
            <w:shd w:val="clear" w:color="auto" w:fill="CCEEFF"/>
          </w:tcPr>
          <w:p>
            <w:pPr>
              <w:ind w:left="160"/>
              <w:spacing w:after="0" w:line="162" w:lineRule="exact"/>
              <w:rPr>
                <w:sz w:val="20"/>
                <w:szCs w:val="20"/>
                <w:color w:val="auto"/>
              </w:rPr>
            </w:pPr>
            <w:r>
              <w:rPr>
                <w:rFonts w:ascii="Arial" w:cs="Arial" w:eastAsia="Arial" w:hAnsi="Arial"/>
                <w:sz w:val="18"/>
                <w:szCs w:val="18"/>
                <w:color w:val="auto"/>
                <w:w w:val="95"/>
              </w:rPr>
              <w:t>Selected items impacting comparability of net income attributable to PAA</w:t>
            </w:r>
          </w:p>
        </w:tc>
        <w:tc>
          <w:tcPr>
            <w:tcW w:w="18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5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20</w:t>
            </w: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54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16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8"/>
                <w:szCs w:val="18"/>
                <w:color w:val="auto"/>
              </w:rPr>
              <w:t>(11)</w:t>
            </w:r>
          </w:p>
        </w:tc>
        <w:tc>
          <w:tcPr>
            <w:tcW w:w="260" w:type="dxa"/>
            <w:vAlign w:val="bottom"/>
            <w:shd w:val="clear" w:color="auto" w:fill="CCEEFF"/>
          </w:tcPr>
          <w:p>
            <w:pPr>
              <w:spacing w:after="0"/>
              <w:rPr>
                <w:sz w:val="14"/>
                <w:szCs w:val="14"/>
                <w:color w:val="auto"/>
              </w:rPr>
            </w:pPr>
          </w:p>
        </w:tc>
        <w:tc>
          <w:tcPr>
            <w:tcW w:w="96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700" w:type="dxa"/>
            <w:vAlign w:val="bottom"/>
            <w:shd w:val="clear" w:color="auto" w:fill="CCEEFF"/>
          </w:tcPr>
          <w:p>
            <w:pPr>
              <w:ind w:left="340"/>
              <w:spacing w:after="0"/>
              <w:rPr>
                <w:sz w:val="20"/>
                <w:szCs w:val="20"/>
                <w:color w:val="auto"/>
              </w:rPr>
            </w:pPr>
            <w:r>
              <w:rPr>
                <w:rFonts w:ascii="Arial" w:cs="Arial" w:eastAsia="Arial" w:hAnsi="Arial"/>
                <w:sz w:val="12"/>
                <w:szCs w:val="12"/>
                <w:color w:val="auto"/>
              </w:rPr>
              <w:t>(1)</w:t>
            </w:r>
          </w:p>
        </w:tc>
        <w:tc>
          <w:tcPr>
            <w:tcW w:w="18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56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54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160" w:type="dxa"/>
            <w:vAlign w:val="bottom"/>
            <w:gridSpan w:val="2"/>
            <w:vMerge w:val="continue"/>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60" w:type="dxa"/>
            <w:vAlign w:val="bottom"/>
            <w:gridSpan w:val="2"/>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Adjusted net income attributable to PAA</w:t>
            </w:r>
          </w:p>
        </w:tc>
        <w:tc>
          <w:tcPr>
            <w:tcW w:w="180" w:type="dxa"/>
            <w:vAlign w:val="bottom"/>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307</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287</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660</w:t>
            </w:r>
          </w:p>
        </w:tc>
        <w:tc>
          <w:tcPr>
            <w:tcW w:w="3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811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shd w:val="clear" w:color="auto" w:fill="CCEEFF"/>
          </w:tcPr>
          <w:p>
            <w:pPr>
              <w:ind w:left="160"/>
              <w:spacing w:after="0" w:line="216" w:lineRule="exact"/>
              <w:rPr>
                <w:sz w:val="20"/>
                <w:szCs w:val="20"/>
                <w:color w:val="auto"/>
              </w:rPr>
            </w:pPr>
            <w:r>
              <w:rPr>
                <w:rFonts w:ascii="Arial" w:cs="Arial" w:eastAsia="Arial" w:hAnsi="Arial"/>
                <w:sz w:val="18"/>
                <w:szCs w:val="18"/>
                <w:color w:val="auto"/>
              </w:rPr>
              <w:t xml:space="preserve">Less: General partner’s incentive distribution </w:t>
            </w:r>
            <w:r>
              <w:rPr>
                <w:rFonts w:ascii="Arial" w:cs="Arial" w:eastAsia="Arial" w:hAnsi="Arial"/>
                <w:sz w:val="23"/>
                <w:szCs w:val="23"/>
                <w:color w:val="auto"/>
                <w:vertAlign w:val="superscript"/>
              </w:rPr>
              <w:t>(2)</w:t>
            </w: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9"/>
              </w:rPr>
              <w:t>(117)</w:t>
            </w: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(91)</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(227)</w:t>
            </w:r>
          </w:p>
        </w:tc>
        <w:tc>
          <w:tcPr>
            <w:tcW w:w="2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tcPr>
          <w:p>
            <w:pPr>
              <w:ind w:left="160"/>
              <w:spacing w:after="0" w:line="216" w:lineRule="exact"/>
              <w:rPr>
                <w:sz w:val="20"/>
                <w:szCs w:val="20"/>
                <w:color w:val="auto"/>
              </w:rPr>
            </w:pPr>
            <w:r>
              <w:rPr>
                <w:rFonts w:ascii="Arial" w:cs="Arial" w:eastAsia="Arial" w:hAnsi="Arial"/>
                <w:sz w:val="18"/>
                <w:szCs w:val="18"/>
                <w:color w:val="auto"/>
              </w:rPr>
              <w:t xml:space="preserve">Less: General partner 2% ownership </w:t>
            </w:r>
            <w:r>
              <w:rPr>
                <w:rFonts w:ascii="Arial" w:cs="Arial" w:eastAsia="Arial" w:hAnsi="Arial"/>
                <w:sz w:val="23"/>
                <w:szCs w:val="23"/>
                <w:color w:val="auto"/>
                <w:vertAlign w:val="superscript"/>
              </w:rPr>
              <w:t>(2)</w:t>
            </w: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60" w:type="dxa"/>
            <w:vAlign w:val="bottom"/>
            <w:gridSpan w:val="2"/>
          </w:tcPr>
          <w:p>
            <w:pPr>
              <w:jc w:val="right"/>
              <w:ind w:right="120"/>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40" w:type="dxa"/>
            <w:vAlign w:val="bottom"/>
            <w:gridSpan w:val="2"/>
          </w:tcPr>
          <w:p>
            <w:pPr>
              <w:jc w:val="right"/>
              <w:ind w:right="120"/>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(9)</w:t>
            </w:r>
          </w:p>
        </w:tc>
        <w:tc>
          <w:tcPr>
            <w:tcW w:w="26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700" w:type="dxa"/>
            <w:vAlign w:val="bottom"/>
            <w:tcBorders>
              <w:top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Adjusted net income available to limited partners</w:t>
            </w:r>
          </w:p>
        </w:tc>
        <w:tc>
          <w:tcPr>
            <w:tcW w:w="18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186</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192</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424</w:t>
            </w:r>
          </w:p>
        </w:tc>
        <w:tc>
          <w:tcPr>
            <w:tcW w:w="3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621</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700" w:type="dxa"/>
            <w:vAlign w:val="bottom"/>
          </w:tcPr>
          <w:p>
            <w:pPr>
              <w:ind w:left="160"/>
              <w:spacing w:after="0" w:line="201" w:lineRule="exact"/>
              <w:rPr>
                <w:sz w:val="20"/>
                <w:szCs w:val="20"/>
                <w:color w:val="auto"/>
              </w:rPr>
            </w:pPr>
            <w:r>
              <w:rPr>
                <w:rFonts w:ascii="Arial" w:cs="Arial" w:eastAsia="Arial" w:hAnsi="Arial"/>
                <w:sz w:val="18"/>
                <w:szCs w:val="18"/>
                <w:color w:val="auto"/>
                <w:w w:val="97"/>
              </w:rPr>
              <w:t>Less: Undistributed earnings allocated and distributions to participating</w:t>
            </w: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700" w:type="dxa"/>
            <w:vAlign w:val="bottom"/>
          </w:tcPr>
          <w:p>
            <w:pPr>
              <w:ind w:left="340"/>
              <w:spacing w:after="0" w:line="231" w:lineRule="exact"/>
              <w:rPr>
                <w:sz w:val="20"/>
                <w:szCs w:val="20"/>
                <w:color w:val="auto"/>
              </w:rPr>
            </w:pPr>
            <w:r>
              <w:rPr>
                <w:rFonts w:ascii="Arial" w:cs="Arial" w:eastAsia="Arial" w:hAnsi="Arial"/>
                <w:sz w:val="18"/>
                <w:szCs w:val="18"/>
                <w:color w:val="auto"/>
              </w:rPr>
              <w:t xml:space="preserve">securities </w:t>
            </w:r>
            <w:r>
              <w:rPr>
                <w:rFonts w:ascii="Arial" w:cs="Arial" w:eastAsia="Arial" w:hAnsi="Arial"/>
                <w:sz w:val="23"/>
                <w:szCs w:val="23"/>
                <w:color w:val="auto"/>
                <w:vertAlign w:val="superscript"/>
              </w:rPr>
              <w:t>(2)</w:t>
            </w:r>
          </w:p>
        </w:tc>
        <w:tc>
          <w:tcPr>
            <w:tcW w:w="1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560" w:type="dxa"/>
            <w:vAlign w:val="bottom"/>
            <w:gridSpan w:val="2"/>
          </w:tcPr>
          <w:p>
            <w:pPr>
              <w:jc w:val="right"/>
              <w:ind w:right="12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540" w:type="dxa"/>
            <w:vAlign w:val="bottom"/>
            <w:gridSpan w:val="2"/>
          </w:tcPr>
          <w:p>
            <w:pPr>
              <w:jc w:val="right"/>
              <w:ind w:right="12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(3)</w:t>
            </w:r>
          </w:p>
        </w:tc>
        <w:tc>
          <w:tcPr>
            <w:tcW w:w="260" w:type="dxa"/>
            <w:vAlign w:val="bottom"/>
          </w:tcPr>
          <w:p>
            <w:pPr>
              <w:spacing w:after="0"/>
              <w:rPr>
                <w:sz w:val="20"/>
                <w:szCs w:val="20"/>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7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Adjusted limited partners’ net income</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ind w:right="599"/>
              <w:spacing w:after="0"/>
              <w:rPr>
                <w:sz w:val="20"/>
                <w:szCs w:val="20"/>
                <w:color w:val="auto"/>
              </w:rPr>
            </w:pPr>
            <w:r>
              <w:rPr>
                <w:rFonts w:ascii="Arial" w:cs="Arial" w:eastAsia="Arial" w:hAnsi="Arial"/>
                <w:sz w:val="18"/>
                <w:szCs w:val="18"/>
                <w:color w:val="auto"/>
                <w:w w:val="79"/>
              </w:rPr>
              <w:t>$</w:t>
            </w:r>
          </w:p>
        </w:tc>
        <w:tc>
          <w:tcPr>
            <w:tcW w:w="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185</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ind w:right="625"/>
              <w:spacing w:after="0"/>
              <w:rPr>
                <w:sz w:val="20"/>
                <w:szCs w:val="20"/>
                <w:color w:val="auto"/>
              </w:rPr>
            </w:pPr>
            <w:r>
              <w:rPr>
                <w:rFonts w:ascii="Arial" w:cs="Arial" w:eastAsia="Arial" w:hAnsi="Arial"/>
                <w:sz w:val="15"/>
                <w:szCs w:val="15"/>
                <w:color w:val="auto"/>
                <w:w w:val="71"/>
              </w:rPr>
              <w:t>$</w:t>
            </w:r>
          </w:p>
        </w:tc>
        <w:tc>
          <w:tcPr>
            <w:tcW w:w="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191</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421</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618</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5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Diluted weighted average number of limited partner units outstanding</w:t>
            </w: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367</w:t>
            </w: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342</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365</w:t>
            </w:r>
          </w:p>
        </w:tc>
        <w:tc>
          <w:tcPr>
            <w:tcW w:w="2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Diluted adjusted net income per limited partner unit</w:t>
            </w:r>
          </w:p>
        </w:tc>
        <w:tc>
          <w:tcPr>
            <w:tcW w:w="960" w:type="dxa"/>
            <w:vAlign w:val="bottom"/>
            <w:gridSpan w:val="2"/>
            <w:shd w:val="clear" w:color="auto" w:fill="CCEEFF"/>
          </w:tcPr>
          <w:p>
            <w:pPr>
              <w:jc w:val="right"/>
              <w:ind w:right="599"/>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0.50</w:t>
            </w:r>
          </w:p>
        </w:tc>
        <w:tc>
          <w:tcPr>
            <w:tcW w:w="900" w:type="dxa"/>
            <w:vAlign w:val="bottom"/>
            <w:gridSpan w:val="2"/>
            <w:shd w:val="clear" w:color="auto" w:fill="CCEEFF"/>
          </w:tcPr>
          <w:p>
            <w:pPr>
              <w:jc w:val="right"/>
              <w:ind w:right="625"/>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6"/>
              </w:rPr>
              <w:t>0.56</w:t>
            </w:r>
          </w:p>
        </w:tc>
        <w:tc>
          <w:tcPr>
            <w:tcW w:w="36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1.15</w:t>
            </w: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77" w:lineRule="exact"/>
        <w:rPr>
          <w:sz w:val="20"/>
          <w:szCs w:val="20"/>
          <w:color w:val="auto"/>
        </w:rPr>
      </w:pPr>
    </w:p>
    <w:p>
      <w:pPr>
        <w:ind w:left="200" w:hanging="192"/>
        <w:spacing w:after="0"/>
        <w:tabs>
          <w:tab w:leader="none" w:pos="200" w:val="left"/>
        </w:tabs>
        <w:numPr>
          <w:ilvl w:val="0"/>
          <w:numId w:val="26"/>
        </w:numPr>
        <w:rPr>
          <w:rFonts w:ascii="Arial" w:cs="Arial" w:eastAsia="Arial" w:hAnsi="Arial"/>
          <w:sz w:val="23"/>
          <w:szCs w:val="23"/>
          <w:color w:val="auto"/>
          <w:vertAlign w:val="superscript"/>
        </w:rPr>
      </w:pPr>
      <w:r>
        <w:rPr>
          <w:rFonts w:ascii="Arial" w:cs="Arial" w:eastAsia="Arial" w:hAnsi="Arial"/>
          <w:sz w:val="18"/>
          <w:szCs w:val="18"/>
          <w:color w:val="auto"/>
        </w:rPr>
        <w:t>Certain of our non-GAAP financial measures may not be impacted by each of the selected items impacting comparability.</w:t>
      </w:r>
    </w:p>
    <w:p>
      <w:pPr>
        <w:spacing w:after="0" w:line="1" w:lineRule="exact"/>
        <w:rPr>
          <w:rFonts w:ascii="Arial" w:cs="Arial" w:eastAsia="Arial" w:hAnsi="Arial"/>
          <w:sz w:val="23"/>
          <w:szCs w:val="23"/>
          <w:color w:val="auto"/>
          <w:vertAlign w:val="superscript"/>
        </w:rPr>
      </w:pPr>
    </w:p>
    <w:p>
      <w:pPr>
        <w:ind w:left="200" w:right="40" w:hanging="192"/>
        <w:spacing w:after="0" w:line="233" w:lineRule="auto"/>
        <w:tabs>
          <w:tab w:leader="none" w:pos="200" w:val="left"/>
        </w:tabs>
        <w:numPr>
          <w:ilvl w:val="0"/>
          <w:numId w:val="26"/>
        </w:numPr>
        <w:rPr>
          <w:rFonts w:ascii="Arial" w:cs="Arial" w:eastAsia="Arial" w:hAnsi="Arial"/>
          <w:sz w:val="23"/>
          <w:szCs w:val="23"/>
          <w:color w:val="auto"/>
          <w:vertAlign w:val="superscript"/>
        </w:rPr>
      </w:pPr>
      <w:r>
        <w:rPr>
          <w:rFonts w:ascii="Arial" w:cs="Arial" w:eastAsia="Arial" w:hAnsi="Arial"/>
          <w:sz w:val="18"/>
          <w:szCs w:val="18"/>
          <w:color w:val="auto"/>
        </w:rPr>
        <w:t>We calculate adjusted net income available to limited partners based on the distributions pertaining to the current period’s net income. After adjusting for the appropriate period’s distributions, the remaining undistributed earnings or excess distributions over earnings, if any, are allocated to the general partner, limited partners and participating securities in accordance with the contractual terms of the partnership agreement and as further prescribed under the two-class method.</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more –</w:t>
      </w:r>
    </w:p>
    <w:p>
      <w:pPr>
        <w:spacing w:after="0" w:line="46" w:lineRule="exact"/>
        <w:rPr>
          <w:sz w:val="20"/>
          <w:szCs w:val="20"/>
          <w:color w:val="auto"/>
        </w:rPr>
      </w:pPr>
    </w:p>
    <w:p>
      <w:pPr>
        <w:ind w:left="2200"/>
        <w:spacing w:after="0"/>
        <w:tabs>
          <w:tab w:leader="none" w:pos="4700" w:val="left"/>
          <w:tab w:leader="none" w:pos="6820" w:val="left"/>
        </w:tabs>
        <w:rPr>
          <w:sz w:val="20"/>
          <w:szCs w:val="20"/>
          <w:color w:val="auto"/>
        </w:rPr>
      </w:pPr>
      <w:r>
        <w:rPr>
          <w:rFonts w:ascii="Arial" w:cs="Arial" w:eastAsia="Arial" w:hAnsi="Arial"/>
          <w:sz w:val="18"/>
          <w:szCs w:val="18"/>
          <w:b w:val="1"/>
          <w:bCs w:val="1"/>
          <w:color w:val="auto"/>
        </w:rPr>
        <w:t>333 Clay Street, Suite 1600</w:t>
      </w:r>
      <w:r>
        <w:rPr>
          <w:sz w:val="20"/>
          <w:szCs w:val="20"/>
          <w:color w:val="auto"/>
        </w:rPr>
        <w:tab/>
      </w:r>
      <w:r>
        <w:rPr>
          <w:rFonts w:ascii="Arial" w:cs="Arial" w:eastAsia="Arial" w:hAnsi="Arial"/>
          <w:sz w:val="18"/>
          <w:szCs w:val="18"/>
          <w:b w:val="1"/>
          <w:bCs w:val="1"/>
          <w:color w:val="auto"/>
        </w:rPr>
        <w:t>Houston, Texas 77002</w:t>
      </w:r>
      <w:r>
        <w:rPr>
          <w:sz w:val="20"/>
          <w:szCs w:val="20"/>
          <w:color w:val="auto"/>
        </w:rPr>
        <w:tab/>
      </w:r>
      <w:r>
        <w:rPr>
          <w:rFonts w:ascii="Arial" w:cs="Arial" w:eastAsia="Arial" w:hAnsi="Arial"/>
          <w:sz w:val="16"/>
          <w:szCs w:val="16"/>
          <w:b w:val="1"/>
          <w:bCs w:val="1"/>
          <w:color w:val="auto"/>
        </w:rPr>
        <w:t>(713) 646-4100 / (866) 809-1291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24662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220980</wp:posOffset>
            </wp:positionV>
            <wp:extent cx="7267575" cy="298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Page 14</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FINANCIAL SUMMARY </w:t>
      </w:r>
      <w:r>
        <w:rPr>
          <w:rFonts w:ascii="Arial" w:cs="Arial" w:eastAsia="Arial" w:hAnsi="Arial"/>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24662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FINANCIAL DATA RECONCILIATIONS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(in millions)</w:t>
      </w:r>
    </w:p>
    <w:p>
      <w:pPr>
        <w:spacing w:after="0" w:line="190" w:lineRule="exact"/>
        <w:rPr>
          <w:sz w:val="20"/>
          <w:szCs w:val="20"/>
          <w:color w:val="auto"/>
        </w:rPr>
      </w:pPr>
    </w:p>
    <w:tbl>
      <w:tblPr>
        <w:tblLayout w:type="fixed"/>
        <w:tblInd w:w="5900" w:type="dxa"/>
        <w:tblCellMar>
          <w:top w:w="0" w:type="dxa"/>
          <w:left w:w="0" w:type="dxa"/>
          <w:bottom w:w="0" w:type="dxa"/>
          <w:right w:w="0" w:type="dxa"/>
        </w:tblCellMar>
      </w:tblPr>
      <w:tr>
        <w:trPr>
          <w:trHeight w:val="161"/>
        </w:trPr>
        <w:tc>
          <w:tcPr>
            <w:tcW w:w="288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93"/>
              </w:rPr>
              <w:t>Three Months Ended</w:t>
            </w:r>
          </w:p>
        </w:tc>
        <w:tc>
          <w:tcPr>
            <w:tcW w:w="2540" w:type="dxa"/>
            <w:vAlign w:val="bottom"/>
            <w:gridSpan w:val="2"/>
          </w:tcPr>
          <w:p>
            <w:pPr>
              <w:jc w:val="center"/>
              <w:spacing w:after="0"/>
              <w:rPr>
                <w:sz w:val="20"/>
                <w:szCs w:val="20"/>
                <w:color w:val="auto"/>
              </w:rPr>
            </w:pPr>
            <w:r>
              <w:rPr>
                <w:rFonts w:ascii="Arial" w:cs="Arial" w:eastAsia="Arial" w:hAnsi="Arial"/>
                <w:sz w:val="14"/>
                <w:szCs w:val="14"/>
                <w:b w:val="1"/>
                <w:bCs w:val="1"/>
                <w:color w:val="auto"/>
                <w:w w:val="93"/>
              </w:rPr>
              <w:t>Six Months Ended</w:t>
            </w:r>
          </w:p>
        </w:tc>
      </w:tr>
      <w:tr>
        <w:trPr>
          <w:trHeight w:val="171"/>
        </w:trPr>
        <w:tc>
          <w:tcPr>
            <w:tcW w:w="880" w:type="dxa"/>
            <w:vAlign w:val="bottom"/>
          </w:tcPr>
          <w:p>
            <w:pPr>
              <w:spacing w:after="0"/>
              <w:rPr>
                <w:sz w:val="14"/>
                <w:szCs w:val="14"/>
                <w:color w:val="auto"/>
              </w:rPr>
            </w:pPr>
          </w:p>
        </w:tc>
        <w:tc>
          <w:tcPr>
            <w:tcW w:w="2000" w:type="dxa"/>
            <w:vAlign w:val="bottom"/>
            <w:gridSpan w:val="2"/>
          </w:tcPr>
          <w:p>
            <w:pPr>
              <w:jc w:val="center"/>
              <w:ind w:right="1140"/>
              <w:spacing w:after="0"/>
              <w:rPr>
                <w:sz w:val="20"/>
                <w:szCs w:val="20"/>
                <w:color w:val="auto"/>
              </w:rPr>
            </w:pPr>
            <w:r>
              <w:rPr>
                <w:rFonts w:ascii="Arial" w:cs="Arial" w:eastAsia="Arial" w:hAnsi="Arial"/>
                <w:sz w:val="14"/>
                <w:szCs w:val="14"/>
                <w:b w:val="1"/>
                <w:bCs w:val="1"/>
                <w:color w:val="auto"/>
                <w:w w:val="89"/>
              </w:rPr>
              <w:t>June 30,</w:t>
            </w:r>
          </w:p>
        </w:tc>
        <w:tc>
          <w:tcPr>
            <w:tcW w:w="860" w:type="dxa"/>
            <w:vAlign w:val="bottom"/>
          </w:tcPr>
          <w:p>
            <w:pPr>
              <w:spacing w:after="0"/>
              <w:rPr>
                <w:sz w:val="14"/>
                <w:szCs w:val="14"/>
                <w:color w:val="auto"/>
              </w:rPr>
            </w:pPr>
          </w:p>
        </w:tc>
        <w:tc>
          <w:tcPr>
            <w:tcW w:w="1680" w:type="dxa"/>
            <w:vAlign w:val="bottom"/>
          </w:tcPr>
          <w:p>
            <w:pPr>
              <w:jc w:val="center"/>
              <w:ind w:right="788"/>
              <w:spacing w:after="0"/>
              <w:rPr>
                <w:sz w:val="20"/>
                <w:szCs w:val="20"/>
                <w:color w:val="auto"/>
              </w:rPr>
            </w:pPr>
            <w:r>
              <w:rPr>
                <w:rFonts w:ascii="Arial" w:cs="Arial" w:eastAsia="Arial" w:hAnsi="Arial"/>
                <w:sz w:val="14"/>
                <w:szCs w:val="14"/>
                <w:b w:val="1"/>
                <w:bCs w:val="1"/>
                <w:color w:val="auto"/>
                <w:w w:val="89"/>
              </w:rPr>
              <w:t>June 30,</w:t>
            </w:r>
          </w:p>
        </w:tc>
      </w:tr>
      <w:tr>
        <w:trPr>
          <w:trHeight w:val="144"/>
        </w:trPr>
        <w:tc>
          <w:tcPr>
            <w:tcW w:w="880" w:type="dxa"/>
            <w:vAlign w:val="bottom"/>
            <w:tcBorders>
              <w:top w:val="single" w:sz="8" w:color="auto"/>
            </w:tcBorders>
          </w:tcPr>
          <w:p>
            <w:pPr>
              <w:jc w:val="right"/>
              <w:ind w:right="88"/>
              <w:spacing w:after="0" w:line="144" w:lineRule="exact"/>
              <w:rPr>
                <w:sz w:val="20"/>
                <w:szCs w:val="20"/>
                <w:color w:val="auto"/>
              </w:rPr>
            </w:pPr>
            <w:r>
              <w:rPr>
                <w:rFonts w:ascii="Arial" w:cs="Arial" w:eastAsia="Arial" w:hAnsi="Arial"/>
                <w:sz w:val="14"/>
                <w:szCs w:val="14"/>
                <w:b w:val="1"/>
                <w:bCs w:val="1"/>
                <w:color w:val="auto"/>
              </w:rPr>
              <w:t>2014</w:t>
            </w:r>
          </w:p>
        </w:tc>
        <w:tc>
          <w:tcPr>
            <w:tcW w:w="1720" w:type="dxa"/>
            <w:vAlign w:val="bottom"/>
            <w:tcBorders>
              <w:top w:val="single" w:sz="8" w:color="auto"/>
            </w:tcBorders>
          </w:tcPr>
          <w:p>
            <w:pPr>
              <w:jc w:val="right"/>
              <w:ind w:right="348"/>
              <w:spacing w:after="0" w:line="144" w:lineRule="exact"/>
              <w:rPr>
                <w:sz w:val="20"/>
                <w:szCs w:val="20"/>
                <w:color w:val="auto"/>
              </w:rPr>
            </w:pPr>
            <w:r>
              <w:rPr>
                <w:rFonts w:ascii="Arial" w:cs="Arial" w:eastAsia="Arial" w:hAnsi="Arial"/>
                <w:sz w:val="14"/>
                <w:szCs w:val="14"/>
                <w:b w:val="1"/>
                <w:bCs w:val="1"/>
                <w:color w:val="auto"/>
              </w:rPr>
              <w:t>2013</w:t>
            </w:r>
          </w:p>
        </w:tc>
        <w:tc>
          <w:tcPr>
            <w:tcW w:w="280" w:type="dxa"/>
            <w:vAlign w:val="bottom"/>
          </w:tcPr>
          <w:p>
            <w:pPr>
              <w:spacing w:after="0"/>
              <w:rPr>
                <w:sz w:val="12"/>
                <w:szCs w:val="12"/>
                <w:color w:val="auto"/>
              </w:rPr>
            </w:pPr>
          </w:p>
        </w:tc>
        <w:tc>
          <w:tcPr>
            <w:tcW w:w="860" w:type="dxa"/>
            <w:vAlign w:val="bottom"/>
            <w:tcBorders>
              <w:top w:val="single" w:sz="8" w:color="auto"/>
            </w:tcBorders>
          </w:tcPr>
          <w:p>
            <w:pPr>
              <w:jc w:val="right"/>
              <w:ind w:right="68"/>
              <w:spacing w:after="0" w:line="144" w:lineRule="exact"/>
              <w:rPr>
                <w:sz w:val="20"/>
                <w:szCs w:val="20"/>
                <w:color w:val="auto"/>
              </w:rPr>
            </w:pPr>
            <w:r>
              <w:rPr>
                <w:rFonts w:ascii="Arial" w:cs="Arial" w:eastAsia="Arial" w:hAnsi="Arial"/>
                <w:sz w:val="14"/>
                <w:szCs w:val="14"/>
                <w:b w:val="1"/>
                <w:bCs w:val="1"/>
                <w:color w:val="auto"/>
              </w:rPr>
              <w:t>2014</w:t>
            </w:r>
          </w:p>
        </w:tc>
        <w:tc>
          <w:tcPr>
            <w:tcW w:w="1680" w:type="dxa"/>
            <w:vAlign w:val="bottom"/>
            <w:tcBorders>
              <w:top w:val="single" w:sz="8" w:color="auto"/>
            </w:tcBorders>
          </w:tcPr>
          <w:p>
            <w:pPr>
              <w:jc w:val="right"/>
              <w:ind w:right="348"/>
              <w:spacing w:after="0" w:line="144" w:lineRule="exact"/>
              <w:rPr>
                <w:sz w:val="20"/>
                <w:szCs w:val="20"/>
                <w:color w:val="auto"/>
              </w:rPr>
            </w:pPr>
            <w:r>
              <w:rPr>
                <w:rFonts w:ascii="Arial" w:cs="Arial" w:eastAsia="Arial" w:hAnsi="Arial"/>
                <w:sz w:val="14"/>
                <w:szCs w:val="14"/>
                <w:b w:val="1"/>
                <w:bCs w:val="1"/>
                <w:color w:val="auto"/>
              </w:rPr>
              <w:t>2013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wp:posOffset>
            </wp:positionV>
            <wp:extent cx="7246620" cy="41148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46620" cy="411480"/>
                    </a:xfrm>
                    <a:prstGeom prst="rect">
                      <a:avLst/>
                    </a:prstGeom>
                    <a:noFill/>
                  </pic:spPr>
                </pic:pic>
              </a:graphicData>
            </a:graphic>
          </wp:anchor>
        </w:drawing>
      </w:r>
    </w:p>
    <w:p>
      <w:pPr>
        <w:sectPr>
          <w:pgSz w:w="11900" w:h="16838" w:orient="portrait"/>
          <w:cols w:equalWidth="0" w:num="1">
            <w:col w:w="11420"/>
          </w:cols>
          <w:pgMar w:left="240" w:top="125" w:right="239" w:bottom="0" w:gutter="0" w:footer="0" w:header="0"/>
        </w:sectPr>
      </w:pPr>
    </w:p>
    <w:p>
      <w:pPr>
        <w:spacing w:after="0"/>
        <w:rPr>
          <w:sz w:val="20"/>
          <w:szCs w:val="20"/>
          <w:color w:val="auto"/>
        </w:rPr>
      </w:pPr>
      <w:r>
        <w:rPr>
          <w:rFonts w:ascii="Arial" w:cs="Arial" w:eastAsia="Arial" w:hAnsi="Arial"/>
          <w:sz w:val="17"/>
          <w:szCs w:val="17"/>
          <w:b w:val="1"/>
          <w:bCs w:val="1"/>
          <w:color w:val="auto"/>
        </w:rPr>
        <w:t>Net Income to Earnings Before Interest, Taxes, Depreciation and</w:t>
      </w:r>
    </w:p>
    <w:p>
      <w:pPr>
        <w:spacing w:after="0" w:line="19" w:lineRule="exact"/>
        <w:rPr>
          <w:sz w:val="20"/>
          <w:szCs w:val="20"/>
          <w:color w:val="auto"/>
        </w:rPr>
      </w:pPr>
    </w:p>
    <w:p>
      <w:pPr>
        <w:ind w:left="180"/>
        <w:spacing w:after="0"/>
        <w:rPr>
          <w:sz w:val="20"/>
          <w:szCs w:val="20"/>
          <w:color w:val="auto"/>
        </w:rPr>
      </w:pPr>
      <w:r>
        <w:rPr>
          <w:rFonts w:ascii="Arial" w:cs="Arial" w:eastAsia="Arial" w:hAnsi="Arial"/>
          <w:sz w:val="16"/>
          <w:szCs w:val="16"/>
          <w:b w:val="1"/>
          <w:bCs w:val="1"/>
          <w:color w:val="auto"/>
        </w:rPr>
        <w:t>Amortization (“EBITDA”) and Excluding Selected Items Impacting</w:t>
      </w:r>
    </w:p>
    <w:p>
      <w:pPr>
        <w:spacing w:after="0" w:line="32"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Comparability (“Adjusted EBITDA”) Reconciliations</w:t>
      </w:r>
    </w:p>
    <w:p>
      <w:pPr>
        <w:sectPr>
          <w:pgSz w:w="11900" w:h="16838" w:orient="portrait"/>
          <w:cols w:equalWidth="0" w:num="1">
            <w:col w:w="11420"/>
          </w:cols>
          <w:pgMar w:left="240" w:top="125" w:right="239" w:bottom="0" w:gutter="0" w:footer="0" w:header="0"/>
          <w:type w:val="continuous"/>
        </w:sectPr>
      </w:pPr>
    </w:p>
    <w:bookmarkStart w:id="16" w:name="page17"/>
    <w:bookmarkEnd w:id="16"/>
    <w:tbl>
      <w:tblPr>
        <w:tblLayout w:type="fixed"/>
        <w:tblInd w:w="0" w:type="dxa"/>
        <w:tblCellMar>
          <w:top w:w="0" w:type="dxa"/>
          <w:left w:w="0" w:type="dxa"/>
          <w:bottom w:w="0" w:type="dxa"/>
          <w:right w:w="0" w:type="dxa"/>
        </w:tblCellMar>
      </w:tblPr>
      <w:tr>
        <w:trPr>
          <w:trHeight w:val="230"/>
        </w:trPr>
        <w:tc>
          <w:tcPr>
            <w:tcW w:w="5020" w:type="dxa"/>
            <w:vAlign w:val="bottom"/>
          </w:tcPr>
          <w:p>
            <w:pPr>
              <w:spacing w:after="0"/>
              <w:rPr>
                <w:sz w:val="20"/>
                <w:szCs w:val="20"/>
                <w:color w:val="auto"/>
              </w:rPr>
            </w:pPr>
            <w:r>
              <w:rPr>
                <w:rFonts w:ascii="Arial" w:cs="Arial" w:eastAsia="Arial" w:hAnsi="Arial"/>
                <w:sz w:val="18"/>
                <w:szCs w:val="18"/>
                <w:color w:val="auto"/>
              </w:rPr>
              <w:t>Net Income</w:t>
            </w:r>
          </w:p>
        </w:tc>
        <w:tc>
          <w:tcPr>
            <w:tcW w:w="1380" w:type="dxa"/>
            <w:vAlign w:val="bottom"/>
            <w:gridSpan w:val="2"/>
          </w:tcPr>
          <w:p>
            <w:pPr>
              <w:jc w:val="right"/>
              <w:ind w:right="31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288</w:t>
            </w:r>
          </w:p>
        </w:tc>
        <w:tc>
          <w:tcPr>
            <w:tcW w:w="640" w:type="dxa"/>
            <w:vAlign w:val="bottom"/>
            <w:gridSpan w:val="2"/>
          </w:tcPr>
          <w:p>
            <w:pPr>
              <w:jc w:val="right"/>
              <w:ind w:right="325"/>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300</w:t>
            </w:r>
          </w:p>
        </w:tc>
        <w:tc>
          <w:tcPr>
            <w:tcW w:w="500" w:type="dxa"/>
            <w:vAlign w:val="bottom"/>
            <w:gridSpan w:val="2"/>
          </w:tcPr>
          <w:p>
            <w:pPr>
              <w:jc w:val="right"/>
              <w:ind w:right="21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300"/>
              <w:spacing w:after="0"/>
              <w:rPr>
                <w:sz w:val="20"/>
                <w:szCs w:val="20"/>
                <w:color w:val="auto"/>
              </w:rPr>
            </w:pPr>
            <w:r>
              <w:rPr>
                <w:rFonts w:ascii="Arial" w:cs="Arial" w:eastAsia="Arial" w:hAnsi="Arial"/>
                <w:sz w:val="18"/>
                <w:szCs w:val="18"/>
                <w:color w:val="auto"/>
              </w:rPr>
              <w:t>672</w:t>
            </w:r>
          </w:p>
        </w:tc>
        <w:tc>
          <w:tcPr>
            <w:tcW w:w="400" w:type="dxa"/>
            <w:vAlign w:val="bottom"/>
          </w:tcPr>
          <w:p>
            <w:pPr>
              <w:jc w:val="right"/>
              <w:ind w:right="245"/>
              <w:spacing w:after="0"/>
              <w:rPr>
                <w:sz w:val="20"/>
                <w:szCs w:val="20"/>
                <w:color w:val="auto"/>
              </w:rPr>
            </w:pPr>
            <w:r>
              <w:rPr>
                <w:rFonts w:ascii="Arial" w:cs="Arial" w:eastAsia="Arial" w:hAnsi="Arial"/>
                <w:sz w:val="15"/>
                <w:szCs w:val="15"/>
                <w:color w:val="auto"/>
                <w:w w:val="71"/>
              </w:rPr>
              <w:t>$</w:t>
            </w: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837</w:t>
            </w:r>
          </w:p>
        </w:tc>
        <w:tc>
          <w:tcPr>
            <w:tcW w:w="80" w:type="dxa"/>
            <w:vAlign w:val="bottom"/>
          </w:tcPr>
          <w:p>
            <w:pPr>
              <w:spacing w:after="0"/>
              <w:rPr>
                <w:sz w:val="20"/>
                <w:szCs w:val="20"/>
                <w:color w:val="auto"/>
              </w:rPr>
            </w:pPr>
          </w:p>
        </w:tc>
      </w:tr>
      <w:tr>
        <w:trPr>
          <w:trHeight w:val="216"/>
        </w:trPr>
        <w:tc>
          <w:tcPr>
            <w:tcW w:w="50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Add: Interest expense, net</w:t>
            </w:r>
          </w:p>
        </w:tc>
        <w:tc>
          <w:tcPr>
            <w:tcW w:w="8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82</w:t>
            </w: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161</w:t>
            </w:r>
          </w:p>
        </w:tc>
        <w:tc>
          <w:tcPr>
            <w:tcW w:w="4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152</w:t>
            </w:r>
          </w:p>
        </w:tc>
        <w:tc>
          <w:tcPr>
            <w:tcW w:w="80" w:type="dxa"/>
            <w:vAlign w:val="bottom"/>
            <w:shd w:val="clear" w:color="auto" w:fill="CCEEFF"/>
          </w:tcPr>
          <w:p>
            <w:pPr>
              <w:spacing w:after="0"/>
              <w:rPr>
                <w:sz w:val="18"/>
                <w:szCs w:val="18"/>
                <w:color w:val="auto"/>
              </w:rPr>
            </w:pPr>
          </w:p>
        </w:tc>
      </w:tr>
      <w:tr>
        <w:trPr>
          <w:trHeight w:val="216"/>
        </w:trPr>
        <w:tc>
          <w:tcPr>
            <w:tcW w:w="5020" w:type="dxa"/>
            <w:vAlign w:val="bottom"/>
          </w:tcPr>
          <w:p>
            <w:pPr>
              <w:ind w:left="180"/>
              <w:spacing w:after="0"/>
              <w:rPr>
                <w:sz w:val="20"/>
                <w:szCs w:val="20"/>
                <w:color w:val="auto"/>
              </w:rPr>
            </w:pPr>
            <w:r>
              <w:rPr>
                <w:rFonts w:ascii="Arial" w:cs="Arial" w:eastAsia="Arial" w:hAnsi="Arial"/>
                <w:sz w:val="18"/>
                <w:szCs w:val="18"/>
                <w:color w:val="auto"/>
              </w:rPr>
              <w:t>Add: Income tax expense</w:t>
            </w:r>
          </w:p>
        </w:tc>
        <w:tc>
          <w:tcPr>
            <w:tcW w:w="8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22</w:t>
            </w: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18</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8"/>
                <w:szCs w:val="18"/>
                <w:color w:val="auto"/>
              </w:rPr>
              <w:t>70</w:t>
            </w:r>
          </w:p>
        </w:tc>
        <w:tc>
          <w:tcPr>
            <w:tcW w:w="40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70</w:t>
            </w:r>
          </w:p>
        </w:tc>
        <w:tc>
          <w:tcPr>
            <w:tcW w:w="80" w:type="dxa"/>
            <w:vAlign w:val="bottom"/>
          </w:tcPr>
          <w:p>
            <w:pPr>
              <w:spacing w:after="0"/>
              <w:rPr>
                <w:sz w:val="18"/>
                <w:szCs w:val="18"/>
                <w:color w:val="auto"/>
              </w:rPr>
            </w:pPr>
          </w:p>
        </w:tc>
      </w:tr>
      <w:tr>
        <w:trPr>
          <w:trHeight w:val="216"/>
        </w:trPr>
        <w:tc>
          <w:tcPr>
            <w:tcW w:w="50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Add: Depreciation and amortization</w:t>
            </w:r>
          </w:p>
        </w:tc>
        <w:tc>
          <w:tcPr>
            <w:tcW w:w="8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100</w:t>
            </w: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196</w:t>
            </w:r>
          </w:p>
        </w:tc>
        <w:tc>
          <w:tcPr>
            <w:tcW w:w="4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173</w:t>
            </w:r>
          </w:p>
        </w:tc>
        <w:tc>
          <w:tcPr>
            <w:tcW w:w="80" w:type="dxa"/>
            <w:vAlign w:val="bottom"/>
            <w:shd w:val="clear" w:color="auto" w:fill="CCEEFF"/>
          </w:tcPr>
          <w:p>
            <w:pPr>
              <w:spacing w:after="0"/>
              <w:rPr>
                <w:sz w:val="18"/>
                <w:szCs w:val="18"/>
                <w:color w:val="auto"/>
              </w:rPr>
            </w:pPr>
          </w:p>
        </w:tc>
      </w:tr>
      <w:tr>
        <w:trPr>
          <w:trHeight w:val="210"/>
        </w:trPr>
        <w:tc>
          <w:tcPr>
            <w:tcW w:w="5020" w:type="dxa"/>
            <w:vAlign w:val="bottom"/>
          </w:tcPr>
          <w:p>
            <w:pPr>
              <w:spacing w:after="0"/>
              <w:rPr>
                <w:sz w:val="20"/>
                <w:szCs w:val="20"/>
                <w:color w:val="auto"/>
              </w:rPr>
            </w:pPr>
            <w:r>
              <w:rPr>
                <w:rFonts w:ascii="Arial" w:cs="Arial" w:eastAsia="Arial" w:hAnsi="Arial"/>
                <w:sz w:val="18"/>
                <w:szCs w:val="18"/>
                <w:color w:val="auto"/>
              </w:rPr>
              <w:t>EBITDA</w:t>
            </w:r>
          </w:p>
        </w:tc>
        <w:tc>
          <w:tcPr>
            <w:tcW w:w="880" w:type="dxa"/>
            <w:vAlign w:val="bottom"/>
          </w:tcPr>
          <w:p>
            <w:pPr>
              <w:spacing w:after="0"/>
              <w:rPr>
                <w:sz w:val="18"/>
                <w:szCs w:val="18"/>
                <w:color w:val="auto"/>
              </w:rPr>
            </w:pPr>
          </w:p>
        </w:tc>
        <w:tc>
          <w:tcPr>
            <w:tcW w:w="500" w:type="dxa"/>
            <w:vAlign w:val="bottom"/>
            <w:tcBorders>
              <w:top w:val="single" w:sz="8" w:color="auto"/>
            </w:tcBorders>
          </w:tcPr>
          <w:p>
            <w:pPr>
              <w:jc w:val="right"/>
              <w:ind w:right="310"/>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492</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Borders>
              <w:top w:val="single" w:sz="8" w:color="auto"/>
            </w:tcBorders>
          </w:tcPr>
          <w:p>
            <w:pPr>
              <w:jc w:val="right"/>
              <w:ind w:right="325"/>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484</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1,099</w:t>
            </w:r>
          </w:p>
        </w:tc>
        <w:tc>
          <w:tcPr>
            <w:tcW w:w="300" w:type="dxa"/>
            <w:vAlign w:val="bottom"/>
          </w:tcPr>
          <w:p>
            <w:pPr>
              <w:spacing w:after="0"/>
              <w:rPr>
                <w:sz w:val="18"/>
                <w:szCs w:val="18"/>
                <w:color w:val="auto"/>
              </w:rPr>
            </w:pPr>
          </w:p>
        </w:tc>
        <w:tc>
          <w:tcPr>
            <w:tcW w:w="400" w:type="dxa"/>
            <w:vAlign w:val="bottom"/>
            <w:tcBorders>
              <w:top w:val="single" w:sz="8" w:color="auto"/>
            </w:tcBorders>
          </w:tcPr>
          <w:p>
            <w:pPr>
              <w:jc w:val="right"/>
              <w:ind w:right="245"/>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1,232</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5020" w:type="dxa"/>
            <w:vAlign w:val="bottom"/>
            <w:shd w:val="clear" w:color="auto" w:fill="CCEEFF"/>
          </w:tcPr>
          <w:p>
            <w:pPr>
              <w:ind w:left="180"/>
              <w:spacing w:after="0" w:line="216" w:lineRule="exact"/>
              <w:rPr>
                <w:sz w:val="20"/>
                <w:szCs w:val="20"/>
                <w:color w:val="auto"/>
              </w:rPr>
            </w:pPr>
            <w:r>
              <w:rPr>
                <w:rFonts w:ascii="Arial" w:cs="Arial" w:eastAsia="Arial" w:hAnsi="Arial"/>
                <w:sz w:val="18"/>
                <w:szCs w:val="18"/>
                <w:color w:val="auto"/>
              </w:rPr>
              <w:t xml:space="preserve">Selected items impacting comparability of EBITDA </w:t>
            </w:r>
            <w:r>
              <w:rPr>
                <w:rFonts w:ascii="Arial" w:cs="Arial" w:eastAsia="Arial" w:hAnsi="Arial"/>
                <w:sz w:val="23"/>
                <w:szCs w:val="23"/>
                <w:color w:val="auto"/>
                <w:vertAlign w:val="superscript"/>
              </w:rPr>
              <w:t>(1)</w:t>
            </w:r>
          </w:p>
        </w:tc>
        <w:tc>
          <w:tcPr>
            <w:tcW w:w="8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20</w:t>
            </w: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(20)</w:t>
            </w:r>
          </w:p>
        </w:tc>
        <w:tc>
          <w:tcPr>
            <w:tcW w:w="40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(15)</w:t>
            </w:r>
          </w:p>
        </w:tc>
      </w:tr>
      <w:tr>
        <w:trPr>
          <w:trHeight w:val="210"/>
        </w:trPr>
        <w:tc>
          <w:tcPr>
            <w:tcW w:w="5020" w:type="dxa"/>
            <w:vAlign w:val="bottom"/>
          </w:tcPr>
          <w:p>
            <w:pPr>
              <w:spacing w:after="0"/>
              <w:rPr>
                <w:sz w:val="20"/>
                <w:szCs w:val="20"/>
                <w:color w:val="auto"/>
              </w:rPr>
            </w:pPr>
            <w:r>
              <w:rPr>
                <w:rFonts w:ascii="Arial" w:cs="Arial" w:eastAsia="Arial" w:hAnsi="Arial"/>
                <w:sz w:val="18"/>
                <w:szCs w:val="18"/>
                <w:color w:val="auto"/>
              </w:rPr>
              <w:t>Adjusted EBITDA</w:t>
            </w:r>
          </w:p>
        </w:tc>
        <w:tc>
          <w:tcPr>
            <w:tcW w:w="880" w:type="dxa"/>
            <w:vAlign w:val="bottom"/>
          </w:tcPr>
          <w:p>
            <w:pPr>
              <w:spacing w:after="0"/>
              <w:rPr>
                <w:sz w:val="18"/>
                <w:szCs w:val="18"/>
                <w:color w:val="auto"/>
              </w:rPr>
            </w:pPr>
          </w:p>
        </w:tc>
        <w:tc>
          <w:tcPr>
            <w:tcW w:w="5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512</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Borders>
              <w:top w:val="single" w:sz="8" w:color="auto"/>
              <w:bottom w:val="single" w:sz="8" w:color="auto"/>
            </w:tcBorders>
          </w:tcPr>
          <w:p>
            <w:pPr>
              <w:jc w:val="right"/>
              <w:ind w:right="325"/>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478</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1,079</w:t>
            </w:r>
          </w:p>
        </w:tc>
        <w:tc>
          <w:tcPr>
            <w:tcW w:w="300" w:type="dxa"/>
            <w:vAlign w:val="bottom"/>
          </w:tcPr>
          <w:p>
            <w:pPr>
              <w:spacing w:after="0"/>
              <w:rPr>
                <w:sz w:val="18"/>
                <w:szCs w:val="18"/>
                <w:color w:val="auto"/>
              </w:rPr>
            </w:pPr>
          </w:p>
        </w:tc>
        <w:tc>
          <w:tcPr>
            <w:tcW w:w="400" w:type="dxa"/>
            <w:vAlign w:val="bottom"/>
            <w:tcBorders>
              <w:top w:val="single" w:sz="8" w:color="auto"/>
              <w:bottom w:val="single" w:sz="8" w:color="auto"/>
            </w:tcBorders>
          </w:tcPr>
          <w:p>
            <w:pPr>
              <w:jc w:val="right"/>
              <w:ind w:right="245"/>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1,217</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0"/>
        </w:trPr>
        <w:tc>
          <w:tcPr>
            <w:tcW w:w="50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77" w:lineRule="exact"/>
        <w:rPr>
          <w:sz w:val="20"/>
          <w:szCs w:val="20"/>
          <w:color w:val="auto"/>
        </w:rPr>
      </w:pPr>
    </w:p>
    <w:p>
      <w:pPr>
        <w:ind w:left="240" w:hanging="232"/>
        <w:spacing w:after="0"/>
        <w:tabs>
          <w:tab w:leader="none" w:pos="240" w:val="left"/>
        </w:tabs>
        <w:numPr>
          <w:ilvl w:val="0"/>
          <w:numId w:val="27"/>
        </w:numPr>
        <w:rPr>
          <w:rFonts w:ascii="Arial" w:cs="Arial" w:eastAsia="Arial" w:hAnsi="Arial"/>
          <w:sz w:val="23"/>
          <w:szCs w:val="23"/>
          <w:color w:val="auto"/>
          <w:vertAlign w:val="superscript"/>
        </w:rPr>
      </w:pPr>
      <w:r>
        <w:rPr>
          <w:rFonts w:ascii="Arial" w:cs="Arial" w:eastAsia="Arial" w:hAnsi="Arial"/>
          <w:sz w:val="18"/>
          <w:szCs w:val="18"/>
          <w:color w:val="auto"/>
        </w:rPr>
        <w:t>Certain of our non-GAAP financial measures may not be impacted by each of the selected items impacting comparability.</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260" w:type="dxa"/>
            <w:vAlign w:val="bottom"/>
            <w:gridSpan w:val="5"/>
          </w:tcPr>
          <w:p>
            <w:pPr>
              <w:jc w:val="right"/>
              <w:ind w:right="225"/>
              <w:spacing w:after="0"/>
              <w:rPr>
                <w:sz w:val="20"/>
                <w:szCs w:val="20"/>
                <w:color w:val="auto"/>
              </w:rPr>
            </w:pPr>
            <w:r>
              <w:rPr>
                <w:rFonts w:ascii="Arial" w:cs="Arial" w:eastAsia="Arial" w:hAnsi="Arial"/>
                <w:sz w:val="14"/>
                <w:szCs w:val="14"/>
                <w:b w:val="1"/>
                <w:bCs w:val="1"/>
                <w:color w:val="auto"/>
              </w:rPr>
              <w:t>Three Months Ended</w:t>
            </w:r>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380" w:type="dxa"/>
            <w:vAlign w:val="bottom"/>
            <w:gridSpan w:val="6"/>
          </w:tcPr>
          <w:p>
            <w:pPr>
              <w:jc w:val="right"/>
              <w:ind w:right="800"/>
              <w:spacing w:after="0"/>
              <w:rPr>
                <w:sz w:val="20"/>
                <w:szCs w:val="20"/>
                <w:color w:val="auto"/>
              </w:rPr>
            </w:pPr>
            <w:r>
              <w:rPr>
                <w:rFonts w:ascii="Arial" w:cs="Arial" w:eastAsia="Arial" w:hAnsi="Arial"/>
                <w:sz w:val="14"/>
                <w:szCs w:val="14"/>
                <w:b w:val="1"/>
                <w:bCs w:val="1"/>
                <w:color w:val="auto"/>
              </w:rPr>
              <w:t>Six Months Ended</w:t>
            </w:r>
          </w:p>
        </w:tc>
      </w:tr>
      <w:tr>
        <w:trPr>
          <w:trHeight w:val="171"/>
        </w:trPr>
        <w:tc>
          <w:tcPr>
            <w:tcW w:w="54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gridSpan w:val="4"/>
          </w:tcPr>
          <w:p>
            <w:pPr>
              <w:jc w:val="right"/>
              <w:ind w:right="625"/>
              <w:spacing w:after="0"/>
              <w:rPr>
                <w:sz w:val="20"/>
                <w:szCs w:val="20"/>
                <w:color w:val="auto"/>
              </w:rPr>
            </w:pPr>
            <w:r>
              <w:rPr>
                <w:rFonts w:ascii="Arial" w:cs="Arial" w:eastAsia="Arial" w:hAnsi="Arial"/>
                <w:sz w:val="14"/>
                <w:szCs w:val="14"/>
                <w:b w:val="1"/>
                <w:bCs w:val="1"/>
                <w:color w:val="auto"/>
              </w:rPr>
              <w:t>June 30,</w:t>
            </w:r>
          </w:p>
        </w:tc>
        <w:tc>
          <w:tcPr>
            <w:tcW w:w="34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3"/>
          </w:tcPr>
          <w:p>
            <w:pPr>
              <w:jc w:val="right"/>
              <w:ind w:right="85"/>
              <w:spacing w:after="0"/>
              <w:rPr>
                <w:sz w:val="20"/>
                <w:szCs w:val="20"/>
                <w:color w:val="auto"/>
              </w:rPr>
            </w:pPr>
            <w:r>
              <w:rPr>
                <w:rFonts w:ascii="Arial" w:cs="Arial" w:eastAsia="Arial" w:hAnsi="Arial"/>
                <w:sz w:val="14"/>
                <w:szCs w:val="14"/>
                <w:b w:val="1"/>
                <w:bCs w:val="1"/>
                <w:color w:val="auto"/>
              </w:rPr>
              <w:t>June 30,</w:t>
            </w:r>
          </w:p>
        </w:tc>
        <w:tc>
          <w:tcPr>
            <w:tcW w:w="86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42"/>
        </w:trPr>
        <w:tc>
          <w:tcPr>
            <w:tcW w:w="54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0" w:type="dxa"/>
            <w:vAlign w:val="bottom"/>
          </w:tcPr>
          <w:p>
            <w:pPr>
              <w:jc w:val="right"/>
              <w:ind w:right="2"/>
              <w:spacing w:after="0" w:line="142" w:lineRule="exact"/>
              <w:rPr>
                <w:sz w:val="20"/>
                <w:szCs w:val="20"/>
                <w:color w:val="auto"/>
              </w:rPr>
            </w:pPr>
            <w:r>
              <w:rPr>
                <w:rFonts w:ascii="Arial" w:cs="Arial" w:eastAsia="Arial" w:hAnsi="Arial"/>
                <w:sz w:val="14"/>
                <w:szCs w:val="14"/>
                <w:b w:val="1"/>
                <w:bCs w:val="1"/>
                <w:color w:val="auto"/>
              </w:rPr>
              <w:t>2014</w:t>
            </w:r>
          </w:p>
        </w:tc>
        <w:tc>
          <w:tcPr>
            <w:tcW w:w="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gridSpan w:val="2"/>
          </w:tcPr>
          <w:p>
            <w:pPr>
              <w:jc w:val="right"/>
              <w:ind w:right="5"/>
              <w:spacing w:after="0" w:line="142" w:lineRule="exact"/>
              <w:rPr>
                <w:sz w:val="20"/>
                <w:szCs w:val="20"/>
                <w:color w:val="auto"/>
              </w:rPr>
            </w:pPr>
            <w:r>
              <w:rPr>
                <w:rFonts w:ascii="Arial" w:cs="Arial" w:eastAsia="Arial" w:hAnsi="Arial"/>
                <w:sz w:val="14"/>
                <w:szCs w:val="14"/>
                <w:b w:val="1"/>
                <w:bCs w:val="1"/>
                <w:color w:val="auto"/>
              </w:rPr>
              <w:t>2013</w:t>
            </w:r>
          </w:p>
        </w:tc>
        <w:tc>
          <w:tcPr>
            <w:tcW w:w="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tcPr>
          <w:p>
            <w:pPr>
              <w:jc w:val="right"/>
              <w:ind w:right="315"/>
              <w:spacing w:after="0" w:line="142" w:lineRule="exact"/>
              <w:rPr>
                <w:sz w:val="20"/>
                <w:szCs w:val="20"/>
                <w:color w:val="auto"/>
              </w:rPr>
            </w:pPr>
            <w:r>
              <w:rPr>
                <w:rFonts w:ascii="Arial" w:cs="Arial" w:eastAsia="Arial" w:hAnsi="Arial"/>
                <w:sz w:val="14"/>
                <w:szCs w:val="14"/>
                <w:b w:val="1"/>
                <w:bCs w:val="1"/>
                <w:color w:val="auto"/>
              </w:rPr>
              <w:t>2014</w:t>
            </w:r>
          </w:p>
        </w:tc>
        <w:tc>
          <w:tcPr>
            <w:tcW w:w="3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tcPr>
          <w:p>
            <w:pPr>
              <w:jc w:val="right"/>
              <w:ind w:right="332"/>
              <w:spacing w:after="0" w:line="142" w:lineRule="exact"/>
              <w:rPr>
                <w:sz w:val="20"/>
                <w:szCs w:val="20"/>
                <w:color w:val="auto"/>
              </w:rPr>
            </w:pPr>
            <w:r>
              <w:rPr>
                <w:rFonts w:ascii="Arial" w:cs="Arial" w:eastAsia="Arial" w:hAnsi="Arial"/>
                <w:sz w:val="14"/>
                <w:szCs w:val="14"/>
                <w:b w:val="1"/>
                <w:bCs w:val="1"/>
                <w:color w:val="auto"/>
              </w:rPr>
              <w:t>2013</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96"/>
        </w:trPr>
        <w:tc>
          <w:tcPr>
            <w:tcW w:w="54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Adjusted EBITDA to Implied Distributable Cash Flow (“DCF”)</w:t>
            </w:r>
          </w:p>
        </w:tc>
        <w:tc>
          <w:tcPr>
            <w:tcW w:w="48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r>
      <w:tr>
        <w:trPr>
          <w:trHeight w:val="216"/>
        </w:trPr>
        <w:tc>
          <w:tcPr>
            <w:tcW w:w="5420" w:type="dxa"/>
            <w:vAlign w:val="bottom"/>
          </w:tcPr>
          <w:p>
            <w:pPr>
              <w:spacing w:after="0"/>
              <w:rPr>
                <w:sz w:val="20"/>
                <w:szCs w:val="20"/>
                <w:color w:val="auto"/>
              </w:rPr>
            </w:pPr>
            <w:r>
              <w:rPr>
                <w:rFonts w:ascii="Arial" w:cs="Arial" w:eastAsia="Arial" w:hAnsi="Arial"/>
                <w:sz w:val="18"/>
                <w:szCs w:val="18"/>
                <w:color w:val="auto"/>
              </w:rPr>
              <w:t>Adjusted EBITDA</w:t>
            </w:r>
          </w:p>
        </w:tc>
        <w:tc>
          <w:tcPr>
            <w:tcW w:w="1280" w:type="dxa"/>
            <w:vAlign w:val="bottom"/>
            <w:gridSpan w:val="2"/>
          </w:tcPr>
          <w:p>
            <w:pPr>
              <w:jc w:val="right"/>
              <w:ind w:right="622"/>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ind w:right="180"/>
              <w:spacing w:after="0"/>
              <w:rPr>
                <w:sz w:val="20"/>
                <w:szCs w:val="20"/>
                <w:color w:val="auto"/>
              </w:rPr>
            </w:pPr>
            <w:r>
              <w:rPr>
                <w:rFonts w:ascii="Arial" w:cs="Arial" w:eastAsia="Arial" w:hAnsi="Arial"/>
                <w:sz w:val="18"/>
                <w:szCs w:val="18"/>
                <w:color w:val="auto"/>
              </w:rPr>
              <w:t>512</w:t>
            </w:r>
          </w:p>
        </w:tc>
        <w:tc>
          <w:tcPr>
            <w:tcW w:w="920" w:type="dxa"/>
            <w:vAlign w:val="bottom"/>
            <w:gridSpan w:val="2"/>
          </w:tcPr>
          <w:p>
            <w:pPr>
              <w:jc w:val="right"/>
              <w:ind w:right="645"/>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ind w:right="180"/>
              <w:spacing w:after="0"/>
              <w:rPr>
                <w:sz w:val="20"/>
                <w:szCs w:val="20"/>
                <w:color w:val="auto"/>
              </w:rPr>
            </w:pPr>
            <w:r>
              <w:rPr>
                <w:rFonts w:ascii="Arial" w:cs="Arial" w:eastAsia="Arial" w:hAnsi="Arial"/>
                <w:sz w:val="18"/>
                <w:szCs w:val="18"/>
                <w:color w:val="auto"/>
              </w:rPr>
              <w:t>478</w:t>
            </w:r>
          </w:p>
        </w:tc>
        <w:tc>
          <w:tcPr>
            <w:tcW w:w="36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300"/>
              <w:spacing w:after="0"/>
              <w:rPr>
                <w:sz w:val="20"/>
                <w:szCs w:val="20"/>
                <w:color w:val="auto"/>
              </w:rPr>
            </w:pPr>
            <w:r>
              <w:rPr>
                <w:rFonts w:ascii="Arial" w:cs="Arial" w:eastAsia="Arial" w:hAnsi="Arial"/>
                <w:sz w:val="18"/>
                <w:szCs w:val="18"/>
                <w:color w:val="auto"/>
              </w:rPr>
              <w:t>1,079</w:t>
            </w: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1,217</w:t>
            </w:r>
          </w:p>
        </w:tc>
        <w:tc>
          <w:tcPr>
            <w:tcW w:w="80" w:type="dxa"/>
            <w:vAlign w:val="bottom"/>
          </w:tcPr>
          <w:p>
            <w:pPr>
              <w:spacing w:after="0"/>
              <w:rPr>
                <w:sz w:val="18"/>
                <w:szCs w:val="18"/>
                <w:color w:val="auto"/>
              </w:rPr>
            </w:pPr>
          </w:p>
        </w:tc>
      </w:tr>
      <w:tr>
        <w:trPr>
          <w:trHeight w:val="216"/>
        </w:trPr>
        <w:tc>
          <w:tcPr>
            <w:tcW w:w="54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Interest expense, net</w:t>
            </w:r>
          </w:p>
        </w:tc>
        <w:tc>
          <w:tcPr>
            <w:tcW w:w="4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(82)</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(75)</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(161)</w:t>
            </w:r>
          </w:p>
        </w:tc>
        <w:tc>
          <w:tcPr>
            <w:tcW w:w="26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(152)</w:t>
            </w:r>
          </w:p>
        </w:tc>
      </w:tr>
      <w:tr>
        <w:trPr>
          <w:trHeight w:val="216"/>
        </w:trPr>
        <w:tc>
          <w:tcPr>
            <w:tcW w:w="5420" w:type="dxa"/>
            <w:vAlign w:val="bottom"/>
          </w:tcPr>
          <w:p>
            <w:pPr>
              <w:ind w:left="180"/>
              <w:spacing w:after="0"/>
              <w:rPr>
                <w:sz w:val="20"/>
                <w:szCs w:val="20"/>
                <w:color w:val="auto"/>
              </w:rPr>
            </w:pPr>
            <w:r>
              <w:rPr>
                <w:rFonts w:ascii="Arial" w:cs="Arial" w:eastAsia="Arial" w:hAnsi="Arial"/>
                <w:sz w:val="18"/>
                <w:szCs w:val="18"/>
                <w:color w:val="auto"/>
              </w:rPr>
              <w:t>Maintenance capital</w:t>
            </w:r>
          </w:p>
        </w:tc>
        <w:tc>
          <w:tcPr>
            <w:tcW w:w="4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40" w:type="dxa"/>
            <w:vAlign w:val="bottom"/>
            <w:gridSpan w:val="2"/>
          </w:tcPr>
          <w:p>
            <w:pPr>
              <w:jc w:val="right"/>
              <w:ind w:right="120"/>
              <w:spacing w:after="0"/>
              <w:rPr>
                <w:sz w:val="20"/>
                <w:szCs w:val="20"/>
                <w:color w:val="auto"/>
              </w:rPr>
            </w:pPr>
            <w:r>
              <w:rPr>
                <w:rFonts w:ascii="Arial" w:cs="Arial" w:eastAsia="Arial" w:hAnsi="Arial"/>
                <w:sz w:val="18"/>
                <w:szCs w:val="18"/>
                <w:color w:val="auto"/>
              </w:rPr>
              <w:t>(48)</w:t>
            </w: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20" w:type="dxa"/>
            <w:vAlign w:val="bottom"/>
            <w:gridSpan w:val="2"/>
          </w:tcPr>
          <w:p>
            <w:pPr>
              <w:jc w:val="right"/>
              <w:ind w:right="120"/>
              <w:spacing w:after="0"/>
              <w:rPr>
                <w:sz w:val="20"/>
                <w:szCs w:val="20"/>
                <w:color w:val="auto"/>
              </w:rPr>
            </w:pPr>
            <w:r>
              <w:rPr>
                <w:rFonts w:ascii="Arial" w:cs="Arial" w:eastAsia="Arial" w:hAnsi="Arial"/>
                <w:sz w:val="18"/>
                <w:szCs w:val="18"/>
                <w:color w:val="auto"/>
              </w:rPr>
              <w:t>(39)</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(95)</w:t>
            </w:r>
          </w:p>
        </w:tc>
        <w:tc>
          <w:tcPr>
            <w:tcW w:w="260" w:type="dxa"/>
            <w:vAlign w:val="bottom"/>
          </w:tcPr>
          <w:p>
            <w:pPr>
              <w:spacing w:after="0"/>
              <w:rPr>
                <w:sz w:val="18"/>
                <w:szCs w:val="18"/>
                <w:color w:val="auto"/>
              </w:rPr>
            </w:pPr>
          </w:p>
        </w:tc>
        <w:tc>
          <w:tcPr>
            <w:tcW w:w="960" w:type="dxa"/>
            <w:vAlign w:val="bottom"/>
            <w:gridSpan w:val="3"/>
          </w:tcPr>
          <w:p>
            <w:pPr>
              <w:jc w:val="right"/>
              <w:ind w:right="40"/>
              <w:spacing w:after="0"/>
              <w:rPr>
                <w:sz w:val="20"/>
                <w:szCs w:val="20"/>
                <w:color w:val="auto"/>
              </w:rPr>
            </w:pPr>
            <w:r>
              <w:rPr>
                <w:rFonts w:ascii="Arial" w:cs="Arial" w:eastAsia="Arial" w:hAnsi="Arial"/>
                <w:sz w:val="18"/>
                <w:szCs w:val="18"/>
                <w:color w:val="auto"/>
              </w:rPr>
              <w:t>(82)</w:t>
            </w:r>
          </w:p>
        </w:tc>
      </w:tr>
      <w:tr>
        <w:trPr>
          <w:trHeight w:val="216"/>
        </w:trPr>
        <w:tc>
          <w:tcPr>
            <w:tcW w:w="54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Current income tax expense</w:t>
            </w:r>
          </w:p>
        </w:tc>
        <w:tc>
          <w:tcPr>
            <w:tcW w:w="4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(52)</w:t>
            </w:r>
          </w:p>
        </w:tc>
        <w:tc>
          <w:tcPr>
            <w:tcW w:w="26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(53)</w:t>
            </w:r>
          </w:p>
        </w:tc>
      </w:tr>
      <w:tr>
        <w:trPr>
          <w:trHeight w:val="216"/>
        </w:trPr>
        <w:tc>
          <w:tcPr>
            <w:tcW w:w="5420" w:type="dxa"/>
            <w:vAlign w:val="bottom"/>
          </w:tcPr>
          <w:p>
            <w:pPr>
              <w:ind w:left="180"/>
              <w:spacing w:after="0"/>
              <w:rPr>
                <w:sz w:val="20"/>
                <w:szCs w:val="20"/>
                <w:color w:val="auto"/>
              </w:rPr>
            </w:pPr>
            <w:r>
              <w:rPr>
                <w:rFonts w:ascii="Arial" w:cs="Arial" w:eastAsia="Arial" w:hAnsi="Arial"/>
                <w:sz w:val="18"/>
                <w:szCs w:val="18"/>
                <w:color w:val="auto"/>
              </w:rPr>
              <w:t>Equity earnings in unconsolidated entities, net of distributions</w:t>
            </w:r>
          </w:p>
        </w:tc>
        <w:tc>
          <w:tcPr>
            <w:tcW w:w="4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40" w:type="dxa"/>
            <w:vAlign w:val="bottom"/>
            <w:gridSpan w:val="2"/>
          </w:tcPr>
          <w:p>
            <w:pPr>
              <w:jc w:val="right"/>
              <w:ind w:right="180"/>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20" w:type="dxa"/>
            <w:vAlign w:val="bottom"/>
            <w:gridSpan w:val="2"/>
          </w:tcPr>
          <w:p>
            <w:pPr>
              <w:jc w:val="right"/>
              <w:ind w:right="12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gridSpan w:val="2"/>
          </w:tcPr>
          <w:p>
            <w:pPr>
              <w:jc w:val="right"/>
              <w:ind w:right="300"/>
              <w:spacing w:after="0"/>
              <w:rPr>
                <w:sz w:val="20"/>
                <w:szCs w:val="20"/>
                <w:color w:val="auto"/>
              </w:rPr>
            </w:pPr>
            <w:r>
              <w:rPr>
                <w:rFonts w:ascii="Arial" w:cs="Arial" w:eastAsia="Arial" w:hAnsi="Arial"/>
                <w:sz w:val="18"/>
                <w:szCs w:val="18"/>
                <w:color w:val="auto"/>
              </w:rPr>
              <w:t>7</w:t>
            </w:r>
          </w:p>
        </w:tc>
        <w:tc>
          <w:tcPr>
            <w:tcW w:w="260" w:type="dxa"/>
            <w:vAlign w:val="bottom"/>
          </w:tcPr>
          <w:p>
            <w:pPr>
              <w:spacing w:after="0"/>
              <w:rPr>
                <w:sz w:val="18"/>
                <w:szCs w:val="18"/>
                <w:color w:val="auto"/>
              </w:rPr>
            </w:pPr>
          </w:p>
        </w:tc>
        <w:tc>
          <w:tcPr>
            <w:tcW w:w="960" w:type="dxa"/>
            <w:vAlign w:val="bottom"/>
            <w:gridSpan w:val="3"/>
          </w:tcPr>
          <w:p>
            <w:pPr>
              <w:jc w:val="right"/>
              <w:ind w:right="40"/>
              <w:spacing w:after="0"/>
              <w:rPr>
                <w:sz w:val="20"/>
                <w:szCs w:val="20"/>
                <w:color w:val="auto"/>
              </w:rPr>
            </w:pPr>
            <w:r>
              <w:rPr>
                <w:rFonts w:ascii="Arial" w:cs="Arial" w:eastAsia="Arial" w:hAnsi="Arial"/>
                <w:sz w:val="18"/>
                <w:szCs w:val="18"/>
                <w:color w:val="auto"/>
              </w:rPr>
              <w:t>(1)</w:t>
            </w:r>
          </w:p>
        </w:tc>
      </w:tr>
      <w:tr>
        <w:trPr>
          <w:trHeight w:val="216"/>
        </w:trPr>
        <w:tc>
          <w:tcPr>
            <w:tcW w:w="5420" w:type="dxa"/>
            <w:vAlign w:val="bottom"/>
            <w:shd w:val="clear" w:color="auto" w:fill="CCEEFF"/>
          </w:tcPr>
          <w:p>
            <w:pPr>
              <w:ind w:left="180"/>
              <w:spacing w:after="0" w:line="216" w:lineRule="exact"/>
              <w:rPr>
                <w:sz w:val="20"/>
                <w:szCs w:val="20"/>
                <w:color w:val="auto"/>
              </w:rPr>
            </w:pPr>
            <w:r>
              <w:rPr>
                <w:rFonts w:ascii="Arial" w:cs="Arial" w:eastAsia="Arial" w:hAnsi="Arial"/>
                <w:sz w:val="18"/>
                <w:szCs w:val="18"/>
                <w:color w:val="auto"/>
              </w:rPr>
              <w:t xml:space="preserve">Distributions to noncontrolling interests </w:t>
            </w:r>
            <w:r>
              <w:rPr>
                <w:rFonts w:ascii="Arial" w:cs="Arial" w:eastAsia="Arial" w:hAnsi="Arial"/>
                <w:sz w:val="23"/>
                <w:szCs w:val="23"/>
                <w:color w:val="auto"/>
                <w:vertAlign w:val="superscript"/>
              </w:rPr>
              <w:t>(1)</w:t>
            </w:r>
          </w:p>
        </w:tc>
        <w:tc>
          <w:tcPr>
            <w:tcW w:w="4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w:t>
            </w:r>
          </w:p>
        </w:tc>
        <w:tc>
          <w:tcPr>
            <w:tcW w:w="26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(25)</w:t>
            </w:r>
          </w:p>
        </w:tc>
      </w:tr>
      <w:tr>
        <w:trPr>
          <w:trHeight w:val="210"/>
        </w:trPr>
        <w:tc>
          <w:tcPr>
            <w:tcW w:w="5420" w:type="dxa"/>
            <w:vAlign w:val="bottom"/>
          </w:tcPr>
          <w:p>
            <w:pPr>
              <w:spacing w:after="0"/>
              <w:rPr>
                <w:sz w:val="20"/>
                <w:szCs w:val="20"/>
                <w:color w:val="auto"/>
              </w:rPr>
            </w:pPr>
            <w:r>
              <w:rPr>
                <w:rFonts w:ascii="Arial" w:cs="Arial" w:eastAsia="Arial" w:hAnsi="Arial"/>
                <w:sz w:val="18"/>
                <w:szCs w:val="18"/>
                <w:color w:val="auto"/>
              </w:rPr>
              <w:t>Implied DCF</w:t>
            </w:r>
          </w:p>
        </w:tc>
        <w:tc>
          <w:tcPr>
            <w:tcW w:w="480" w:type="dxa"/>
            <w:vAlign w:val="bottom"/>
          </w:tcPr>
          <w:p>
            <w:pPr>
              <w:spacing w:after="0"/>
              <w:rPr>
                <w:sz w:val="18"/>
                <w:szCs w:val="18"/>
                <w:color w:val="auto"/>
              </w:rPr>
            </w:pPr>
          </w:p>
        </w:tc>
        <w:tc>
          <w:tcPr>
            <w:tcW w:w="800" w:type="dxa"/>
            <w:vAlign w:val="bottom"/>
            <w:tcBorders>
              <w:top w:val="single" w:sz="8" w:color="auto"/>
              <w:bottom w:val="single" w:sz="8" w:color="auto"/>
            </w:tcBorders>
          </w:tcPr>
          <w:p>
            <w:pPr>
              <w:jc w:val="right"/>
              <w:ind w:right="622"/>
              <w:spacing w:after="0"/>
              <w:rPr>
                <w:sz w:val="20"/>
                <w:szCs w:val="20"/>
                <w:color w:val="auto"/>
              </w:rPr>
            </w:pPr>
            <w:r>
              <w:rPr>
                <w:rFonts w:ascii="Arial" w:cs="Arial" w:eastAsia="Arial" w:hAnsi="Arial"/>
                <w:sz w:val="18"/>
                <w:szCs w:val="18"/>
                <w:color w:val="auto"/>
                <w:w w:val="79"/>
              </w:rPr>
              <w:t>$</w:t>
            </w:r>
          </w:p>
        </w:tc>
        <w:tc>
          <w:tcPr>
            <w:tcW w:w="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367</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Borders>
              <w:top w:val="single" w:sz="8" w:color="auto"/>
              <w:bottom w:val="single" w:sz="8" w:color="auto"/>
            </w:tcBorders>
          </w:tcPr>
          <w:p>
            <w:pPr>
              <w:jc w:val="right"/>
              <w:ind w:right="645"/>
              <w:spacing w:after="0"/>
              <w:rPr>
                <w:sz w:val="20"/>
                <w:szCs w:val="20"/>
                <w:color w:val="auto"/>
              </w:rPr>
            </w:pPr>
            <w:r>
              <w:rPr>
                <w:rFonts w:ascii="Arial" w:cs="Arial" w:eastAsia="Arial" w:hAnsi="Arial"/>
                <w:sz w:val="15"/>
                <w:szCs w:val="15"/>
                <w:color w:val="auto"/>
                <w:w w:val="71"/>
              </w:rPr>
              <w:t>$</w:t>
            </w:r>
          </w:p>
        </w:tc>
        <w:tc>
          <w:tcPr>
            <w:tcW w:w="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342</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776</w:t>
            </w:r>
          </w:p>
        </w:tc>
        <w:tc>
          <w:tcPr>
            <w:tcW w:w="30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904</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0"/>
        </w:trPr>
        <w:tc>
          <w:tcPr>
            <w:tcW w:w="54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222885</wp:posOffset>
            </wp:positionV>
            <wp:extent cx="1826895"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04" w:lineRule="exact"/>
        <w:rPr>
          <w:sz w:val="20"/>
          <w:szCs w:val="20"/>
          <w:color w:val="auto"/>
        </w:rPr>
      </w:pPr>
    </w:p>
    <w:p>
      <w:pPr>
        <w:ind w:left="240" w:hanging="232"/>
        <w:spacing w:after="0"/>
        <w:tabs>
          <w:tab w:leader="none" w:pos="240" w:val="left"/>
        </w:tabs>
        <w:numPr>
          <w:ilvl w:val="0"/>
          <w:numId w:val="28"/>
        </w:numPr>
        <w:rPr>
          <w:rFonts w:ascii="Arial" w:cs="Arial" w:eastAsia="Arial" w:hAnsi="Arial"/>
          <w:sz w:val="23"/>
          <w:szCs w:val="23"/>
          <w:color w:val="auto"/>
          <w:vertAlign w:val="superscript"/>
        </w:rPr>
      </w:pPr>
      <w:r>
        <w:rPr>
          <w:rFonts w:ascii="Arial" w:cs="Arial" w:eastAsia="Arial" w:hAnsi="Arial"/>
          <w:sz w:val="18"/>
          <w:szCs w:val="18"/>
          <w:color w:val="auto"/>
        </w:rPr>
        <w:t>Includes distributions that pertain to the current period's net income, which are paid in the subsequent period.</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260" w:type="dxa"/>
            <w:vAlign w:val="bottom"/>
            <w:gridSpan w:val="5"/>
          </w:tcPr>
          <w:p>
            <w:pPr>
              <w:jc w:val="right"/>
              <w:ind w:right="225"/>
              <w:spacing w:after="0"/>
              <w:rPr>
                <w:sz w:val="20"/>
                <w:szCs w:val="20"/>
                <w:color w:val="auto"/>
              </w:rPr>
            </w:pPr>
            <w:r>
              <w:rPr>
                <w:rFonts w:ascii="Arial" w:cs="Arial" w:eastAsia="Arial" w:hAnsi="Arial"/>
                <w:sz w:val="14"/>
                <w:szCs w:val="14"/>
                <w:b w:val="1"/>
                <w:bCs w:val="1"/>
                <w:color w:val="auto"/>
              </w:rPr>
              <w:t>Three Months Ended</w:t>
            </w:r>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380" w:type="dxa"/>
            <w:vAlign w:val="bottom"/>
            <w:gridSpan w:val="5"/>
          </w:tcPr>
          <w:p>
            <w:pPr>
              <w:jc w:val="right"/>
              <w:ind w:right="800"/>
              <w:spacing w:after="0"/>
              <w:rPr>
                <w:sz w:val="20"/>
                <w:szCs w:val="20"/>
                <w:color w:val="auto"/>
              </w:rPr>
            </w:pPr>
            <w:r>
              <w:rPr>
                <w:rFonts w:ascii="Arial" w:cs="Arial" w:eastAsia="Arial" w:hAnsi="Arial"/>
                <w:sz w:val="14"/>
                <w:szCs w:val="14"/>
                <w:b w:val="1"/>
                <w:bCs w:val="1"/>
                <w:color w:val="auto"/>
              </w:rPr>
              <w:t>Six Months Ended</w:t>
            </w:r>
          </w:p>
        </w:tc>
        <w:tc>
          <w:tcPr>
            <w:tcW w:w="40" w:type="dxa"/>
            <w:vAlign w:val="bottom"/>
          </w:tcPr>
          <w:p>
            <w:pPr>
              <w:spacing w:after="0"/>
              <w:rPr>
                <w:sz w:val="14"/>
                <w:szCs w:val="14"/>
                <w:color w:val="auto"/>
              </w:rPr>
            </w:pPr>
          </w:p>
        </w:tc>
      </w:tr>
      <w:tr>
        <w:trPr>
          <w:trHeight w:val="171"/>
        </w:trPr>
        <w:tc>
          <w:tcPr>
            <w:tcW w:w="46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gridSpan w:val="4"/>
          </w:tcPr>
          <w:p>
            <w:pPr>
              <w:jc w:val="right"/>
              <w:ind w:right="625"/>
              <w:spacing w:after="0"/>
              <w:rPr>
                <w:sz w:val="20"/>
                <w:szCs w:val="20"/>
                <w:color w:val="auto"/>
              </w:rPr>
            </w:pPr>
            <w:r>
              <w:rPr>
                <w:rFonts w:ascii="Arial" w:cs="Arial" w:eastAsia="Arial" w:hAnsi="Arial"/>
                <w:sz w:val="14"/>
                <w:szCs w:val="14"/>
                <w:b w:val="1"/>
                <w:bCs w:val="1"/>
                <w:color w:val="auto"/>
              </w:rPr>
              <w:t>June 30,</w:t>
            </w:r>
          </w:p>
        </w:tc>
        <w:tc>
          <w:tcPr>
            <w:tcW w:w="34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3"/>
          </w:tcPr>
          <w:p>
            <w:pPr>
              <w:jc w:val="right"/>
              <w:ind w:right="85"/>
              <w:spacing w:after="0"/>
              <w:rPr>
                <w:sz w:val="20"/>
                <w:szCs w:val="20"/>
                <w:color w:val="auto"/>
              </w:rPr>
            </w:pPr>
            <w:r>
              <w:rPr>
                <w:rFonts w:ascii="Arial" w:cs="Arial" w:eastAsia="Arial" w:hAnsi="Arial"/>
                <w:sz w:val="14"/>
                <w:szCs w:val="14"/>
                <w:b w:val="1"/>
                <w:bCs w:val="1"/>
                <w:color w:val="auto"/>
              </w:rPr>
              <w:t>June 30,</w:t>
            </w:r>
          </w:p>
        </w:tc>
        <w:tc>
          <w:tcPr>
            <w:tcW w:w="8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42"/>
        </w:trPr>
        <w:tc>
          <w:tcPr>
            <w:tcW w:w="466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78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2014</w:t>
            </w:r>
          </w:p>
        </w:tc>
        <w:tc>
          <w:tcPr>
            <w:tcW w:w="3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gridSpan w:val="2"/>
          </w:tcPr>
          <w:p>
            <w:pPr>
              <w:jc w:val="right"/>
              <w:ind w:right="5"/>
              <w:spacing w:after="0" w:line="142" w:lineRule="exact"/>
              <w:rPr>
                <w:sz w:val="20"/>
                <w:szCs w:val="20"/>
                <w:color w:val="auto"/>
              </w:rPr>
            </w:pPr>
            <w:r>
              <w:rPr>
                <w:rFonts w:ascii="Arial" w:cs="Arial" w:eastAsia="Arial" w:hAnsi="Arial"/>
                <w:sz w:val="14"/>
                <w:szCs w:val="14"/>
                <w:b w:val="1"/>
                <w:bCs w:val="1"/>
                <w:color w:val="auto"/>
              </w:rPr>
              <w:t>2013</w:t>
            </w:r>
          </w:p>
        </w:tc>
        <w:tc>
          <w:tcPr>
            <w:tcW w:w="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tcPr>
          <w:p>
            <w:pPr>
              <w:jc w:val="right"/>
              <w:ind w:right="316"/>
              <w:spacing w:after="0" w:line="142" w:lineRule="exact"/>
              <w:rPr>
                <w:sz w:val="20"/>
                <w:szCs w:val="20"/>
                <w:color w:val="auto"/>
              </w:rPr>
            </w:pPr>
            <w:r>
              <w:rPr>
                <w:rFonts w:ascii="Arial" w:cs="Arial" w:eastAsia="Arial" w:hAnsi="Arial"/>
                <w:sz w:val="14"/>
                <w:szCs w:val="14"/>
                <w:b w:val="1"/>
                <w:bCs w:val="1"/>
                <w:color w:val="auto"/>
              </w:rPr>
              <w:t>2014</w:t>
            </w:r>
          </w:p>
        </w:tc>
        <w:tc>
          <w:tcPr>
            <w:tcW w:w="3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tcPr>
          <w:p>
            <w:pPr>
              <w:jc w:val="right"/>
              <w:ind w:right="333"/>
              <w:spacing w:after="0" w:line="142" w:lineRule="exact"/>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96"/>
        </w:trPr>
        <w:tc>
          <w:tcPr>
            <w:tcW w:w="46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Cash Flow from Operating Activities Reconciliation</w:t>
            </w:r>
          </w:p>
        </w:tc>
        <w:tc>
          <w:tcPr>
            <w:tcW w:w="124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40" w:type="dxa"/>
            <w:vAlign w:val="bottom"/>
          </w:tcPr>
          <w:p>
            <w:pPr>
              <w:spacing w:after="0"/>
              <w:rPr>
                <w:sz w:val="17"/>
                <w:szCs w:val="17"/>
                <w:color w:val="auto"/>
              </w:rPr>
            </w:pPr>
          </w:p>
        </w:tc>
      </w:tr>
      <w:tr>
        <w:trPr>
          <w:trHeight w:val="216"/>
        </w:trPr>
        <w:tc>
          <w:tcPr>
            <w:tcW w:w="4660" w:type="dxa"/>
            <w:vAlign w:val="bottom"/>
          </w:tcPr>
          <w:p>
            <w:pPr>
              <w:spacing w:after="0"/>
              <w:rPr>
                <w:sz w:val="20"/>
                <w:szCs w:val="20"/>
                <w:color w:val="auto"/>
              </w:rPr>
            </w:pPr>
            <w:r>
              <w:rPr>
                <w:rFonts w:ascii="Arial" w:cs="Arial" w:eastAsia="Arial" w:hAnsi="Arial"/>
                <w:sz w:val="18"/>
                <w:szCs w:val="18"/>
                <w:color w:val="auto"/>
              </w:rPr>
              <w:t>EBITDA</w:t>
            </w:r>
          </w:p>
        </w:tc>
        <w:tc>
          <w:tcPr>
            <w:tcW w:w="2020" w:type="dxa"/>
            <w:vAlign w:val="bottom"/>
            <w:gridSpan w:val="2"/>
          </w:tcPr>
          <w:p>
            <w:pPr>
              <w:jc w:val="right"/>
              <w:ind w:right="602"/>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180"/>
              <w:spacing w:after="0"/>
              <w:rPr>
                <w:sz w:val="20"/>
                <w:szCs w:val="20"/>
                <w:color w:val="auto"/>
              </w:rPr>
            </w:pPr>
            <w:r>
              <w:rPr>
                <w:rFonts w:ascii="Arial" w:cs="Arial" w:eastAsia="Arial" w:hAnsi="Arial"/>
                <w:sz w:val="18"/>
                <w:szCs w:val="18"/>
                <w:color w:val="auto"/>
              </w:rPr>
              <w:t>492</w:t>
            </w:r>
          </w:p>
        </w:tc>
        <w:tc>
          <w:tcPr>
            <w:tcW w:w="920" w:type="dxa"/>
            <w:vAlign w:val="bottom"/>
            <w:gridSpan w:val="2"/>
          </w:tcPr>
          <w:p>
            <w:pPr>
              <w:jc w:val="right"/>
              <w:ind w:right="645"/>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ind w:right="180"/>
              <w:spacing w:after="0"/>
              <w:rPr>
                <w:sz w:val="20"/>
                <w:szCs w:val="20"/>
                <w:color w:val="auto"/>
              </w:rPr>
            </w:pPr>
            <w:r>
              <w:rPr>
                <w:rFonts w:ascii="Arial" w:cs="Arial" w:eastAsia="Arial" w:hAnsi="Arial"/>
                <w:sz w:val="18"/>
                <w:szCs w:val="18"/>
                <w:color w:val="auto"/>
              </w:rPr>
              <w:t>484</w:t>
            </w:r>
          </w:p>
        </w:tc>
        <w:tc>
          <w:tcPr>
            <w:tcW w:w="36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300"/>
              <w:spacing w:after="0"/>
              <w:rPr>
                <w:sz w:val="20"/>
                <w:szCs w:val="20"/>
                <w:color w:val="auto"/>
              </w:rPr>
            </w:pPr>
            <w:r>
              <w:rPr>
                <w:rFonts w:ascii="Arial" w:cs="Arial" w:eastAsia="Arial" w:hAnsi="Arial"/>
                <w:sz w:val="18"/>
                <w:szCs w:val="18"/>
                <w:color w:val="auto"/>
              </w:rPr>
              <w:t>1,099</w:t>
            </w: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1,232</w:t>
            </w:r>
          </w:p>
        </w:tc>
        <w:tc>
          <w:tcPr>
            <w:tcW w:w="40" w:type="dxa"/>
            <w:vAlign w:val="bottom"/>
          </w:tcPr>
          <w:p>
            <w:pPr>
              <w:spacing w:after="0"/>
              <w:rPr>
                <w:sz w:val="18"/>
                <w:szCs w:val="18"/>
                <w:color w:val="auto"/>
              </w:rPr>
            </w:pPr>
          </w:p>
        </w:tc>
      </w:tr>
      <w:tr>
        <w:trPr>
          <w:trHeight w:val="216"/>
        </w:trPr>
        <w:tc>
          <w:tcPr>
            <w:tcW w:w="46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Current income tax expense</w:t>
            </w:r>
          </w:p>
        </w:tc>
        <w:tc>
          <w:tcPr>
            <w:tcW w:w="12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(52)</w:t>
            </w:r>
          </w:p>
        </w:tc>
        <w:tc>
          <w:tcPr>
            <w:tcW w:w="2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(53)</w:t>
            </w:r>
          </w:p>
        </w:tc>
        <w:tc>
          <w:tcPr>
            <w:tcW w:w="40" w:type="dxa"/>
            <w:vAlign w:val="bottom"/>
          </w:tcPr>
          <w:p>
            <w:pPr>
              <w:spacing w:after="0"/>
              <w:rPr>
                <w:sz w:val="18"/>
                <w:szCs w:val="18"/>
                <w:color w:val="auto"/>
              </w:rPr>
            </w:pPr>
          </w:p>
        </w:tc>
      </w:tr>
      <w:tr>
        <w:trPr>
          <w:trHeight w:val="216"/>
        </w:trPr>
        <w:tc>
          <w:tcPr>
            <w:tcW w:w="4660" w:type="dxa"/>
            <w:vAlign w:val="bottom"/>
          </w:tcPr>
          <w:p>
            <w:pPr>
              <w:ind w:left="180"/>
              <w:spacing w:after="0"/>
              <w:rPr>
                <w:sz w:val="20"/>
                <w:szCs w:val="20"/>
                <w:color w:val="auto"/>
              </w:rPr>
            </w:pPr>
            <w:r>
              <w:rPr>
                <w:rFonts w:ascii="Arial" w:cs="Arial" w:eastAsia="Arial" w:hAnsi="Arial"/>
                <w:sz w:val="18"/>
                <w:szCs w:val="18"/>
                <w:color w:val="auto"/>
              </w:rPr>
              <w:t>Interest expense, net</w:t>
            </w:r>
          </w:p>
        </w:tc>
        <w:tc>
          <w:tcPr>
            <w:tcW w:w="1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60" w:type="dxa"/>
            <w:vAlign w:val="bottom"/>
            <w:gridSpan w:val="2"/>
          </w:tcPr>
          <w:p>
            <w:pPr>
              <w:jc w:val="right"/>
              <w:ind w:right="120"/>
              <w:spacing w:after="0"/>
              <w:rPr>
                <w:sz w:val="20"/>
                <w:szCs w:val="20"/>
                <w:color w:val="auto"/>
              </w:rPr>
            </w:pPr>
            <w:r>
              <w:rPr>
                <w:rFonts w:ascii="Arial" w:cs="Arial" w:eastAsia="Arial" w:hAnsi="Arial"/>
                <w:sz w:val="18"/>
                <w:szCs w:val="18"/>
                <w:color w:val="auto"/>
              </w:rPr>
              <w:t>(82)</w:t>
            </w: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20" w:type="dxa"/>
            <w:vAlign w:val="bottom"/>
            <w:gridSpan w:val="2"/>
          </w:tcPr>
          <w:p>
            <w:pPr>
              <w:jc w:val="right"/>
              <w:ind w:right="120"/>
              <w:spacing w:after="0"/>
              <w:rPr>
                <w:sz w:val="20"/>
                <w:szCs w:val="20"/>
                <w:color w:val="auto"/>
              </w:rPr>
            </w:pPr>
            <w:r>
              <w:rPr>
                <w:rFonts w:ascii="Arial" w:cs="Arial" w:eastAsia="Arial" w:hAnsi="Arial"/>
                <w:sz w:val="18"/>
                <w:szCs w:val="18"/>
                <w:color w:val="auto"/>
              </w:rPr>
              <w:t>(75)</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(161)</w:t>
            </w:r>
          </w:p>
        </w:tc>
        <w:tc>
          <w:tcPr>
            <w:tcW w:w="26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(152)</w:t>
            </w:r>
          </w:p>
        </w:tc>
        <w:tc>
          <w:tcPr>
            <w:tcW w:w="40" w:type="dxa"/>
            <w:vAlign w:val="bottom"/>
          </w:tcPr>
          <w:p>
            <w:pPr>
              <w:spacing w:after="0"/>
              <w:rPr>
                <w:sz w:val="18"/>
                <w:szCs w:val="18"/>
                <w:color w:val="auto"/>
              </w:rPr>
            </w:pPr>
          </w:p>
        </w:tc>
      </w:tr>
      <w:tr>
        <w:trPr>
          <w:trHeight w:val="216"/>
        </w:trPr>
        <w:tc>
          <w:tcPr>
            <w:tcW w:w="46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change in assets and liabilities, net of acquisitions</w:t>
            </w:r>
          </w:p>
        </w:tc>
        <w:tc>
          <w:tcPr>
            <w:tcW w:w="12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9"/>
              </w:rPr>
              <w:t>(287)</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(70)</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9</w:t>
            </w:r>
          </w:p>
        </w:tc>
        <w:tc>
          <w:tcPr>
            <w:tcW w:w="2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232</w:t>
            </w:r>
          </w:p>
        </w:tc>
        <w:tc>
          <w:tcPr>
            <w:tcW w:w="40" w:type="dxa"/>
            <w:vAlign w:val="bottom"/>
          </w:tcPr>
          <w:p>
            <w:pPr>
              <w:spacing w:after="0"/>
              <w:rPr>
                <w:sz w:val="18"/>
                <w:szCs w:val="18"/>
                <w:color w:val="auto"/>
              </w:rPr>
            </w:pPr>
          </w:p>
        </w:tc>
      </w:tr>
      <w:tr>
        <w:trPr>
          <w:trHeight w:val="216"/>
        </w:trPr>
        <w:tc>
          <w:tcPr>
            <w:tcW w:w="4660" w:type="dxa"/>
            <w:vAlign w:val="bottom"/>
          </w:tcPr>
          <w:p>
            <w:pPr>
              <w:spacing w:after="0"/>
              <w:rPr>
                <w:sz w:val="20"/>
                <w:szCs w:val="20"/>
                <w:color w:val="auto"/>
              </w:rPr>
            </w:pPr>
            <w:r>
              <w:rPr>
                <w:rFonts w:ascii="Arial" w:cs="Arial" w:eastAsia="Arial" w:hAnsi="Arial"/>
                <w:sz w:val="18"/>
                <w:szCs w:val="18"/>
                <w:color w:val="auto"/>
                <w:w w:val="92"/>
              </w:rPr>
              <w:t>Other items to reconcile to cash flows from operating activities:</w:t>
            </w:r>
          </w:p>
        </w:tc>
        <w:tc>
          <w:tcPr>
            <w:tcW w:w="1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46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Equity-indexed compensation expense</w:t>
            </w:r>
          </w:p>
        </w:tc>
        <w:tc>
          <w:tcPr>
            <w:tcW w:w="12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34</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68</w:t>
            </w:r>
          </w:p>
        </w:tc>
        <w:tc>
          <w:tcPr>
            <w:tcW w:w="2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78</w:t>
            </w:r>
          </w:p>
        </w:tc>
        <w:tc>
          <w:tcPr>
            <w:tcW w:w="40" w:type="dxa"/>
            <w:vAlign w:val="bottom"/>
          </w:tcPr>
          <w:p>
            <w:pPr>
              <w:spacing w:after="0"/>
              <w:rPr>
                <w:sz w:val="18"/>
                <w:szCs w:val="18"/>
                <w:color w:val="auto"/>
              </w:rPr>
            </w:pPr>
          </w:p>
        </w:tc>
      </w:tr>
      <w:tr>
        <w:trPr>
          <w:trHeight w:val="210"/>
        </w:trPr>
        <w:tc>
          <w:tcPr>
            <w:tcW w:w="4660" w:type="dxa"/>
            <w:vAlign w:val="bottom"/>
          </w:tcPr>
          <w:p>
            <w:pPr>
              <w:spacing w:after="0"/>
              <w:rPr>
                <w:sz w:val="20"/>
                <w:szCs w:val="20"/>
                <w:color w:val="auto"/>
              </w:rPr>
            </w:pPr>
            <w:r>
              <w:rPr>
                <w:rFonts w:ascii="Arial" w:cs="Arial" w:eastAsia="Arial" w:hAnsi="Arial"/>
                <w:sz w:val="18"/>
                <w:szCs w:val="18"/>
                <w:color w:val="auto"/>
              </w:rPr>
              <w:t>Net cash provided by operating activities</w:t>
            </w:r>
          </w:p>
        </w:tc>
        <w:tc>
          <w:tcPr>
            <w:tcW w:w="1240" w:type="dxa"/>
            <w:vAlign w:val="bottom"/>
          </w:tcPr>
          <w:p>
            <w:pPr>
              <w:spacing w:after="0"/>
              <w:rPr>
                <w:sz w:val="18"/>
                <w:szCs w:val="18"/>
                <w:color w:val="auto"/>
              </w:rPr>
            </w:pPr>
          </w:p>
        </w:tc>
        <w:tc>
          <w:tcPr>
            <w:tcW w:w="780" w:type="dxa"/>
            <w:vAlign w:val="bottom"/>
            <w:tcBorders>
              <w:top w:val="single" w:sz="8" w:color="auto"/>
              <w:bottom w:val="single" w:sz="8" w:color="auto"/>
            </w:tcBorders>
          </w:tcPr>
          <w:p>
            <w:pPr>
              <w:jc w:val="right"/>
              <w:ind w:right="602"/>
              <w:spacing w:after="0"/>
              <w:rPr>
                <w:sz w:val="20"/>
                <w:szCs w:val="20"/>
                <w:color w:val="auto"/>
              </w:rPr>
            </w:pPr>
            <w:r>
              <w:rPr>
                <w:rFonts w:ascii="Arial" w:cs="Arial" w:eastAsia="Arial" w:hAnsi="Arial"/>
                <w:sz w:val="18"/>
                <w:szCs w:val="18"/>
                <w:color w:val="auto"/>
                <w:w w:val="79"/>
              </w:rPr>
              <w:t>$</w:t>
            </w:r>
          </w:p>
        </w:tc>
        <w:tc>
          <w:tcPr>
            <w:tcW w:w="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141</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Borders>
              <w:top w:val="single" w:sz="8" w:color="auto"/>
              <w:bottom w:val="single" w:sz="8" w:color="auto"/>
            </w:tcBorders>
          </w:tcPr>
          <w:p>
            <w:pPr>
              <w:jc w:val="right"/>
              <w:ind w:right="645"/>
              <w:spacing w:after="0"/>
              <w:rPr>
                <w:sz w:val="20"/>
                <w:szCs w:val="20"/>
                <w:color w:val="auto"/>
              </w:rPr>
            </w:pPr>
            <w:r>
              <w:rPr>
                <w:rFonts w:ascii="Arial" w:cs="Arial" w:eastAsia="Arial" w:hAnsi="Arial"/>
                <w:sz w:val="15"/>
                <w:szCs w:val="15"/>
                <w:color w:val="auto"/>
                <w:w w:val="71"/>
              </w:rPr>
              <w:t>$</w:t>
            </w:r>
          </w:p>
        </w:tc>
        <w:tc>
          <w:tcPr>
            <w:tcW w:w="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358</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963</w:t>
            </w:r>
          </w:p>
        </w:tc>
        <w:tc>
          <w:tcPr>
            <w:tcW w:w="30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1,337</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0"/>
        </w:trPr>
        <w:tc>
          <w:tcPr>
            <w:tcW w:w="46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636"/>
        </w:trPr>
        <w:tc>
          <w:tcPr>
            <w:tcW w:w="4660" w:type="dxa"/>
            <w:vAlign w:val="bottom"/>
            <w:tcBorders>
              <w:bottom w:val="single" w:sz="8" w:color="auto"/>
            </w:tcBorders>
          </w:tcPr>
          <w:p>
            <w:pPr>
              <w:spacing w:after="0"/>
              <w:rPr>
                <w:sz w:val="24"/>
                <w:szCs w:val="24"/>
                <w:color w:val="auto"/>
              </w:rPr>
            </w:pPr>
          </w:p>
        </w:tc>
        <w:tc>
          <w:tcPr>
            <w:tcW w:w="2020" w:type="dxa"/>
            <w:vAlign w:val="bottom"/>
            <w:tcBorders>
              <w:bottom w:val="single" w:sz="8" w:color="auto"/>
            </w:tcBorders>
            <w:gridSpan w:val="2"/>
          </w:tcPr>
          <w:p>
            <w:pPr>
              <w:jc w:val="right"/>
              <w:ind w:right="562"/>
              <w:spacing w:after="0"/>
              <w:rPr>
                <w:sz w:val="20"/>
                <w:szCs w:val="20"/>
                <w:color w:val="auto"/>
              </w:rPr>
            </w:pPr>
            <w:r>
              <w:rPr>
                <w:rFonts w:ascii="Arial" w:cs="Arial" w:eastAsia="Arial" w:hAnsi="Arial"/>
                <w:sz w:val="18"/>
                <w:szCs w:val="18"/>
                <w:color w:val="auto"/>
              </w:rPr>
              <w:t>– more –</w:t>
            </w:r>
          </w:p>
        </w:tc>
        <w:tc>
          <w:tcPr>
            <w:tcW w:w="3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r>
      <w:tr>
        <w:trPr>
          <w:trHeight w:val="234"/>
        </w:trPr>
        <w:tc>
          <w:tcPr>
            <w:tcW w:w="4660" w:type="dxa"/>
            <w:vAlign w:val="bottom"/>
          </w:tcPr>
          <w:p>
            <w:pPr>
              <w:ind w:left="2200"/>
              <w:spacing w:after="0"/>
              <w:rPr>
                <w:sz w:val="20"/>
                <w:szCs w:val="20"/>
                <w:color w:val="auto"/>
              </w:rPr>
            </w:pPr>
            <w:r>
              <w:rPr>
                <w:rFonts w:ascii="Arial" w:cs="Arial" w:eastAsia="Arial" w:hAnsi="Arial"/>
                <w:sz w:val="18"/>
                <w:szCs w:val="18"/>
                <w:b w:val="1"/>
                <w:bCs w:val="1"/>
                <w:color w:val="auto"/>
              </w:rPr>
              <w:t>333 Clay Street, Suite 1600</w:t>
            </w:r>
          </w:p>
        </w:tc>
        <w:tc>
          <w:tcPr>
            <w:tcW w:w="2020" w:type="dxa"/>
            <w:vAlign w:val="bottom"/>
            <w:gridSpan w:val="2"/>
          </w:tcPr>
          <w:p>
            <w:pPr>
              <w:jc w:val="right"/>
              <w:ind w:right="222"/>
              <w:spacing w:after="0"/>
              <w:rPr>
                <w:sz w:val="20"/>
                <w:szCs w:val="20"/>
                <w:color w:val="auto"/>
              </w:rPr>
            </w:pPr>
            <w:r>
              <w:rPr>
                <w:rFonts w:ascii="Arial" w:cs="Arial" w:eastAsia="Arial" w:hAnsi="Arial"/>
                <w:sz w:val="18"/>
                <w:szCs w:val="18"/>
                <w:b w:val="1"/>
                <w:bCs w:val="1"/>
                <w:color w:val="auto"/>
                <w:w w:val="89"/>
              </w:rPr>
              <w:t>Houston, Texas 77002</w:t>
            </w:r>
          </w:p>
        </w:tc>
        <w:tc>
          <w:tcPr>
            <w:tcW w:w="3220" w:type="dxa"/>
            <w:vAlign w:val="bottom"/>
            <w:gridSpan w:val="9"/>
          </w:tcPr>
          <w:p>
            <w:pPr>
              <w:jc w:val="right"/>
              <w:ind w:right="596"/>
              <w:spacing w:after="0"/>
              <w:rPr>
                <w:sz w:val="20"/>
                <w:szCs w:val="20"/>
                <w:color w:val="auto"/>
              </w:rPr>
            </w:pPr>
            <w:r>
              <w:rPr>
                <w:rFonts w:ascii="Arial" w:cs="Arial" w:eastAsia="Arial" w:hAnsi="Arial"/>
                <w:sz w:val="18"/>
                <w:szCs w:val="18"/>
                <w:b w:val="1"/>
                <w:bCs w:val="1"/>
                <w:color w:val="auto"/>
                <w:w w:val="96"/>
              </w:rPr>
              <w:t>(713) 646-4100 / (866) 809-1291</w:t>
            </w:r>
          </w:p>
        </w:tc>
        <w:tc>
          <w:tcPr>
            <w:tcW w:w="3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330"/>
        </w:trPr>
        <w:tc>
          <w:tcPr>
            <w:tcW w:w="4660" w:type="dxa"/>
            <w:vAlign w:val="bottom"/>
            <w:tcBorders>
              <w:bottom w:val="single" w:sz="8" w:color="010101"/>
            </w:tcBorders>
          </w:tcPr>
          <w:p>
            <w:pPr>
              <w:spacing w:after="0"/>
              <w:rPr>
                <w:sz w:val="24"/>
                <w:szCs w:val="24"/>
                <w:color w:val="auto"/>
              </w:rPr>
            </w:pPr>
          </w:p>
        </w:tc>
        <w:tc>
          <w:tcPr>
            <w:tcW w:w="1240" w:type="dxa"/>
            <w:vAlign w:val="bottom"/>
            <w:tcBorders>
              <w:bottom w:val="single" w:sz="8" w:color="010101"/>
            </w:tcBorders>
          </w:tcPr>
          <w:p>
            <w:pPr>
              <w:spacing w:after="0"/>
              <w:rPr>
                <w:sz w:val="24"/>
                <w:szCs w:val="24"/>
                <w:color w:val="auto"/>
              </w:rPr>
            </w:pPr>
          </w:p>
        </w:tc>
        <w:tc>
          <w:tcPr>
            <w:tcW w:w="780" w:type="dxa"/>
            <w:vAlign w:val="bottom"/>
            <w:tcBorders>
              <w:bottom w:val="single" w:sz="8" w:color="010101"/>
            </w:tcBorders>
          </w:tcPr>
          <w:p>
            <w:pPr>
              <w:spacing w:after="0"/>
              <w:rPr>
                <w:sz w:val="24"/>
                <w:szCs w:val="24"/>
                <w:color w:val="auto"/>
              </w:rPr>
            </w:pPr>
          </w:p>
        </w:tc>
        <w:tc>
          <w:tcPr>
            <w:tcW w:w="380" w:type="dxa"/>
            <w:vAlign w:val="bottom"/>
            <w:tcBorders>
              <w:bottom w:val="single" w:sz="8" w:color="010101"/>
            </w:tcBorders>
          </w:tcPr>
          <w:p>
            <w:pPr>
              <w:spacing w:after="0"/>
              <w:rPr>
                <w:sz w:val="24"/>
                <w:szCs w:val="24"/>
                <w:color w:val="auto"/>
              </w:rPr>
            </w:pPr>
          </w:p>
        </w:tc>
        <w:tc>
          <w:tcPr>
            <w:tcW w:w="180" w:type="dxa"/>
            <w:vAlign w:val="bottom"/>
            <w:tcBorders>
              <w:bottom w:val="single" w:sz="8" w:color="010101"/>
            </w:tcBorders>
          </w:tcPr>
          <w:p>
            <w:pPr>
              <w:spacing w:after="0"/>
              <w:rPr>
                <w:sz w:val="24"/>
                <w:szCs w:val="24"/>
                <w:color w:val="auto"/>
              </w:rPr>
            </w:pPr>
          </w:p>
        </w:tc>
        <w:tc>
          <w:tcPr>
            <w:tcW w:w="120" w:type="dxa"/>
            <w:vAlign w:val="bottom"/>
            <w:tcBorders>
              <w:bottom w:val="single" w:sz="8" w:color="010101"/>
            </w:tcBorders>
          </w:tcPr>
          <w:p>
            <w:pPr>
              <w:spacing w:after="0"/>
              <w:rPr>
                <w:sz w:val="24"/>
                <w:szCs w:val="24"/>
                <w:color w:val="auto"/>
              </w:rPr>
            </w:pPr>
          </w:p>
        </w:tc>
        <w:tc>
          <w:tcPr>
            <w:tcW w:w="800" w:type="dxa"/>
            <w:vAlign w:val="bottom"/>
            <w:tcBorders>
              <w:bottom w:val="single" w:sz="8" w:color="010101"/>
            </w:tcBorders>
          </w:tcPr>
          <w:p>
            <w:pPr>
              <w:spacing w:after="0"/>
              <w:rPr>
                <w:sz w:val="24"/>
                <w:szCs w:val="24"/>
                <w:color w:val="auto"/>
              </w:rPr>
            </w:pPr>
          </w:p>
        </w:tc>
        <w:tc>
          <w:tcPr>
            <w:tcW w:w="340" w:type="dxa"/>
            <w:vAlign w:val="bottom"/>
            <w:tcBorders>
              <w:bottom w:val="single" w:sz="8" w:color="010101"/>
            </w:tcBorders>
          </w:tcPr>
          <w:p>
            <w:pPr>
              <w:spacing w:after="0"/>
              <w:rPr>
                <w:sz w:val="24"/>
                <w:szCs w:val="24"/>
                <w:color w:val="auto"/>
              </w:rPr>
            </w:pPr>
          </w:p>
        </w:tc>
        <w:tc>
          <w:tcPr>
            <w:tcW w:w="180" w:type="dxa"/>
            <w:vAlign w:val="bottom"/>
            <w:tcBorders>
              <w:bottom w:val="single" w:sz="8" w:color="010101"/>
            </w:tcBorders>
          </w:tcPr>
          <w:p>
            <w:pPr>
              <w:spacing w:after="0"/>
              <w:rPr>
                <w:sz w:val="24"/>
                <w:szCs w:val="24"/>
                <w:color w:val="auto"/>
              </w:rPr>
            </w:pPr>
          </w:p>
        </w:tc>
        <w:tc>
          <w:tcPr>
            <w:tcW w:w="100" w:type="dxa"/>
            <w:vAlign w:val="bottom"/>
            <w:tcBorders>
              <w:bottom w:val="single" w:sz="8" w:color="010101"/>
            </w:tcBorders>
          </w:tcPr>
          <w:p>
            <w:pPr>
              <w:spacing w:after="0"/>
              <w:rPr>
                <w:sz w:val="24"/>
                <w:szCs w:val="24"/>
                <w:color w:val="auto"/>
              </w:rPr>
            </w:pPr>
          </w:p>
        </w:tc>
        <w:tc>
          <w:tcPr>
            <w:tcW w:w="260" w:type="dxa"/>
            <w:vAlign w:val="bottom"/>
            <w:tcBorders>
              <w:bottom w:val="single" w:sz="8" w:color="010101"/>
            </w:tcBorders>
          </w:tcPr>
          <w:p>
            <w:pPr>
              <w:spacing w:after="0"/>
              <w:rPr>
                <w:sz w:val="24"/>
                <w:szCs w:val="24"/>
                <w:color w:val="auto"/>
              </w:rPr>
            </w:pPr>
          </w:p>
        </w:tc>
        <w:tc>
          <w:tcPr>
            <w:tcW w:w="860" w:type="dxa"/>
            <w:vAlign w:val="bottom"/>
            <w:tcBorders>
              <w:bottom w:val="single" w:sz="8" w:color="010101"/>
            </w:tcBorders>
          </w:tcPr>
          <w:p>
            <w:pPr>
              <w:spacing w:after="0"/>
              <w:rPr>
                <w:sz w:val="24"/>
                <w:szCs w:val="24"/>
                <w:color w:val="auto"/>
              </w:rPr>
            </w:pPr>
          </w:p>
        </w:tc>
        <w:tc>
          <w:tcPr>
            <w:tcW w:w="300" w:type="dxa"/>
            <w:vAlign w:val="bottom"/>
            <w:tcBorders>
              <w:bottom w:val="single" w:sz="8" w:color="010101"/>
            </w:tcBorders>
          </w:tcPr>
          <w:p>
            <w:pPr>
              <w:spacing w:after="0"/>
              <w:rPr>
                <w:sz w:val="24"/>
                <w:szCs w:val="24"/>
                <w:color w:val="auto"/>
              </w:rPr>
            </w:pPr>
          </w:p>
        </w:tc>
        <w:tc>
          <w:tcPr>
            <w:tcW w:w="260" w:type="dxa"/>
            <w:vAlign w:val="bottom"/>
            <w:tcBorders>
              <w:bottom w:val="single" w:sz="8" w:color="010101"/>
            </w:tcBorders>
          </w:tcPr>
          <w:p>
            <w:pPr>
              <w:spacing w:after="0"/>
              <w:rPr>
                <w:sz w:val="24"/>
                <w:szCs w:val="24"/>
                <w:color w:val="auto"/>
              </w:rPr>
            </w:pPr>
          </w:p>
        </w:tc>
        <w:tc>
          <w:tcPr>
            <w:tcW w:w="860" w:type="dxa"/>
            <w:vAlign w:val="bottom"/>
            <w:tcBorders>
              <w:bottom w:val="single" w:sz="8" w:color="010101"/>
            </w:tcBorders>
          </w:tcPr>
          <w:p>
            <w:pPr>
              <w:spacing w:after="0"/>
              <w:rPr>
                <w:sz w:val="24"/>
                <w:szCs w:val="24"/>
                <w:color w:val="auto"/>
              </w:rPr>
            </w:pPr>
          </w:p>
        </w:tc>
        <w:tc>
          <w:tcPr>
            <w:tcW w:w="100" w:type="dxa"/>
            <w:vAlign w:val="bottom"/>
            <w:tcBorders>
              <w:bottom w:val="single" w:sz="8" w:color="010101"/>
            </w:tcBorders>
          </w:tcPr>
          <w:p>
            <w:pPr>
              <w:spacing w:after="0"/>
              <w:rPr>
                <w:sz w:val="24"/>
                <w:szCs w:val="24"/>
                <w:color w:val="auto"/>
              </w:rPr>
            </w:pPr>
          </w:p>
        </w:tc>
        <w:tc>
          <w:tcPr>
            <w:tcW w:w="40" w:type="dxa"/>
            <w:vAlign w:val="bottom"/>
            <w:tcBorders>
              <w:bottom w:val="single" w:sz="8" w:color="010101"/>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5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Page 15</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PLAINS GP HOLDINGS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FINANCIAL SUMMARY </w:t>
      </w:r>
      <w:r>
        <w:rPr>
          <w:rFonts w:ascii="Arial" w:cs="Arial" w:eastAsia="Arial" w:hAnsi="Arial"/>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24662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CONDENSED CONSOLIDATING STATEMENTS OF OPERATIONS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(in millions, except per share data)</w:t>
      </w:r>
    </w:p>
    <w:p>
      <w:pPr>
        <w:spacing w:after="0" w:line="3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6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40" w:type="dxa"/>
            <w:vAlign w:val="bottom"/>
            <w:gridSpan w:val="3"/>
          </w:tcPr>
          <w:p>
            <w:pPr>
              <w:spacing w:after="0"/>
              <w:rPr>
                <w:sz w:val="20"/>
                <w:szCs w:val="20"/>
                <w:color w:val="auto"/>
              </w:rPr>
            </w:pPr>
            <w:r>
              <w:rPr>
                <w:rFonts w:ascii="Arial" w:cs="Arial" w:eastAsia="Arial" w:hAnsi="Arial"/>
                <w:sz w:val="14"/>
                <w:szCs w:val="14"/>
                <w:b w:val="1"/>
                <w:bCs w:val="1"/>
                <w:color w:val="auto"/>
                <w:w w:val="95"/>
              </w:rPr>
              <w:t>Three Months Ended</w:t>
            </w: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6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3"/>
              </w:rPr>
              <w:t>Six Months Ended</w:t>
            </w: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64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gridSpan w:val="2"/>
          </w:tcPr>
          <w:p>
            <w:pPr>
              <w:jc w:val="right"/>
              <w:ind w:right="260"/>
              <w:spacing w:after="0"/>
              <w:rPr>
                <w:sz w:val="20"/>
                <w:szCs w:val="20"/>
                <w:color w:val="auto"/>
              </w:rPr>
            </w:pPr>
            <w:r>
              <w:rPr>
                <w:rFonts w:ascii="Arial" w:cs="Arial" w:eastAsia="Arial" w:hAnsi="Arial"/>
                <w:sz w:val="14"/>
                <w:szCs w:val="14"/>
                <w:b w:val="1"/>
                <w:bCs w:val="1"/>
                <w:color w:val="auto"/>
              </w:rPr>
              <w:t>June 30, 2014</w:t>
            </w:r>
          </w:p>
        </w:tc>
        <w:tc>
          <w:tcPr>
            <w:tcW w:w="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gridSpan w:val="2"/>
          </w:tcPr>
          <w:p>
            <w:pPr>
              <w:jc w:val="center"/>
              <w:ind w:right="420"/>
              <w:spacing w:after="0"/>
              <w:rPr>
                <w:sz w:val="20"/>
                <w:szCs w:val="20"/>
                <w:color w:val="auto"/>
              </w:rPr>
            </w:pPr>
            <w:r>
              <w:rPr>
                <w:rFonts w:ascii="Arial" w:cs="Arial" w:eastAsia="Arial" w:hAnsi="Arial"/>
                <w:sz w:val="14"/>
                <w:szCs w:val="14"/>
                <w:b w:val="1"/>
                <w:bCs w:val="1"/>
                <w:color w:val="auto"/>
                <w:w w:val="92"/>
              </w:rPr>
              <w:t>June 30, 2014</w:t>
            </w:r>
          </w:p>
        </w:tc>
        <w:tc>
          <w:tcPr>
            <w:tcW w:w="16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36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20" w:type="dxa"/>
            <w:vAlign w:val="bottom"/>
            <w:gridSpan w:val="2"/>
            <w:vMerge w:val="restart"/>
          </w:tcPr>
          <w:p>
            <w:pPr>
              <w:jc w:val="right"/>
              <w:ind w:right="460"/>
              <w:spacing w:after="0"/>
              <w:rPr>
                <w:sz w:val="20"/>
                <w:szCs w:val="20"/>
                <w:color w:val="auto"/>
              </w:rPr>
            </w:pPr>
            <w:r>
              <w:rPr>
                <w:rFonts w:ascii="Arial" w:cs="Arial" w:eastAsia="Arial" w:hAnsi="Arial"/>
                <w:sz w:val="14"/>
                <w:szCs w:val="14"/>
                <w:b w:val="1"/>
                <w:bCs w:val="1"/>
                <w:color w:val="auto"/>
              </w:rPr>
              <w:t>PAA</w:t>
            </w:r>
          </w:p>
        </w:tc>
        <w:tc>
          <w:tcPr>
            <w:tcW w:w="80" w:type="dxa"/>
            <w:vAlign w:val="bottom"/>
          </w:tcPr>
          <w:p>
            <w:pPr>
              <w:spacing w:after="0"/>
              <w:rPr>
                <w:sz w:val="10"/>
                <w:szCs w:val="10"/>
                <w:color w:val="auto"/>
              </w:rPr>
            </w:pPr>
          </w:p>
        </w:tc>
        <w:tc>
          <w:tcPr>
            <w:tcW w:w="1260" w:type="dxa"/>
            <w:vAlign w:val="bottom"/>
            <w:gridSpan w:val="2"/>
          </w:tcPr>
          <w:p>
            <w:pPr>
              <w:jc w:val="right"/>
              <w:ind w:right="340"/>
              <w:spacing w:after="0" w:line="119" w:lineRule="exact"/>
              <w:rPr>
                <w:sz w:val="20"/>
                <w:szCs w:val="20"/>
                <w:color w:val="auto"/>
              </w:rPr>
            </w:pPr>
            <w:r>
              <w:rPr>
                <w:rFonts w:ascii="Arial" w:cs="Arial" w:eastAsia="Arial" w:hAnsi="Arial"/>
                <w:sz w:val="13"/>
                <w:szCs w:val="13"/>
                <w:b w:val="1"/>
                <w:bCs w:val="1"/>
                <w:color w:val="auto"/>
              </w:rPr>
              <w:t>Consolidating</w:t>
            </w: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40" w:type="dxa"/>
            <w:vAlign w:val="bottom"/>
            <w:tcBorders>
              <w:right w:val="single" w:sz="8" w:color="auto"/>
            </w:tcBorders>
            <w:gridSpan w:val="2"/>
            <w:vMerge w:val="restart"/>
          </w:tcPr>
          <w:p>
            <w:pPr>
              <w:jc w:val="right"/>
              <w:ind w:right="460"/>
              <w:spacing w:after="0"/>
              <w:rPr>
                <w:sz w:val="20"/>
                <w:szCs w:val="20"/>
                <w:color w:val="auto"/>
              </w:rPr>
            </w:pPr>
            <w:r>
              <w:rPr>
                <w:rFonts w:ascii="Arial" w:cs="Arial" w:eastAsia="Arial" w:hAnsi="Arial"/>
                <w:sz w:val="14"/>
                <w:szCs w:val="14"/>
                <w:b w:val="1"/>
                <w:bCs w:val="1"/>
                <w:color w:val="auto"/>
              </w:rPr>
              <w:t>PAGP</w:t>
            </w:r>
          </w:p>
        </w:tc>
        <w:tc>
          <w:tcPr>
            <w:tcW w:w="1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20" w:type="dxa"/>
            <w:vAlign w:val="bottom"/>
            <w:gridSpan w:val="2"/>
            <w:vMerge w:val="restart"/>
          </w:tcPr>
          <w:p>
            <w:pPr>
              <w:jc w:val="right"/>
              <w:ind w:right="360"/>
              <w:spacing w:after="0"/>
              <w:rPr>
                <w:sz w:val="20"/>
                <w:szCs w:val="20"/>
                <w:color w:val="auto"/>
              </w:rPr>
            </w:pPr>
            <w:r>
              <w:rPr>
                <w:rFonts w:ascii="Arial" w:cs="Arial" w:eastAsia="Arial" w:hAnsi="Arial"/>
                <w:sz w:val="14"/>
                <w:szCs w:val="14"/>
                <w:b w:val="1"/>
                <w:bCs w:val="1"/>
                <w:color w:val="auto"/>
              </w:rPr>
              <w:t>PAA</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660" w:type="dxa"/>
            <w:vAlign w:val="bottom"/>
            <w:gridSpan w:val="2"/>
          </w:tcPr>
          <w:p>
            <w:pPr>
              <w:jc w:val="center"/>
              <w:ind w:right="360"/>
              <w:spacing w:after="0" w:line="119" w:lineRule="exact"/>
              <w:rPr>
                <w:sz w:val="20"/>
                <w:szCs w:val="20"/>
                <w:color w:val="auto"/>
              </w:rPr>
            </w:pPr>
            <w:r>
              <w:rPr>
                <w:rFonts w:ascii="Arial" w:cs="Arial" w:eastAsia="Arial" w:hAnsi="Arial"/>
                <w:sz w:val="13"/>
                <w:szCs w:val="13"/>
                <w:b w:val="1"/>
                <w:bCs w:val="1"/>
                <w:color w:val="auto"/>
                <w:w w:val="99"/>
              </w:rPr>
              <w:t>Consolidating</w:t>
            </w:r>
          </w:p>
        </w:tc>
        <w:tc>
          <w:tcPr>
            <w:tcW w:w="160" w:type="dxa"/>
            <w:vAlign w:val="bottom"/>
          </w:tcPr>
          <w:p>
            <w:pPr>
              <w:spacing w:after="0"/>
              <w:rPr>
                <w:sz w:val="10"/>
                <w:szCs w:val="10"/>
                <w:color w:val="auto"/>
              </w:rPr>
            </w:pPr>
          </w:p>
        </w:tc>
        <w:tc>
          <w:tcPr>
            <w:tcW w:w="840" w:type="dxa"/>
            <w:vAlign w:val="bottom"/>
            <w:gridSpan w:val="2"/>
            <w:vMerge w:val="restart"/>
          </w:tcPr>
          <w:p>
            <w:pPr>
              <w:jc w:val="right"/>
              <w:ind w:right="360"/>
              <w:spacing w:after="0"/>
              <w:rPr>
                <w:sz w:val="20"/>
                <w:szCs w:val="20"/>
                <w:color w:val="auto"/>
              </w:rPr>
            </w:pPr>
            <w:r>
              <w:rPr>
                <w:rFonts w:ascii="Arial" w:cs="Arial" w:eastAsia="Arial" w:hAnsi="Arial"/>
                <w:sz w:val="14"/>
                <w:szCs w:val="14"/>
                <w:b w:val="1"/>
                <w:bCs w:val="1"/>
                <w:color w:val="auto"/>
              </w:rPr>
              <w:t>PAGP</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6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26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95"/>
              </w:rPr>
              <w:t xml:space="preserve">Adjustments </w:t>
            </w:r>
            <w:r>
              <w:rPr>
                <w:rFonts w:ascii="Arial" w:cs="Arial" w:eastAsia="Arial" w:hAnsi="Arial"/>
                <w:sz w:val="8"/>
                <w:szCs w:val="8"/>
                <w:b w:val="1"/>
                <w:bCs w:val="1"/>
                <w:color w:val="auto"/>
                <w:w w:val="95"/>
              </w:rPr>
              <w:t>(1)</w:t>
            </w: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tcBorders>
              <w:right w:val="single" w:sz="8" w:color="auto"/>
            </w:tcBorders>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3"/>
              </w:rPr>
              <w:t xml:space="preserve">Adjustments </w:t>
            </w:r>
            <w:r>
              <w:rPr>
                <w:rFonts w:ascii="Arial" w:cs="Arial" w:eastAsia="Arial" w:hAnsi="Arial"/>
                <w:sz w:val="8"/>
                <w:szCs w:val="8"/>
                <w:b w:val="1"/>
                <w:bCs w:val="1"/>
                <w:color w:val="auto"/>
                <w:w w:val="93"/>
              </w:rPr>
              <w:t>(1)</w:t>
            </w:r>
          </w:p>
        </w:tc>
        <w:tc>
          <w:tcPr>
            <w:tcW w:w="16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364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06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180" w:type="dxa"/>
            <w:vAlign w:val="bottom"/>
            <w:tcBorders>
              <w:right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44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64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REVENUES</w:t>
            </w:r>
          </w:p>
        </w:tc>
        <w:tc>
          <w:tcPr>
            <w:tcW w:w="240" w:type="dxa"/>
            <w:vAlign w:val="bottom"/>
            <w:shd w:val="clear" w:color="auto" w:fill="CCEEFF"/>
          </w:tcPr>
          <w:p>
            <w:pPr>
              <w:jc w:val="right"/>
              <w:ind w:right="88"/>
              <w:spacing w:after="0" w:line="149" w:lineRule="exact"/>
              <w:rPr>
                <w:sz w:val="20"/>
                <w:szCs w:val="20"/>
                <w:color w:val="auto"/>
              </w:rPr>
            </w:pPr>
            <w:r>
              <w:rPr>
                <w:rFonts w:ascii="Arial" w:cs="Arial" w:eastAsia="Arial" w:hAnsi="Arial"/>
                <w:sz w:val="14"/>
                <w:szCs w:val="14"/>
                <w:color w:val="auto"/>
                <w:w w:val="76"/>
              </w:rPr>
              <w:t>$</w:t>
            </w:r>
          </w:p>
        </w:tc>
        <w:tc>
          <w:tcPr>
            <w:tcW w:w="9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11,195</w:t>
            </w: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12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200" w:type="dxa"/>
            <w:vAlign w:val="bottom"/>
            <w:gridSpan w:val="2"/>
            <w:shd w:val="clear" w:color="auto" w:fill="CCEEFF"/>
          </w:tcPr>
          <w:p>
            <w:pPr>
              <w:jc w:val="right"/>
              <w:ind w:right="49"/>
              <w:spacing w:after="0" w:line="149" w:lineRule="exact"/>
              <w:rPr>
                <w:sz w:val="20"/>
                <w:szCs w:val="20"/>
                <w:color w:val="auto"/>
              </w:rPr>
            </w:pPr>
            <w:r>
              <w:rPr>
                <w:rFonts w:ascii="Arial" w:cs="Arial" w:eastAsia="Arial" w:hAnsi="Arial"/>
                <w:sz w:val="14"/>
                <w:szCs w:val="14"/>
                <w:color w:val="auto"/>
              </w:rPr>
              <w:t>$</w:t>
            </w:r>
          </w:p>
        </w:tc>
        <w:tc>
          <w:tcPr>
            <w:tcW w:w="940" w:type="dxa"/>
            <w:vAlign w:val="bottom"/>
            <w:tcBorders>
              <w:right w:val="single" w:sz="8" w:color="auto"/>
            </w:tcBorders>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11,195</w:t>
            </w:r>
          </w:p>
        </w:tc>
        <w:tc>
          <w:tcPr>
            <w:tcW w:w="160" w:type="dxa"/>
            <w:vAlign w:val="bottom"/>
            <w:shd w:val="clear" w:color="auto" w:fill="CCEEFF"/>
          </w:tcPr>
          <w:p>
            <w:pPr>
              <w:spacing w:after="0"/>
              <w:rPr>
                <w:sz w:val="12"/>
                <w:szCs w:val="12"/>
                <w:color w:val="auto"/>
              </w:rPr>
            </w:pPr>
          </w:p>
        </w:tc>
        <w:tc>
          <w:tcPr>
            <w:tcW w:w="240" w:type="dxa"/>
            <w:vAlign w:val="bottom"/>
            <w:shd w:val="clear" w:color="auto" w:fill="CCEEFF"/>
          </w:tcPr>
          <w:p>
            <w:pPr>
              <w:jc w:val="right"/>
              <w:ind w:right="88"/>
              <w:spacing w:after="0" w:line="149" w:lineRule="exact"/>
              <w:rPr>
                <w:sz w:val="20"/>
                <w:szCs w:val="20"/>
                <w:color w:val="auto"/>
              </w:rPr>
            </w:pPr>
            <w:r>
              <w:rPr>
                <w:rFonts w:ascii="Arial" w:cs="Arial" w:eastAsia="Arial" w:hAnsi="Arial"/>
                <w:sz w:val="14"/>
                <w:szCs w:val="14"/>
                <w:color w:val="auto"/>
                <w:w w:val="76"/>
              </w:rPr>
              <w:t>$</w:t>
            </w:r>
          </w:p>
        </w:tc>
        <w:tc>
          <w:tcPr>
            <w:tcW w:w="8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22,878</w:t>
            </w:r>
          </w:p>
        </w:tc>
        <w:tc>
          <w:tcPr>
            <w:tcW w:w="240" w:type="dxa"/>
            <w:vAlign w:val="bottom"/>
            <w:gridSpan w:val="2"/>
            <w:shd w:val="clear" w:color="auto" w:fill="CCEEFF"/>
          </w:tcPr>
          <w:p>
            <w:pPr>
              <w:jc w:val="right"/>
              <w:ind w:right="29"/>
              <w:spacing w:after="0" w:line="149" w:lineRule="exact"/>
              <w:rPr>
                <w:sz w:val="20"/>
                <w:szCs w:val="20"/>
                <w:color w:val="auto"/>
              </w:rPr>
            </w:pPr>
            <w:r>
              <w:rPr>
                <w:rFonts w:ascii="Arial" w:cs="Arial" w:eastAsia="Arial" w:hAnsi="Arial"/>
                <w:sz w:val="14"/>
                <w:szCs w:val="14"/>
                <w:color w:val="auto"/>
              </w:rPr>
              <w:t>$</w:t>
            </w:r>
          </w:p>
        </w:tc>
        <w:tc>
          <w:tcPr>
            <w:tcW w:w="16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w w:val="76"/>
              </w:rPr>
              <w:t>$</w:t>
            </w:r>
          </w:p>
        </w:tc>
        <w:tc>
          <w:tcPr>
            <w:tcW w:w="8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22,878</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3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80" w:type="dxa"/>
            <w:vAlign w:val="bottom"/>
            <w:tcBorders>
              <w:right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64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COSTS AND EXPENSES</w:t>
            </w:r>
          </w:p>
        </w:tc>
        <w:tc>
          <w:tcPr>
            <w:tcW w:w="2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80" w:type="dxa"/>
            <w:vAlign w:val="bottom"/>
            <w:tcBorders>
              <w:right w:val="single" w:sz="8" w:color="auto"/>
            </w:tcBorders>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40" w:type="dxa"/>
            <w:vAlign w:val="bottom"/>
          </w:tcPr>
          <w:p>
            <w:pPr>
              <w:spacing w:after="0" w:line="149" w:lineRule="exact"/>
              <w:rPr>
                <w:sz w:val="20"/>
                <w:szCs w:val="20"/>
                <w:color w:val="auto"/>
              </w:rPr>
            </w:pPr>
            <w:r>
              <w:rPr>
                <w:rFonts w:ascii="Arial" w:cs="Arial" w:eastAsia="Arial" w:hAnsi="Arial"/>
                <w:sz w:val="14"/>
                <w:szCs w:val="14"/>
                <w:color w:val="auto"/>
              </w:rPr>
              <w:t>Purchases and related costs</w:t>
            </w:r>
          </w:p>
        </w:tc>
        <w:tc>
          <w:tcPr>
            <w:tcW w:w="240" w:type="dxa"/>
            <w:vAlign w:val="bottom"/>
          </w:tcPr>
          <w:p>
            <w:pPr>
              <w:spacing w:after="0"/>
              <w:rPr>
                <w:sz w:val="12"/>
                <w:szCs w:val="12"/>
                <w:color w:val="auto"/>
              </w:rPr>
            </w:pPr>
          </w:p>
        </w:tc>
        <w:tc>
          <w:tcPr>
            <w:tcW w:w="9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10,280</w:t>
            </w:r>
          </w:p>
        </w:tc>
        <w:tc>
          <w:tcPr>
            <w:tcW w:w="80" w:type="dxa"/>
            <w:vAlign w:val="bottom"/>
          </w:tcPr>
          <w:p>
            <w:pPr>
              <w:spacing w:after="0"/>
              <w:rPr>
                <w:sz w:val="12"/>
                <w:szCs w:val="12"/>
                <w:color w:val="auto"/>
              </w:rPr>
            </w:pPr>
          </w:p>
        </w:tc>
        <w:tc>
          <w:tcPr>
            <w:tcW w:w="12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tcBorders>
              <w:right w:val="single" w:sz="8" w:color="auto"/>
            </w:tcBorders>
            <w:gridSpan w:val="2"/>
          </w:tcPr>
          <w:p>
            <w:pPr>
              <w:jc w:val="right"/>
              <w:ind w:right="180"/>
              <w:spacing w:after="0" w:line="149" w:lineRule="exact"/>
              <w:rPr>
                <w:sz w:val="20"/>
                <w:szCs w:val="20"/>
                <w:color w:val="auto"/>
              </w:rPr>
            </w:pPr>
            <w:r>
              <w:rPr>
                <w:rFonts w:ascii="Arial" w:cs="Arial" w:eastAsia="Arial" w:hAnsi="Arial"/>
                <w:sz w:val="14"/>
                <w:szCs w:val="14"/>
                <w:color w:val="auto"/>
              </w:rPr>
              <w:t>10,280</w:t>
            </w: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20,950</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8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20,950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Field operating costs</w:t>
            </w:r>
          </w:p>
        </w:tc>
        <w:tc>
          <w:tcPr>
            <w:tcW w:w="24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360</w:t>
            </w:r>
          </w:p>
        </w:tc>
        <w:tc>
          <w:tcPr>
            <w:tcW w:w="8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40" w:type="dxa"/>
            <w:vAlign w:val="bottom"/>
            <w:tcBorders>
              <w:right w:val="single" w:sz="8" w:color="auto"/>
            </w:tcBorders>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360</w:t>
            </w:r>
          </w:p>
        </w:tc>
        <w:tc>
          <w:tcPr>
            <w:tcW w:w="1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696</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696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40" w:type="dxa"/>
            <w:vAlign w:val="bottom"/>
          </w:tcPr>
          <w:p>
            <w:pPr>
              <w:spacing w:after="0" w:line="149" w:lineRule="exact"/>
              <w:rPr>
                <w:sz w:val="20"/>
                <w:szCs w:val="20"/>
                <w:color w:val="auto"/>
              </w:rPr>
            </w:pPr>
            <w:r>
              <w:rPr>
                <w:rFonts w:ascii="Arial" w:cs="Arial" w:eastAsia="Arial" w:hAnsi="Arial"/>
                <w:sz w:val="14"/>
                <w:szCs w:val="14"/>
                <w:color w:val="auto"/>
              </w:rPr>
              <w:t>General and administrative expenses</w:t>
            </w:r>
          </w:p>
        </w:tc>
        <w:tc>
          <w:tcPr>
            <w:tcW w:w="240" w:type="dxa"/>
            <w:vAlign w:val="bottom"/>
          </w:tcPr>
          <w:p>
            <w:pPr>
              <w:spacing w:after="0"/>
              <w:rPr>
                <w:sz w:val="12"/>
                <w:szCs w:val="12"/>
                <w:color w:val="auto"/>
              </w:rPr>
            </w:pPr>
          </w:p>
        </w:tc>
        <w:tc>
          <w:tcPr>
            <w:tcW w:w="9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90</w:t>
            </w:r>
          </w:p>
        </w:tc>
        <w:tc>
          <w:tcPr>
            <w:tcW w:w="80" w:type="dxa"/>
            <w:vAlign w:val="bottom"/>
          </w:tcPr>
          <w:p>
            <w:pPr>
              <w:spacing w:after="0"/>
              <w:rPr>
                <w:sz w:val="12"/>
                <w:szCs w:val="12"/>
                <w:color w:val="auto"/>
              </w:rPr>
            </w:pPr>
          </w:p>
        </w:tc>
        <w:tc>
          <w:tcPr>
            <w:tcW w:w="1060" w:type="dxa"/>
            <w:vAlign w:val="bottom"/>
          </w:tcPr>
          <w:p>
            <w:pPr>
              <w:jc w:val="right"/>
              <w:spacing w:after="0" w:line="149" w:lineRule="exact"/>
              <w:rPr>
                <w:sz w:val="20"/>
                <w:szCs w:val="20"/>
                <w:color w:val="auto"/>
              </w:rPr>
            </w:pPr>
            <w:r>
              <w:rPr>
                <w:rFonts w:ascii="Arial" w:cs="Arial" w:eastAsia="Arial" w:hAnsi="Arial"/>
                <w:sz w:val="14"/>
                <w:szCs w:val="14"/>
                <w:color w:val="auto"/>
              </w:rPr>
              <w:t>1</w:t>
            </w: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tcBorders>
              <w:right w:val="single" w:sz="8" w:color="auto"/>
            </w:tcBorders>
            <w:gridSpan w:val="2"/>
          </w:tcPr>
          <w:p>
            <w:pPr>
              <w:jc w:val="right"/>
              <w:ind w:right="180"/>
              <w:spacing w:after="0" w:line="149" w:lineRule="exact"/>
              <w:rPr>
                <w:sz w:val="20"/>
                <w:szCs w:val="20"/>
                <w:color w:val="auto"/>
              </w:rPr>
            </w:pPr>
            <w:r>
              <w:rPr>
                <w:rFonts w:ascii="Arial" w:cs="Arial" w:eastAsia="Arial" w:hAnsi="Arial"/>
                <w:sz w:val="14"/>
                <w:szCs w:val="14"/>
                <w:color w:val="auto"/>
              </w:rPr>
              <w:t>91</w:t>
            </w: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179</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2</w:t>
            </w:r>
          </w:p>
        </w:tc>
        <w:tc>
          <w:tcPr>
            <w:tcW w:w="160" w:type="dxa"/>
            <w:vAlign w:val="bottom"/>
          </w:tcPr>
          <w:p>
            <w:pPr>
              <w:spacing w:after="0"/>
              <w:rPr>
                <w:sz w:val="12"/>
                <w:szCs w:val="12"/>
                <w:color w:val="auto"/>
              </w:rPr>
            </w:pPr>
          </w:p>
        </w:tc>
        <w:tc>
          <w:tcPr>
            <w:tcW w:w="8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181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Depreciation and amortization</w:t>
            </w:r>
          </w:p>
        </w:tc>
        <w:tc>
          <w:tcPr>
            <w:tcW w:w="24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100</w:t>
            </w:r>
          </w:p>
        </w:tc>
        <w:tc>
          <w:tcPr>
            <w:tcW w:w="8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40" w:type="dxa"/>
            <w:vAlign w:val="bottom"/>
            <w:tcBorders>
              <w:right w:val="single" w:sz="8" w:color="auto"/>
            </w:tcBorders>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100</w:t>
            </w:r>
          </w:p>
        </w:tc>
        <w:tc>
          <w:tcPr>
            <w:tcW w:w="1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196</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w:t>
            </w:r>
          </w:p>
        </w:tc>
        <w:tc>
          <w:tcPr>
            <w:tcW w:w="16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197</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640" w:type="dxa"/>
            <w:vAlign w:val="bottom"/>
            <w:tcBorders>
              <w:bottom w:val="single" w:sz="8" w:color="CCEEFF"/>
            </w:tcBorders>
          </w:tcPr>
          <w:p>
            <w:pPr>
              <w:ind w:left="160"/>
              <w:spacing w:after="0" w:line="142" w:lineRule="exact"/>
              <w:rPr>
                <w:sz w:val="20"/>
                <w:szCs w:val="20"/>
                <w:color w:val="auto"/>
              </w:rPr>
            </w:pPr>
            <w:r>
              <w:rPr>
                <w:rFonts w:ascii="Arial" w:cs="Arial" w:eastAsia="Arial" w:hAnsi="Arial"/>
                <w:sz w:val="14"/>
                <w:szCs w:val="14"/>
                <w:color w:val="auto"/>
              </w:rPr>
              <w:t>Total costs and expenses</w:t>
            </w:r>
          </w:p>
        </w:tc>
        <w:tc>
          <w:tcPr>
            <w:tcW w:w="24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10,830</w:t>
            </w:r>
          </w:p>
        </w:tc>
        <w:tc>
          <w:tcPr>
            <w:tcW w:w="24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10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w:t>
            </w:r>
          </w:p>
        </w:tc>
        <w:tc>
          <w:tcPr>
            <w:tcW w:w="200" w:type="dxa"/>
            <w:vAlign w:val="bottom"/>
            <w:tcBorders>
              <w:bottom w:val="single" w:sz="8" w:color="CCEEFF"/>
            </w:tcBorders>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10,831</w:t>
            </w:r>
          </w:p>
        </w:tc>
        <w:tc>
          <w:tcPr>
            <w:tcW w:w="180" w:type="dxa"/>
            <w:vAlign w:val="bottom"/>
            <w:tcBorders>
              <w:bottom w:val="single" w:sz="8" w:color="CCEEFF"/>
              <w:right w:val="single" w:sz="8" w:color="auto"/>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22,021</w:t>
            </w:r>
          </w:p>
        </w:tc>
        <w:tc>
          <w:tcPr>
            <w:tcW w:w="14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14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3</w:t>
            </w:r>
          </w:p>
        </w:tc>
        <w:tc>
          <w:tcPr>
            <w:tcW w:w="220" w:type="dxa"/>
            <w:vAlign w:val="bottom"/>
            <w:tcBorders>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22,024</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36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80" w:type="dxa"/>
            <w:vAlign w:val="bottom"/>
            <w:tcBorders>
              <w:right w:val="single" w:sz="8" w:color="auto"/>
            </w:tcBorders>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640" w:type="dxa"/>
            <w:vAlign w:val="bottom"/>
          </w:tcPr>
          <w:p>
            <w:pPr>
              <w:spacing w:after="0" w:line="149" w:lineRule="exact"/>
              <w:rPr>
                <w:sz w:val="20"/>
                <w:szCs w:val="20"/>
                <w:color w:val="auto"/>
              </w:rPr>
            </w:pPr>
            <w:r>
              <w:rPr>
                <w:rFonts w:ascii="Arial" w:cs="Arial" w:eastAsia="Arial" w:hAnsi="Arial"/>
                <w:sz w:val="14"/>
                <w:szCs w:val="14"/>
                <w:b w:val="1"/>
                <w:bCs w:val="1"/>
                <w:color w:val="auto"/>
              </w:rPr>
              <w:t>OPERATING INCOME</w:t>
            </w:r>
          </w:p>
        </w:tc>
        <w:tc>
          <w:tcPr>
            <w:tcW w:w="240" w:type="dxa"/>
            <w:vAlign w:val="bottom"/>
          </w:tcPr>
          <w:p>
            <w:pPr>
              <w:spacing w:after="0"/>
              <w:rPr>
                <w:sz w:val="12"/>
                <w:szCs w:val="12"/>
                <w:color w:val="auto"/>
              </w:rPr>
            </w:pPr>
          </w:p>
        </w:tc>
        <w:tc>
          <w:tcPr>
            <w:tcW w:w="9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365</w:t>
            </w:r>
          </w:p>
        </w:tc>
        <w:tc>
          <w:tcPr>
            <w:tcW w:w="80" w:type="dxa"/>
            <w:vAlign w:val="bottom"/>
          </w:tcPr>
          <w:p>
            <w:pPr>
              <w:spacing w:after="0"/>
              <w:rPr>
                <w:sz w:val="12"/>
                <w:szCs w:val="12"/>
                <w:color w:val="auto"/>
              </w:rPr>
            </w:pPr>
          </w:p>
        </w:tc>
        <w:tc>
          <w:tcPr>
            <w:tcW w:w="12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w:t>
            </w: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tcBorders>
              <w:right w:val="single" w:sz="8" w:color="auto"/>
            </w:tcBorders>
            <w:gridSpan w:val="2"/>
          </w:tcPr>
          <w:p>
            <w:pPr>
              <w:jc w:val="right"/>
              <w:ind w:right="180"/>
              <w:spacing w:after="0" w:line="149" w:lineRule="exact"/>
              <w:rPr>
                <w:sz w:val="20"/>
                <w:szCs w:val="20"/>
                <w:color w:val="auto"/>
              </w:rPr>
            </w:pPr>
            <w:r>
              <w:rPr>
                <w:rFonts w:ascii="Arial" w:cs="Arial" w:eastAsia="Arial" w:hAnsi="Arial"/>
                <w:sz w:val="14"/>
                <w:szCs w:val="14"/>
                <w:color w:val="auto"/>
              </w:rPr>
              <w:t>364</w:t>
            </w: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857</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(3)</w:t>
            </w:r>
          </w:p>
        </w:tc>
        <w:tc>
          <w:tcPr>
            <w:tcW w:w="160" w:type="dxa"/>
            <w:vAlign w:val="bottom"/>
          </w:tcPr>
          <w:p>
            <w:pPr>
              <w:spacing w:after="0"/>
              <w:rPr>
                <w:sz w:val="12"/>
                <w:szCs w:val="12"/>
                <w:color w:val="auto"/>
              </w:rPr>
            </w:pPr>
          </w:p>
        </w:tc>
        <w:tc>
          <w:tcPr>
            <w:tcW w:w="8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854</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36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80" w:type="dxa"/>
            <w:vAlign w:val="bottom"/>
            <w:tcBorders>
              <w:right w:val="single" w:sz="8" w:color="auto"/>
            </w:tcBorders>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640" w:type="dxa"/>
            <w:vAlign w:val="bottom"/>
          </w:tcPr>
          <w:p>
            <w:pPr>
              <w:spacing w:after="0" w:line="149" w:lineRule="exact"/>
              <w:rPr>
                <w:sz w:val="20"/>
                <w:szCs w:val="20"/>
                <w:color w:val="auto"/>
              </w:rPr>
            </w:pPr>
            <w:r>
              <w:rPr>
                <w:rFonts w:ascii="Arial" w:cs="Arial" w:eastAsia="Arial" w:hAnsi="Arial"/>
                <w:sz w:val="14"/>
                <w:szCs w:val="14"/>
                <w:b w:val="1"/>
                <w:bCs w:val="1"/>
                <w:color w:val="auto"/>
              </w:rPr>
              <w:t>OTHER INCOME/(EXPENSE)</w:t>
            </w:r>
          </w:p>
        </w:tc>
        <w:tc>
          <w:tcPr>
            <w:tcW w:w="2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80" w:type="dxa"/>
            <w:vAlign w:val="bottom"/>
            <w:tcBorders>
              <w:right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Equity earnings in unconsolidated entities</w:t>
            </w:r>
          </w:p>
        </w:tc>
        <w:tc>
          <w:tcPr>
            <w:tcW w:w="24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23</w:t>
            </w:r>
          </w:p>
        </w:tc>
        <w:tc>
          <w:tcPr>
            <w:tcW w:w="8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40" w:type="dxa"/>
            <w:vAlign w:val="bottom"/>
            <w:tcBorders>
              <w:right w:val="single" w:sz="8" w:color="auto"/>
            </w:tcBorders>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23</w:t>
            </w:r>
          </w:p>
        </w:tc>
        <w:tc>
          <w:tcPr>
            <w:tcW w:w="1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44</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44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40" w:type="dxa"/>
            <w:vAlign w:val="bottom"/>
          </w:tcPr>
          <w:p>
            <w:pPr>
              <w:spacing w:after="0" w:line="149" w:lineRule="exact"/>
              <w:rPr>
                <w:sz w:val="20"/>
                <w:szCs w:val="20"/>
                <w:color w:val="auto"/>
              </w:rPr>
            </w:pPr>
            <w:r>
              <w:rPr>
                <w:rFonts w:ascii="Arial" w:cs="Arial" w:eastAsia="Arial" w:hAnsi="Arial"/>
                <w:sz w:val="14"/>
                <w:szCs w:val="14"/>
                <w:color w:val="auto"/>
              </w:rPr>
              <w:t>Interest expense, net</w:t>
            </w:r>
          </w:p>
        </w:tc>
        <w:tc>
          <w:tcPr>
            <w:tcW w:w="240" w:type="dxa"/>
            <w:vAlign w:val="bottom"/>
          </w:tcPr>
          <w:p>
            <w:pPr>
              <w:spacing w:after="0"/>
              <w:rPr>
                <w:sz w:val="12"/>
                <w:szCs w:val="12"/>
                <w:color w:val="auto"/>
              </w:rPr>
            </w:pPr>
          </w:p>
        </w:tc>
        <w:tc>
          <w:tcPr>
            <w:tcW w:w="9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(82)</w:t>
            </w:r>
          </w:p>
        </w:tc>
        <w:tc>
          <w:tcPr>
            <w:tcW w:w="80" w:type="dxa"/>
            <w:vAlign w:val="bottom"/>
          </w:tcPr>
          <w:p>
            <w:pPr>
              <w:spacing w:after="0"/>
              <w:rPr>
                <w:sz w:val="12"/>
                <w:szCs w:val="12"/>
                <w:color w:val="auto"/>
              </w:rPr>
            </w:pPr>
          </w:p>
        </w:tc>
        <w:tc>
          <w:tcPr>
            <w:tcW w:w="12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(3)</w:t>
            </w: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tcBorders>
              <w:right w:val="single" w:sz="8" w:color="auto"/>
            </w:tcBorders>
            <w:gridSpan w:val="2"/>
          </w:tcPr>
          <w:p>
            <w:pPr>
              <w:jc w:val="right"/>
              <w:ind w:right="140"/>
              <w:spacing w:after="0" w:line="149" w:lineRule="exact"/>
              <w:rPr>
                <w:sz w:val="20"/>
                <w:szCs w:val="20"/>
                <w:color w:val="auto"/>
              </w:rPr>
            </w:pPr>
            <w:r>
              <w:rPr>
                <w:rFonts w:ascii="Arial" w:cs="Arial" w:eastAsia="Arial" w:hAnsi="Arial"/>
                <w:sz w:val="14"/>
                <w:szCs w:val="14"/>
                <w:color w:val="auto"/>
              </w:rPr>
              <w:t>(85)</w:t>
            </w: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(161)</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(5)</w:t>
            </w:r>
          </w:p>
        </w:tc>
        <w:tc>
          <w:tcPr>
            <w:tcW w:w="160" w:type="dxa"/>
            <w:vAlign w:val="bottom"/>
          </w:tcPr>
          <w:p>
            <w:pPr>
              <w:spacing w:after="0"/>
              <w:rPr>
                <w:sz w:val="12"/>
                <w:szCs w:val="12"/>
                <w:color w:val="auto"/>
              </w:rPr>
            </w:pPr>
          </w:p>
        </w:tc>
        <w:tc>
          <w:tcPr>
            <w:tcW w:w="8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(166)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Other income/(expense), net</w:t>
            </w:r>
          </w:p>
        </w:tc>
        <w:tc>
          <w:tcPr>
            <w:tcW w:w="24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4</w:t>
            </w:r>
          </w:p>
        </w:tc>
        <w:tc>
          <w:tcPr>
            <w:tcW w:w="8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40" w:type="dxa"/>
            <w:vAlign w:val="bottom"/>
            <w:tcBorders>
              <w:right w:val="single" w:sz="8" w:color="auto"/>
            </w:tcBorders>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4</w:t>
            </w:r>
          </w:p>
        </w:tc>
        <w:tc>
          <w:tcPr>
            <w:tcW w:w="1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2</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364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06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180" w:type="dxa"/>
            <w:vAlign w:val="bottom"/>
            <w:tcBorders>
              <w:right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44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64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INCOME BEFORE TAX</w:t>
            </w:r>
          </w:p>
        </w:tc>
        <w:tc>
          <w:tcPr>
            <w:tcW w:w="24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310</w:t>
            </w:r>
          </w:p>
        </w:tc>
        <w:tc>
          <w:tcPr>
            <w:tcW w:w="8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(4)</w:t>
            </w: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40" w:type="dxa"/>
            <w:vAlign w:val="bottom"/>
            <w:tcBorders>
              <w:right w:val="single" w:sz="8" w:color="auto"/>
            </w:tcBorders>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306</w:t>
            </w:r>
          </w:p>
        </w:tc>
        <w:tc>
          <w:tcPr>
            <w:tcW w:w="1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742</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(8)</w:t>
            </w:r>
          </w:p>
        </w:tc>
        <w:tc>
          <w:tcPr>
            <w:tcW w:w="16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734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40" w:type="dxa"/>
            <w:vAlign w:val="bottom"/>
          </w:tcPr>
          <w:p>
            <w:pPr>
              <w:spacing w:after="0" w:line="149" w:lineRule="exact"/>
              <w:rPr>
                <w:sz w:val="20"/>
                <w:szCs w:val="20"/>
                <w:color w:val="auto"/>
              </w:rPr>
            </w:pPr>
            <w:r>
              <w:rPr>
                <w:rFonts w:ascii="Arial" w:cs="Arial" w:eastAsia="Arial" w:hAnsi="Arial"/>
                <w:sz w:val="14"/>
                <w:szCs w:val="14"/>
                <w:color w:val="auto"/>
              </w:rPr>
              <w:t>Current income tax expense</w:t>
            </w:r>
          </w:p>
        </w:tc>
        <w:tc>
          <w:tcPr>
            <w:tcW w:w="240" w:type="dxa"/>
            <w:vAlign w:val="bottom"/>
          </w:tcPr>
          <w:p>
            <w:pPr>
              <w:spacing w:after="0"/>
              <w:rPr>
                <w:sz w:val="12"/>
                <w:szCs w:val="12"/>
                <w:color w:val="auto"/>
              </w:rPr>
            </w:pPr>
          </w:p>
        </w:tc>
        <w:tc>
          <w:tcPr>
            <w:tcW w:w="9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(16)</w:t>
            </w:r>
          </w:p>
        </w:tc>
        <w:tc>
          <w:tcPr>
            <w:tcW w:w="80" w:type="dxa"/>
            <w:vAlign w:val="bottom"/>
          </w:tcPr>
          <w:p>
            <w:pPr>
              <w:spacing w:after="0"/>
              <w:rPr>
                <w:sz w:val="12"/>
                <w:szCs w:val="12"/>
                <w:color w:val="auto"/>
              </w:rPr>
            </w:pPr>
          </w:p>
        </w:tc>
        <w:tc>
          <w:tcPr>
            <w:tcW w:w="12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tcBorders>
              <w:right w:val="single" w:sz="8" w:color="auto"/>
            </w:tcBorders>
            <w:gridSpan w:val="2"/>
          </w:tcPr>
          <w:p>
            <w:pPr>
              <w:jc w:val="right"/>
              <w:ind w:right="140"/>
              <w:spacing w:after="0" w:line="149" w:lineRule="exact"/>
              <w:rPr>
                <w:sz w:val="20"/>
                <w:szCs w:val="20"/>
                <w:color w:val="auto"/>
              </w:rPr>
            </w:pPr>
            <w:r>
              <w:rPr>
                <w:rFonts w:ascii="Arial" w:cs="Arial" w:eastAsia="Arial" w:hAnsi="Arial"/>
                <w:sz w:val="14"/>
                <w:szCs w:val="14"/>
                <w:color w:val="auto"/>
              </w:rPr>
              <w:t>(16)</w:t>
            </w: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(52)</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8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(52)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Deferred income tax expense</w:t>
            </w:r>
          </w:p>
        </w:tc>
        <w:tc>
          <w:tcPr>
            <w:tcW w:w="24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(6)</w:t>
            </w:r>
          </w:p>
        </w:tc>
        <w:tc>
          <w:tcPr>
            <w:tcW w:w="8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(9)</w:t>
            </w: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40" w:type="dxa"/>
            <w:vAlign w:val="bottom"/>
            <w:tcBorders>
              <w:right w:val="single" w:sz="8" w:color="auto"/>
            </w:tcBorders>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(15)</w:t>
            </w:r>
          </w:p>
        </w:tc>
        <w:tc>
          <w:tcPr>
            <w:tcW w:w="1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(18)</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(17)</w:t>
            </w:r>
          </w:p>
        </w:tc>
        <w:tc>
          <w:tcPr>
            <w:tcW w:w="16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(35)</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364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06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180" w:type="dxa"/>
            <w:vAlign w:val="bottom"/>
            <w:tcBorders>
              <w:right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44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64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NET INCOME</w:t>
            </w:r>
          </w:p>
        </w:tc>
        <w:tc>
          <w:tcPr>
            <w:tcW w:w="24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288</w:t>
            </w:r>
          </w:p>
        </w:tc>
        <w:tc>
          <w:tcPr>
            <w:tcW w:w="8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(13)</w:t>
            </w: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40" w:type="dxa"/>
            <w:vAlign w:val="bottom"/>
            <w:tcBorders>
              <w:right w:val="single" w:sz="8" w:color="auto"/>
            </w:tcBorders>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275</w:t>
            </w:r>
          </w:p>
        </w:tc>
        <w:tc>
          <w:tcPr>
            <w:tcW w:w="1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672</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(25)</w:t>
            </w:r>
          </w:p>
        </w:tc>
        <w:tc>
          <w:tcPr>
            <w:tcW w:w="16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647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40" w:type="dxa"/>
            <w:vAlign w:val="bottom"/>
          </w:tcPr>
          <w:p>
            <w:pPr>
              <w:ind w:left="160"/>
              <w:spacing w:after="0" w:line="149" w:lineRule="exact"/>
              <w:rPr>
                <w:sz w:val="20"/>
                <w:szCs w:val="20"/>
                <w:color w:val="auto"/>
              </w:rPr>
            </w:pPr>
            <w:r>
              <w:rPr>
                <w:rFonts w:ascii="Arial" w:cs="Arial" w:eastAsia="Arial" w:hAnsi="Arial"/>
                <w:sz w:val="14"/>
                <w:szCs w:val="14"/>
                <w:color w:val="auto"/>
              </w:rPr>
              <w:t>Net income attributable to noncontrolling interests</w:t>
            </w:r>
          </w:p>
        </w:tc>
        <w:tc>
          <w:tcPr>
            <w:tcW w:w="240" w:type="dxa"/>
            <w:vAlign w:val="bottom"/>
          </w:tcPr>
          <w:p>
            <w:pPr>
              <w:spacing w:after="0"/>
              <w:rPr>
                <w:sz w:val="12"/>
                <w:szCs w:val="12"/>
                <w:color w:val="auto"/>
              </w:rPr>
            </w:pPr>
          </w:p>
        </w:tc>
        <w:tc>
          <w:tcPr>
            <w:tcW w:w="9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w:t>
            </w:r>
          </w:p>
        </w:tc>
        <w:tc>
          <w:tcPr>
            <w:tcW w:w="80" w:type="dxa"/>
            <w:vAlign w:val="bottom"/>
          </w:tcPr>
          <w:p>
            <w:pPr>
              <w:spacing w:after="0"/>
              <w:rPr>
                <w:sz w:val="12"/>
                <w:szCs w:val="12"/>
                <w:color w:val="auto"/>
              </w:rPr>
            </w:pPr>
          </w:p>
        </w:tc>
        <w:tc>
          <w:tcPr>
            <w:tcW w:w="12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(259)</w:t>
            </w: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tcBorders>
              <w:right w:val="single" w:sz="8" w:color="auto"/>
            </w:tcBorders>
            <w:gridSpan w:val="2"/>
          </w:tcPr>
          <w:p>
            <w:pPr>
              <w:jc w:val="right"/>
              <w:ind w:right="140"/>
              <w:spacing w:after="0" w:line="149" w:lineRule="exact"/>
              <w:rPr>
                <w:sz w:val="20"/>
                <w:szCs w:val="20"/>
                <w:color w:val="auto"/>
              </w:rPr>
            </w:pPr>
            <w:r>
              <w:rPr>
                <w:rFonts w:ascii="Arial" w:cs="Arial" w:eastAsia="Arial" w:hAnsi="Arial"/>
                <w:sz w:val="14"/>
                <w:szCs w:val="14"/>
                <w:color w:val="auto"/>
              </w:rPr>
              <w:t>(260)</w:t>
            </w: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(617)</w:t>
            </w:r>
          </w:p>
        </w:tc>
        <w:tc>
          <w:tcPr>
            <w:tcW w:w="160" w:type="dxa"/>
            <w:vAlign w:val="bottom"/>
          </w:tcPr>
          <w:p>
            <w:pPr>
              <w:spacing w:after="0"/>
              <w:rPr>
                <w:sz w:val="12"/>
                <w:szCs w:val="12"/>
                <w:color w:val="auto"/>
              </w:rPr>
            </w:pPr>
          </w:p>
        </w:tc>
        <w:tc>
          <w:tcPr>
            <w:tcW w:w="8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(618)</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640" w:type="dxa"/>
            <w:vAlign w:val="bottom"/>
            <w:tcBorders>
              <w:top w:val="single" w:sz="8" w:color="CCEEFF"/>
              <w:bottom w:val="single" w:sz="8" w:color="CCEEFF"/>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NET INCOME ATTRIBUTABLE TO PAGP</w:t>
            </w:r>
          </w:p>
        </w:tc>
        <w:tc>
          <w:tcPr>
            <w:tcW w:w="240" w:type="dxa"/>
            <w:vAlign w:val="bottom"/>
            <w:tcBorders>
              <w:top w:val="single" w:sz="8" w:color="auto"/>
              <w:bottom w:val="single" w:sz="8" w:color="auto"/>
            </w:tcBorders>
            <w:shd w:val="clear" w:color="auto" w:fill="CCEEFF"/>
          </w:tcPr>
          <w:p>
            <w:pPr>
              <w:jc w:val="right"/>
              <w:ind w:right="88"/>
              <w:spacing w:after="0" w:line="142" w:lineRule="exact"/>
              <w:rPr>
                <w:sz w:val="20"/>
                <w:szCs w:val="20"/>
                <w:color w:val="auto"/>
              </w:rPr>
            </w:pPr>
            <w:r>
              <w:rPr>
                <w:rFonts w:ascii="Arial" w:cs="Arial" w:eastAsia="Arial" w:hAnsi="Arial"/>
                <w:sz w:val="14"/>
                <w:szCs w:val="14"/>
                <w:color w:val="auto"/>
                <w:w w:val="76"/>
              </w:rPr>
              <w:t>$</w:t>
            </w:r>
          </w:p>
        </w:tc>
        <w:tc>
          <w:tcPr>
            <w:tcW w:w="6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287</w:t>
            </w:r>
          </w:p>
        </w:tc>
        <w:tc>
          <w:tcPr>
            <w:tcW w:w="24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w w:val="76"/>
              </w:rPr>
              <w:t>$</w:t>
            </w:r>
          </w:p>
        </w:tc>
        <w:tc>
          <w:tcPr>
            <w:tcW w:w="10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(272)</w:t>
            </w:r>
          </w:p>
        </w:tc>
        <w:tc>
          <w:tcPr>
            <w:tcW w:w="200" w:type="dxa"/>
            <w:vAlign w:val="bottom"/>
            <w:tcBorders>
              <w:top w:val="single" w:sz="8" w:color="CCEEFF"/>
              <w:bottom w:val="single" w:sz="8" w:color="CCEEFF"/>
            </w:tcBorders>
            <w:shd w:val="clear" w:color="auto" w:fill="CCEEFF"/>
          </w:tcPr>
          <w:p>
            <w:pPr>
              <w:spacing w:after="0"/>
              <w:rPr>
                <w:sz w:val="12"/>
                <w:szCs w:val="12"/>
                <w:color w:val="auto"/>
              </w:rPr>
            </w:pPr>
          </w:p>
        </w:tc>
        <w:tc>
          <w:tcPr>
            <w:tcW w:w="40" w:type="dxa"/>
            <w:vAlign w:val="bottom"/>
            <w:tcBorders>
              <w:top w:val="single" w:sz="8" w:color="CCEEFF"/>
              <w:bottom w:val="single" w:sz="8" w:color="CCEEFF"/>
            </w:tcBorders>
            <w:shd w:val="clear" w:color="auto" w:fill="CCEEFF"/>
          </w:tcPr>
          <w:p>
            <w:pPr>
              <w:spacing w:after="0"/>
              <w:rPr>
                <w:sz w:val="12"/>
                <w:szCs w:val="12"/>
                <w:color w:val="auto"/>
              </w:rPr>
            </w:pPr>
          </w:p>
        </w:tc>
        <w:tc>
          <w:tcPr>
            <w:tcW w:w="160" w:type="dxa"/>
            <w:vAlign w:val="bottom"/>
            <w:tcBorders>
              <w:top w:val="single" w:sz="8" w:color="auto"/>
              <w:bottom w:val="single" w:sz="8" w:color="auto"/>
            </w:tcBorders>
            <w:shd w:val="clear" w:color="auto" w:fill="CCEEFF"/>
          </w:tcPr>
          <w:p>
            <w:pPr>
              <w:jc w:val="right"/>
              <w:ind w:right="49"/>
              <w:spacing w:after="0"/>
              <w:rPr>
                <w:sz w:val="20"/>
                <w:szCs w:val="20"/>
                <w:color w:val="auto"/>
              </w:rPr>
            </w:pPr>
            <w:r>
              <w:rPr>
                <w:rFonts w:ascii="Arial" w:cs="Arial" w:eastAsia="Arial" w:hAnsi="Arial"/>
                <w:sz w:val="10"/>
                <w:szCs w:val="10"/>
                <w:color w:val="auto"/>
                <w:w w:val="71"/>
              </w:rPr>
              <w:t>$</w:t>
            </w:r>
          </w:p>
        </w:tc>
        <w:tc>
          <w:tcPr>
            <w:tcW w:w="7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15</w:t>
            </w:r>
          </w:p>
        </w:tc>
        <w:tc>
          <w:tcPr>
            <w:tcW w:w="180" w:type="dxa"/>
            <w:vAlign w:val="bottom"/>
            <w:tcBorders>
              <w:top w:val="single" w:sz="8" w:color="CCEEFF"/>
              <w:bottom w:val="single" w:sz="8" w:color="CCEEFF"/>
              <w:right w:val="single" w:sz="8" w:color="auto"/>
            </w:tcBorders>
            <w:shd w:val="clear" w:color="auto" w:fill="CCEEFF"/>
          </w:tcPr>
          <w:p>
            <w:pPr>
              <w:spacing w:after="0"/>
              <w:rPr>
                <w:sz w:val="12"/>
                <w:szCs w:val="12"/>
                <w:color w:val="auto"/>
              </w:rPr>
            </w:pPr>
          </w:p>
        </w:tc>
        <w:tc>
          <w:tcPr>
            <w:tcW w:w="160" w:type="dxa"/>
            <w:vAlign w:val="bottom"/>
            <w:tcBorders>
              <w:top w:val="single" w:sz="8" w:color="CCEEFF"/>
              <w:bottom w:val="single" w:sz="8" w:color="CCEEFF"/>
            </w:tcBorders>
            <w:shd w:val="clear" w:color="auto" w:fill="CCEEFF"/>
          </w:tcPr>
          <w:p>
            <w:pPr>
              <w:spacing w:after="0"/>
              <w:rPr>
                <w:sz w:val="12"/>
                <w:szCs w:val="12"/>
                <w:color w:val="auto"/>
              </w:rPr>
            </w:pPr>
          </w:p>
        </w:tc>
        <w:tc>
          <w:tcPr>
            <w:tcW w:w="240" w:type="dxa"/>
            <w:vAlign w:val="bottom"/>
            <w:tcBorders>
              <w:top w:val="single" w:sz="8" w:color="auto"/>
              <w:bottom w:val="single" w:sz="8" w:color="auto"/>
            </w:tcBorders>
            <w:shd w:val="clear" w:color="auto" w:fill="CCEEFF"/>
          </w:tcPr>
          <w:p>
            <w:pPr>
              <w:jc w:val="right"/>
              <w:ind w:right="88"/>
              <w:spacing w:after="0" w:line="142" w:lineRule="exact"/>
              <w:rPr>
                <w:sz w:val="20"/>
                <w:szCs w:val="20"/>
                <w:color w:val="auto"/>
              </w:rPr>
            </w:pPr>
            <w:r>
              <w:rPr>
                <w:rFonts w:ascii="Arial" w:cs="Arial" w:eastAsia="Arial" w:hAnsi="Arial"/>
                <w:sz w:val="14"/>
                <w:szCs w:val="14"/>
                <w:color w:val="auto"/>
                <w:w w:val="76"/>
              </w:rPr>
              <w:t>$</w:t>
            </w:r>
          </w:p>
        </w:tc>
        <w:tc>
          <w:tcPr>
            <w:tcW w:w="6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671</w:t>
            </w:r>
          </w:p>
        </w:tc>
        <w:tc>
          <w:tcPr>
            <w:tcW w:w="14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CCEEFF"/>
              <w:bottom w:val="single" w:sz="8" w:color="CCEEFF"/>
            </w:tcBorders>
            <w:shd w:val="clear" w:color="auto" w:fill="CCEEFF"/>
          </w:tcPr>
          <w:p>
            <w:pPr>
              <w:spacing w:after="0"/>
              <w:rPr>
                <w:sz w:val="12"/>
                <w:szCs w:val="12"/>
                <w:color w:val="auto"/>
              </w:rPr>
            </w:pPr>
          </w:p>
        </w:tc>
        <w:tc>
          <w:tcPr>
            <w:tcW w:w="140" w:type="dxa"/>
            <w:vAlign w:val="bottom"/>
            <w:tcBorders>
              <w:top w:val="single" w:sz="8" w:color="auto"/>
              <w:bottom w:val="single" w:sz="8" w:color="auto"/>
            </w:tcBorders>
            <w:shd w:val="clear" w:color="auto" w:fill="CCEEFF"/>
          </w:tcPr>
          <w:p>
            <w:pPr>
              <w:jc w:val="right"/>
              <w:ind w:right="29"/>
              <w:spacing w:after="0"/>
              <w:rPr>
                <w:sz w:val="20"/>
                <w:szCs w:val="20"/>
                <w:color w:val="auto"/>
              </w:rPr>
            </w:pPr>
            <w:r>
              <w:rPr>
                <w:rFonts w:ascii="Arial" w:cs="Arial" w:eastAsia="Arial" w:hAnsi="Arial"/>
                <w:sz w:val="10"/>
                <w:szCs w:val="10"/>
                <w:color w:val="auto"/>
                <w:w w:val="71"/>
              </w:rPr>
              <w:t>$</w:t>
            </w:r>
          </w:p>
        </w:tc>
        <w:tc>
          <w:tcPr>
            <w:tcW w:w="14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(642)</w:t>
            </w:r>
          </w:p>
        </w:tc>
        <w:tc>
          <w:tcPr>
            <w:tcW w:w="220" w:type="dxa"/>
            <w:vAlign w:val="bottom"/>
            <w:tcBorders>
              <w:top w:val="single" w:sz="8" w:color="CCEEFF"/>
              <w:bottom w:val="single" w:sz="8" w:color="CCEEFF"/>
            </w:tcBorders>
            <w:shd w:val="clear" w:color="auto" w:fill="CCEEFF"/>
          </w:tcPr>
          <w:p>
            <w:pPr>
              <w:spacing w:after="0"/>
              <w:rPr>
                <w:sz w:val="12"/>
                <w:szCs w:val="12"/>
                <w:color w:val="auto"/>
              </w:rPr>
            </w:pPr>
          </w:p>
        </w:tc>
        <w:tc>
          <w:tcPr>
            <w:tcW w:w="160" w:type="dxa"/>
            <w:vAlign w:val="bottom"/>
            <w:tcBorders>
              <w:top w:val="single" w:sz="8" w:color="auto"/>
              <w:bottom w:val="single" w:sz="8" w:color="auto"/>
            </w:tcBorders>
            <w:shd w:val="clear" w:color="auto" w:fill="CCEEFF"/>
          </w:tcPr>
          <w:p>
            <w:pPr>
              <w:jc w:val="right"/>
              <w:ind w:right="8"/>
              <w:spacing w:after="0" w:line="142" w:lineRule="exact"/>
              <w:rPr>
                <w:sz w:val="20"/>
                <w:szCs w:val="20"/>
                <w:color w:val="auto"/>
              </w:rPr>
            </w:pPr>
            <w:r>
              <w:rPr>
                <w:rFonts w:ascii="Arial" w:cs="Arial" w:eastAsia="Arial" w:hAnsi="Arial"/>
                <w:sz w:val="14"/>
                <w:szCs w:val="14"/>
                <w:color w:val="auto"/>
                <w:w w:val="76"/>
              </w:rPr>
              <w:t>$</w:t>
            </w:r>
          </w:p>
        </w:tc>
        <w:tc>
          <w:tcPr>
            <w:tcW w:w="7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29</w:t>
            </w:r>
          </w:p>
        </w:tc>
        <w:tc>
          <w:tcPr>
            <w:tcW w:w="100" w:type="dxa"/>
            <w:vAlign w:val="bottom"/>
            <w:tcBorders>
              <w:top w:val="single" w:sz="8" w:color="CCEEFF"/>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36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3640" w:type="dxa"/>
            <w:vAlign w:val="bottom"/>
            <w:shd w:val="clear" w:color="auto" w:fill="CCEEFF"/>
          </w:tcPr>
          <w:p>
            <w:pPr>
              <w:ind w:left="160"/>
              <w:spacing w:after="0" w:line="126" w:lineRule="exact"/>
              <w:rPr>
                <w:sz w:val="20"/>
                <w:szCs w:val="20"/>
                <w:color w:val="auto"/>
              </w:rPr>
            </w:pPr>
            <w:r>
              <w:rPr>
                <w:rFonts w:ascii="Arial" w:cs="Arial" w:eastAsia="Arial" w:hAnsi="Arial"/>
                <w:sz w:val="14"/>
                <w:szCs w:val="14"/>
                <w:b w:val="1"/>
                <w:bCs w:val="1"/>
                <w:color w:val="auto"/>
              </w:rPr>
              <w:t>BASIC AND DILUTED NET INCOME PER</w:t>
            </w:r>
          </w:p>
        </w:tc>
        <w:tc>
          <w:tcPr>
            <w:tcW w:w="24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6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200" w:type="dxa"/>
            <w:vAlign w:val="bottom"/>
            <w:gridSpan w:val="2"/>
            <w:vMerge w:val="restart"/>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940" w:type="dxa"/>
            <w:vAlign w:val="bottom"/>
            <w:tcBorders>
              <w:right w:val="single" w:sz="8" w:color="CCEEFF"/>
            </w:tcBorders>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0.11</w:t>
            </w:r>
          </w:p>
        </w:tc>
        <w:tc>
          <w:tcPr>
            <w:tcW w:w="16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44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6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84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4"/>
                <w:szCs w:val="14"/>
                <w:color w:val="auto"/>
              </w:rPr>
              <w:t>0.21</w:t>
            </w: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3640" w:type="dxa"/>
            <w:vAlign w:val="bottom"/>
            <w:shd w:val="clear" w:color="auto" w:fill="CCEEFF"/>
          </w:tcPr>
          <w:p>
            <w:pPr>
              <w:ind w:left="340"/>
              <w:spacing w:after="0" w:line="158" w:lineRule="exact"/>
              <w:rPr>
                <w:sz w:val="20"/>
                <w:szCs w:val="20"/>
                <w:color w:val="auto"/>
              </w:rPr>
            </w:pPr>
            <w:r>
              <w:rPr>
                <w:rFonts w:ascii="Arial" w:cs="Arial" w:eastAsia="Arial" w:hAnsi="Arial"/>
                <w:sz w:val="14"/>
                <w:szCs w:val="14"/>
                <w:b w:val="1"/>
                <w:bCs w:val="1"/>
                <w:color w:val="auto"/>
              </w:rPr>
              <w:t>CLASS A SHARE</w:t>
            </w:r>
          </w:p>
        </w:tc>
        <w:tc>
          <w:tcPr>
            <w:tcW w:w="24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200" w:type="dxa"/>
            <w:vAlign w:val="bottom"/>
            <w:gridSpan w:val="2"/>
            <w:vMerge w:val="continue"/>
            <w:shd w:val="clear" w:color="auto" w:fill="CCEEFF"/>
          </w:tcPr>
          <w:p>
            <w:pPr>
              <w:spacing w:after="0"/>
              <w:rPr>
                <w:sz w:val="13"/>
                <w:szCs w:val="13"/>
                <w:color w:val="auto"/>
              </w:rPr>
            </w:pPr>
          </w:p>
        </w:tc>
        <w:tc>
          <w:tcPr>
            <w:tcW w:w="940" w:type="dxa"/>
            <w:vAlign w:val="bottom"/>
            <w:tcBorders>
              <w:right w:val="single" w:sz="8" w:color="CCEEFF"/>
            </w:tcBorders>
            <w:gridSpan w:val="2"/>
            <w:vMerge w:val="continue"/>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4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60" w:type="dxa"/>
            <w:vAlign w:val="bottom"/>
            <w:vMerge w:val="continue"/>
            <w:shd w:val="clear" w:color="auto" w:fill="CCEEFF"/>
          </w:tcPr>
          <w:p>
            <w:pPr>
              <w:spacing w:after="0"/>
              <w:rPr>
                <w:sz w:val="13"/>
                <w:szCs w:val="13"/>
                <w:color w:val="auto"/>
              </w:rPr>
            </w:pPr>
          </w:p>
        </w:tc>
        <w:tc>
          <w:tcPr>
            <w:tcW w:w="840" w:type="dxa"/>
            <w:vAlign w:val="bottom"/>
            <w:gridSpan w:val="2"/>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460"/>
          </w:cols>
          <w:pgMar w:left="240" w:top="125" w:right="199" w:bottom="0" w:gutter="0" w:footer="0" w:header="0"/>
        </w:sectPr>
      </w:pPr>
    </w:p>
    <w:bookmarkStart w:id="17" w:name="page18"/>
    <w:bookmarkEnd w:id="17"/>
    <w:p>
      <w:pPr>
        <w:spacing w:after="0" w:line="62" w:lineRule="exact"/>
        <w:rPr>
          <w:sz w:val="20"/>
          <w:szCs w:val="20"/>
          <w:color w:val="auto"/>
        </w:rPr>
      </w:pPr>
    </w:p>
    <w:tbl>
      <w:tblPr>
        <w:tblLayout w:type="fixed"/>
        <w:tblInd w:w="180" w:type="dxa"/>
        <w:tblCellMar>
          <w:top w:w="0" w:type="dxa"/>
          <w:left w:w="0" w:type="dxa"/>
          <w:bottom w:w="0" w:type="dxa"/>
          <w:right w:w="0" w:type="dxa"/>
        </w:tblCellMar>
      </w:tblPr>
      <w:tr>
        <w:trPr>
          <w:trHeight w:val="161"/>
        </w:trPr>
        <w:tc>
          <w:tcPr>
            <w:tcW w:w="4900" w:type="dxa"/>
            <w:vAlign w:val="bottom"/>
          </w:tcPr>
          <w:p>
            <w:pPr>
              <w:spacing w:after="0"/>
              <w:rPr>
                <w:sz w:val="20"/>
                <w:szCs w:val="20"/>
                <w:color w:val="auto"/>
              </w:rPr>
            </w:pPr>
            <w:r>
              <w:rPr>
                <w:rFonts w:ascii="Arial" w:cs="Arial" w:eastAsia="Arial" w:hAnsi="Arial"/>
                <w:sz w:val="14"/>
                <w:szCs w:val="14"/>
                <w:b w:val="1"/>
                <w:bCs w:val="1"/>
                <w:color w:val="auto"/>
              </w:rPr>
              <w:t>BASIC AND DILUTED WEIGHTED AVERAGE</w:t>
            </w:r>
          </w:p>
        </w:tc>
        <w:tc>
          <w:tcPr>
            <w:tcW w:w="4020" w:type="dxa"/>
            <w:vAlign w:val="bottom"/>
            <w:vMerge w:val="restart"/>
          </w:tcPr>
          <w:p>
            <w:pPr>
              <w:jc w:val="right"/>
              <w:ind w:right="1908"/>
              <w:spacing w:after="0"/>
              <w:rPr>
                <w:sz w:val="20"/>
                <w:szCs w:val="20"/>
                <w:color w:val="auto"/>
              </w:rPr>
            </w:pPr>
            <w:r>
              <w:rPr>
                <w:rFonts w:ascii="Arial" w:cs="Arial" w:eastAsia="Arial" w:hAnsi="Arial"/>
                <w:sz w:val="14"/>
                <w:szCs w:val="14"/>
                <w:color w:val="auto"/>
              </w:rPr>
              <w:t>136</w:t>
            </w:r>
          </w:p>
        </w:tc>
        <w:tc>
          <w:tcPr>
            <w:tcW w:w="2220" w:type="dxa"/>
            <w:vAlign w:val="bottom"/>
            <w:vMerge w:val="restart"/>
          </w:tcPr>
          <w:p>
            <w:pPr>
              <w:jc w:val="right"/>
              <w:spacing w:after="0"/>
              <w:rPr>
                <w:sz w:val="20"/>
                <w:szCs w:val="20"/>
                <w:color w:val="auto"/>
              </w:rPr>
            </w:pPr>
            <w:r>
              <w:rPr>
                <w:rFonts w:ascii="Arial" w:cs="Arial" w:eastAsia="Arial" w:hAnsi="Arial"/>
                <w:sz w:val="14"/>
                <w:szCs w:val="14"/>
                <w:color w:val="auto"/>
              </w:rPr>
              <w:t>135</w:t>
            </w:r>
          </w:p>
        </w:tc>
        <w:tc>
          <w:tcPr>
            <w:tcW w:w="0" w:type="dxa"/>
            <w:vAlign w:val="bottom"/>
          </w:tcPr>
          <w:p>
            <w:pPr>
              <w:spacing w:after="0"/>
              <w:rPr>
                <w:sz w:val="1"/>
                <w:szCs w:val="1"/>
                <w:color w:val="auto"/>
              </w:rPr>
            </w:pPr>
          </w:p>
        </w:tc>
      </w:tr>
      <w:tr>
        <w:trPr>
          <w:trHeight w:val="186"/>
        </w:trPr>
        <w:tc>
          <w:tcPr>
            <w:tcW w:w="4900" w:type="dxa"/>
            <w:vAlign w:val="bottom"/>
          </w:tcPr>
          <w:p>
            <w:pPr>
              <w:ind w:left="180"/>
              <w:spacing w:after="0"/>
              <w:rPr>
                <w:sz w:val="20"/>
                <w:szCs w:val="20"/>
                <w:color w:val="auto"/>
              </w:rPr>
            </w:pPr>
            <w:r>
              <w:rPr>
                <w:rFonts w:ascii="Arial" w:cs="Arial" w:eastAsia="Arial" w:hAnsi="Arial"/>
                <w:sz w:val="14"/>
                <w:szCs w:val="14"/>
                <w:b w:val="1"/>
                <w:bCs w:val="1"/>
                <w:color w:val="auto"/>
              </w:rPr>
              <w:t>CLASS A SHARES OUTSTANDING</w:t>
            </w:r>
          </w:p>
        </w:tc>
        <w:tc>
          <w:tcPr>
            <w:tcW w:w="4020" w:type="dxa"/>
            <w:vAlign w:val="bottom"/>
            <w:vMerge w:val="continue"/>
          </w:tcPr>
          <w:p>
            <w:pPr>
              <w:spacing w:after="0"/>
              <w:rPr>
                <w:sz w:val="16"/>
                <w:szCs w:val="16"/>
                <w:color w:val="auto"/>
              </w:rPr>
            </w:pPr>
          </w:p>
        </w:tc>
        <w:tc>
          <w:tcPr>
            <w:tcW w:w="22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7246620" cy="20574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46620" cy="20574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213360</wp:posOffset>
            </wp:positionV>
            <wp:extent cx="1826895"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9" w:lineRule="exact"/>
        <w:rPr>
          <w:sz w:val="20"/>
          <w:szCs w:val="20"/>
          <w:color w:val="auto"/>
        </w:rPr>
      </w:pPr>
    </w:p>
    <w:p>
      <w:pPr>
        <w:ind w:left="180" w:hanging="172"/>
        <w:spacing w:after="0"/>
        <w:tabs>
          <w:tab w:leader="none" w:pos="180" w:val="left"/>
        </w:tabs>
        <w:numPr>
          <w:ilvl w:val="0"/>
          <w:numId w:val="29"/>
        </w:numPr>
        <w:rPr>
          <w:rFonts w:ascii="Arial" w:cs="Arial" w:eastAsia="Arial" w:hAnsi="Arial"/>
          <w:sz w:val="9"/>
          <w:szCs w:val="9"/>
          <w:color w:val="auto"/>
        </w:rPr>
      </w:pPr>
      <w:r>
        <w:rPr>
          <w:rFonts w:ascii="Arial" w:cs="Arial" w:eastAsia="Arial" w:hAnsi="Arial"/>
          <w:sz w:val="14"/>
          <w:szCs w:val="14"/>
          <w:color w:val="auto"/>
        </w:rPr>
        <w:t>Represents the aggregate consolidating adjustments necessary to produce consolidated financial statements for PAGP.</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more –</w:t>
      </w:r>
    </w:p>
    <w:p>
      <w:pPr>
        <w:spacing w:after="0" w:line="46" w:lineRule="exact"/>
        <w:rPr>
          <w:sz w:val="20"/>
          <w:szCs w:val="20"/>
          <w:color w:val="auto"/>
        </w:rPr>
      </w:pPr>
    </w:p>
    <w:p>
      <w:pPr>
        <w:ind w:left="2200"/>
        <w:spacing w:after="0"/>
        <w:tabs>
          <w:tab w:leader="none" w:pos="4700" w:val="left"/>
          <w:tab w:leader="none" w:pos="6820" w:val="left"/>
        </w:tabs>
        <w:rPr>
          <w:sz w:val="20"/>
          <w:szCs w:val="20"/>
          <w:color w:val="auto"/>
        </w:rPr>
      </w:pPr>
      <w:r>
        <w:rPr>
          <w:rFonts w:ascii="Arial" w:cs="Arial" w:eastAsia="Arial" w:hAnsi="Arial"/>
          <w:sz w:val="18"/>
          <w:szCs w:val="18"/>
          <w:b w:val="1"/>
          <w:bCs w:val="1"/>
          <w:color w:val="auto"/>
        </w:rPr>
        <w:t>333 Clay Street, Suite 1600</w:t>
      </w:r>
      <w:r>
        <w:rPr>
          <w:sz w:val="20"/>
          <w:szCs w:val="20"/>
          <w:color w:val="auto"/>
        </w:rPr>
        <w:tab/>
      </w:r>
      <w:r>
        <w:rPr>
          <w:rFonts w:ascii="Arial" w:cs="Arial" w:eastAsia="Arial" w:hAnsi="Arial"/>
          <w:sz w:val="18"/>
          <w:szCs w:val="18"/>
          <w:b w:val="1"/>
          <w:bCs w:val="1"/>
          <w:color w:val="auto"/>
        </w:rPr>
        <w:t>Houston, Texas 77002</w:t>
      </w:r>
      <w:r>
        <w:rPr>
          <w:sz w:val="20"/>
          <w:szCs w:val="20"/>
          <w:color w:val="auto"/>
        </w:rPr>
        <w:tab/>
      </w:r>
      <w:r>
        <w:rPr>
          <w:rFonts w:ascii="Arial" w:cs="Arial" w:eastAsia="Arial" w:hAnsi="Arial"/>
          <w:sz w:val="16"/>
          <w:szCs w:val="16"/>
          <w:b w:val="1"/>
          <w:bCs w:val="1"/>
          <w:color w:val="auto"/>
        </w:rPr>
        <w:t>(713) 646-4100 / (866) 809-1291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24662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220980</wp:posOffset>
            </wp:positionV>
            <wp:extent cx="7267575" cy="298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Page 16</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PLAINS GP HOLDINGS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FINANCIAL SUMMARY </w:t>
      </w:r>
      <w:r>
        <w:rPr>
          <w:rFonts w:ascii="Arial" w:cs="Arial" w:eastAsia="Arial" w:hAnsi="Arial"/>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CONDENSED CONSOLIDATING BALANCE SHEET DATA</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(in millions)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620" w:type="dxa"/>
            <w:vAlign w:val="bottom"/>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gridSpan w:val="2"/>
          </w:tcPr>
          <w:p>
            <w:pPr>
              <w:jc w:val="center"/>
              <w:ind w:right="460"/>
              <w:spacing w:after="0"/>
              <w:rPr>
                <w:sz w:val="20"/>
                <w:szCs w:val="20"/>
                <w:color w:val="auto"/>
              </w:rPr>
            </w:pPr>
            <w:r>
              <w:rPr>
                <w:rFonts w:ascii="Arial" w:cs="Arial" w:eastAsia="Arial" w:hAnsi="Arial"/>
                <w:sz w:val="14"/>
                <w:szCs w:val="14"/>
                <w:b w:val="1"/>
                <w:bCs w:val="1"/>
                <w:color w:val="auto"/>
                <w:w w:val="92"/>
              </w:rPr>
              <w:t>June 30, 2014</w:t>
            </w:r>
          </w:p>
        </w:tc>
        <w:tc>
          <w:tcPr>
            <w:tcW w:w="28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6620" w:type="dxa"/>
            <w:vAlign w:val="bottom"/>
          </w:tcPr>
          <w:p>
            <w:pPr>
              <w:spacing w:after="0"/>
              <w:rPr>
                <w:sz w:val="10"/>
                <w:szCs w:val="10"/>
                <w:color w:val="auto"/>
              </w:rPr>
            </w:pPr>
          </w:p>
        </w:tc>
        <w:tc>
          <w:tcPr>
            <w:tcW w:w="8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PAA</w:t>
            </w:r>
          </w:p>
        </w:tc>
        <w:tc>
          <w:tcPr>
            <w:tcW w:w="5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500" w:type="dxa"/>
            <w:vAlign w:val="bottom"/>
            <w:gridSpan w:val="2"/>
          </w:tcPr>
          <w:p>
            <w:pPr>
              <w:jc w:val="center"/>
              <w:ind w:right="440"/>
              <w:spacing w:after="0" w:line="119" w:lineRule="exact"/>
              <w:rPr>
                <w:sz w:val="20"/>
                <w:szCs w:val="20"/>
                <w:color w:val="auto"/>
              </w:rPr>
            </w:pPr>
            <w:r>
              <w:rPr>
                <w:rFonts w:ascii="Arial" w:cs="Arial" w:eastAsia="Arial" w:hAnsi="Arial"/>
                <w:sz w:val="13"/>
                <w:szCs w:val="13"/>
                <w:b w:val="1"/>
                <w:bCs w:val="1"/>
                <w:color w:val="auto"/>
                <w:w w:val="99"/>
              </w:rPr>
              <w:t>Consolidating</w:t>
            </w:r>
          </w:p>
        </w:tc>
        <w:tc>
          <w:tcPr>
            <w:tcW w:w="280" w:type="dxa"/>
            <w:vAlign w:val="bottom"/>
          </w:tcPr>
          <w:p>
            <w:pPr>
              <w:spacing w:after="0"/>
              <w:rPr>
                <w:sz w:val="10"/>
                <w:szCs w:val="10"/>
                <w:color w:val="auto"/>
              </w:rPr>
            </w:pPr>
          </w:p>
        </w:tc>
        <w:tc>
          <w:tcPr>
            <w:tcW w:w="118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PAGP</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620" w:type="dxa"/>
            <w:vAlign w:val="bottom"/>
          </w:tcPr>
          <w:p>
            <w:pPr>
              <w:spacing w:after="0"/>
              <w:rPr>
                <w:sz w:val="14"/>
                <w:szCs w:val="14"/>
                <w:color w:val="auto"/>
              </w:rPr>
            </w:pPr>
          </w:p>
        </w:tc>
        <w:tc>
          <w:tcPr>
            <w:tcW w:w="860" w:type="dxa"/>
            <w:vAlign w:val="bottom"/>
            <w:vMerge w:val="continue"/>
          </w:tcPr>
          <w:p>
            <w:pPr>
              <w:spacing w:after="0"/>
              <w:rPr>
                <w:sz w:val="14"/>
                <w:szCs w:val="14"/>
                <w:color w:val="auto"/>
              </w:rPr>
            </w:pPr>
          </w:p>
        </w:tc>
        <w:tc>
          <w:tcPr>
            <w:tcW w:w="5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0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3"/>
              </w:rPr>
              <w:t xml:space="preserve">Adjustments </w:t>
            </w:r>
            <w:r>
              <w:rPr>
                <w:rFonts w:ascii="Arial" w:cs="Arial" w:eastAsia="Arial" w:hAnsi="Arial"/>
                <w:sz w:val="8"/>
                <w:szCs w:val="8"/>
                <w:b w:val="1"/>
                <w:bCs w:val="1"/>
                <w:color w:val="auto"/>
                <w:w w:val="93"/>
              </w:rPr>
              <w:t>(1)</w:t>
            </w:r>
          </w:p>
        </w:tc>
        <w:tc>
          <w:tcPr>
            <w:tcW w:w="280" w:type="dxa"/>
            <w:vAlign w:val="bottom"/>
          </w:tcPr>
          <w:p>
            <w:pPr>
              <w:spacing w:after="0"/>
              <w:rPr>
                <w:sz w:val="14"/>
                <w:szCs w:val="14"/>
                <w:color w:val="auto"/>
              </w:rPr>
            </w:pPr>
          </w:p>
        </w:tc>
        <w:tc>
          <w:tcPr>
            <w:tcW w:w="11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6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86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22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spacing w:after="0"/>
              <w:rPr>
                <w:sz w:val="20"/>
                <w:szCs w:val="20"/>
                <w:color w:val="auto"/>
              </w:rPr>
            </w:pPr>
            <w:r>
              <w:rPr>
                <w:rFonts w:ascii="Arial" w:cs="Arial" w:eastAsia="Arial" w:hAnsi="Arial"/>
                <w:sz w:val="18"/>
                <w:szCs w:val="18"/>
                <w:color w:val="auto"/>
              </w:rPr>
              <w:t>Current assets</w:t>
            </w:r>
          </w:p>
        </w:tc>
        <w:tc>
          <w:tcPr>
            <w:tcW w:w="860" w:type="dxa"/>
            <w:vAlign w:val="bottom"/>
          </w:tcPr>
          <w:p>
            <w:pPr>
              <w:jc w:val="right"/>
              <w:ind w:right="706"/>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300"/>
              <w:spacing w:after="0"/>
              <w:rPr>
                <w:sz w:val="20"/>
                <w:szCs w:val="20"/>
                <w:color w:val="auto"/>
              </w:rPr>
            </w:pPr>
            <w:r>
              <w:rPr>
                <w:rFonts w:ascii="Arial" w:cs="Arial" w:eastAsia="Arial" w:hAnsi="Arial"/>
                <w:sz w:val="18"/>
                <w:szCs w:val="18"/>
                <w:color w:val="auto"/>
              </w:rPr>
              <w:t>5,168</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500" w:type="dxa"/>
            <w:vAlign w:val="bottom"/>
            <w:gridSpan w:val="2"/>
          </w:tcPr>
          <w:p>
            <w:pPr>
              <w:jc w:val="right"/>
              <w:ind w:right="280"/>
              <w:spacing w:after="0"/>
              <w:rPr>
                <w:sz w:val="20"/>
                <w:szCs w:val="20"/>
                <w:color w:val="auto"/>
              </w:rPr>
            </w:pPr>
            <w:r>
              <w:rPr>
                <w:rFonts w:ascii="Arial" w:cs="Arial" w:eastAsia="Arial" w:hAnsi="Arial"/>
                <w:sz w:val="18"/>
                <w:szCs w:val="18"/>
                <w:color w:val="auto"/>
              </w:rPr>
              <w:t>2</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5,170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8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11,613</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21</w:t>
            </w:r>
          </w:p>
        </w:tc>
        <w:tc>
          <w:tcPr>
            <w:tcW w:w="2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11,634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spacing w:after="0"/>
              <w:rPr>
                <w:sz w:val="20"/>
                <w:szCs w:val="20"/>
                <w:color w:val="auto"/>
              </w:rPr>
            </w:pPr>
            <w:r>
              <w:rPr>
                <w:rFonts w:ascii="Arial" w:cs="Arial" w:eastAsia="Arial" w:hAnsi="Arial"/>
                <w:sz w:val="18"/>
                <w:szCs w:val="18"/>
                <w:color w:val="auto"/>
              </w:rPr>
              <w:t>Goodwill</w:t>
            </w:r>
          </w:p>
        </w:tc>
        <w:tc>
          <w:tcPr>
            <w:tcW w:w="860" w:type="dxa"/>
            <w:vAlign w:val="bottom"/>
          </w:tcPr>
          <w:p>
            <w:pPr>
              <w:spacing w:after="0"/>
              <w:rPr>
                <w:sz w:val="18"/>
                <w:szCs w:val="18"/>
                <w:color w:val="auto"/>
              </w:rPr>
            </w:pPr>
          </w:p>
        </w:tc>
        <w:tc>
          <w:tcPr>
            <w:tcW w:w="820" w:type="dxa"/>
            <w:vAlign w:val="bottom"/>
            <w:gridSpan w:val="2"/>
          </w:tcPr>
          <w:p>
            <w:pPr>
              <w:jc w:val="right"/>
              <w:ind w:right="300"/>
              <w:spacing w:after="0"/>
              <w:rPr>
                <w:sz w:val="20"/>
                <w:szCs w:val="20"/>
                <w:color w:val="auto"/>
              </w:rPr>
            </w:pPr>
            <w:r>
              <w:rPr>
                <w:rFonts w:ascii="Arial" w:cs="Arial" w:eastAsia="Arial" w:hAnsi="Arial"/>
                <w:sz w:val="18"/>
                <w:szCs w:val="18"/>
                <w:color w:val="auto"/>
              </w:rPr>
              <w:t>2,502</w:t>
            </w:r>
          </w:p>
        </w:tc>
        <w:tc>
          <w:tcPr>
            <w:tcW w:w="140" w:type="dxa"/>
            <w:vAlign w:val="bottom"/>
          </w:tcPr>
          <w:p>
            <w:pPr>
              <w:spacing w:after="0"/>
              <w:rPr>
                <w:sz w:val="18"/>
                <w:szCs w:val="18"/>
                <w:color w:val="auto"/>
              </w:rPr>
            </w:pPr>
          </w:p>
        </w:tc>
        <w:tc>
          <w:tcPr>
            <w:tcW w:w="15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2,502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Linefill and base gas</w:t>
            </w:r>
          </w:p>
        </w:tc>
        <w:tc>
          <w:tcPr>
            <w:tcW w:w="8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895</w:t>
            </w:r>
          </w:p>
        </w:tc>
        <w:tc>
          <w:tcPr>
            <w:tcW w:w="14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spacing w:after="0"/>
              <w:rPr>
                <w:sz w:val="20"/>
                <w:szCs w:val="20"/>
                <w:color w:val="auto"/>
              </w:rPr>
            </w:pPr>
            <w:r>
              <w:rPr>
                <w:rFonts w:ascii="Arial" w:cs="Arial" w:eastAsia="Arial" w:hAnsi="Arial"/>
                <w:sz w:val="18"/>
                <w:szCs w:val="18"/>
                <w:color w:val="auto"/>
              </w:rPr>
              <w:t>Long-term inventory</w:t>
            </w:r>
          </w:p>
        </w:tc>
        <w:tc>
          <w:tcPr>
            <w:tcW w:w="860" w:type="dxa"/>
            <w:vAlign w:val="bottom"/>
          </w:tcPr>
          <w:p>
            <w:pPr>
              <w:spacing w:after="0"/>
              <w:rPr>
                <w:sz w:val="18"/>
                <w:szCs w:val="18"/>
                <w:color w:val="auto"/>
              </w:rPr>
            </w:pPr>
          </w:p>
        </w:tc>
        <w:tc>
          <w:tcPr>
            <w:tcW w:w="820" w:type="dxa"/>
            <w:vAlign w:val="bottom"/>
            <w:gridSpan w:val="2"/>
          </w:tcPr>
          <w:p>
            <w:pPr>
              <w:jc w:val="right"/>
              <w:ind w:right="300"/>
              <w:spacing w:after="0"/>
              <w:rPr>
                <w:sz w:val="20"/>
                <w:szCs w:val="20"/>
                <w:color w:val="auto"/>
              </w:rPr>
            </w:pPr>
            <w:r>
              <w:rPr>
                <w:rFonts w:ascii="Arial" w:cs="Arial" w:eastAsia="Arial" w:hAnsi="Arial"/>
                <w:sz w:val="18"/>
                <w:szCs w:val="18"/>
                <w:color w:val="auto"/>
              </w:rPr>
              <w:t>287</w:t>
            </w:r>
          </w:p>
        </w:tc>
        <w:tc>
          <w:tcPr>
            <w:tcW w:w="140" w:type="dxa"/>
            <w:vAlign w:val="bottom"/>
          </w:tcPr>
          <w:p>
            <w:pPr>
              <w:spacing w:after="0"/>
              <w:rPr>
                <w:sz w:val="18"/>
                <w:szCs w:val="18"/>
                <w:color w:val="auto"/>
              </w:rPr>
            </w:pPr>
          </w:p>
        </w:tc>
        <w:tc>
          <w:tcPr>
            <w:tcW w:w="15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287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Investments in unconsolidated entities</w:t>
            </w:r>
          </w:p>
        </w:tc>
        <w:tc>
          <w:tcPr>
            <w:tcW w:w="8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545</w:t>
            </w:r>
          </w:p>
        </w:tc>
        <w:tc>
          <w:tcPr>
            <w:tcW w:w="14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spacing w:after="0"/>
              <w:rPr>
                <w:sz w:val="20"/>
                <w:szCs w:val="20"/>
                <w:color w:val="auto"/>
              </w:rPr>
            </w:pPr>
            <w:r>
              <w:rPr>
                <w:rFonts w:ascii="Arial" w:cs="Arial" w:eastAsia="Arial" w:hAnsi="Arial"/>
                <w:sz w:val="18"/>
                <w:szCs w:val="18"/>
                <w:color w:val="auto"/>
              </w:rPr>
              <w:t>Other, net</w:t>
            </w:r>
          </w:p>
        </w:tc>
        <w:tc>
          <w:tcPr>
            <w:tcW w:w="860" w:type="dxa"/>
            <w:vAlign w:val="bottom"/>
          </w:tcPr>
          <w:p>
            <w:pPr>
              <w:spacing w:after="0"/>
              <w:rPr>
                <w:sz w:val="18"/>
                <w:szCs w:val="18"/>
                <w:color w:val="auto"/>
              </w:rPr>
            </w:pPr>
          </w:p>
        </w:tc>
        <w:tc>
          <w:tcPr>
            <w:tcW w:w="820" w:type="dxa"/>
            <w:vAlign w:val="bottom"/>
            <w:gridSpan w:val="2"/>
          </w:tcPr>
          <w:p>
            <w:pPr>
              <w:jc w:val="right"/>
              <w:ind w:right="300"/>
              <w:spacing w:after="0"/>
              <w:rPr>
                <w:sz w:val="20"/>
                <w:szCs w:val="20"/>
                <w:color w:val="auto"/>
              </w:rPr>
            </w:pPr>
            <w:r>
              <w:rPr>
                <w:rFonts w:ascii="Arial" w:cs="Arial" w:eastAsia="Arial" w:hAnsi="Arial"/>
                <w:sz w:val="18"/>
                <w:szCs w:val="18"/>
                <w:color w:val="auto"/>
              </w:rPr>
              <w:t>485</w:t>
            </w:r>
          </w:p>
        </w:tc>
        <w:tc>
          <w:tcPr>
            <w:tcW w:w="140" w:type="dxa"/>
            <w:vAlign w:val="bottom"/>
          </w:tcPr>
          <w:p>
            <w:pPr>
              <w:spacing w:after="0"/>
              <w:rPr>
                <w:sz w:val="18"/>
                <w:szCs w:val="18"/>
                <w:color w:val="auto"/>
              </w:rPr>
            </w:pPr>
          </w:p>
        </w:tc>
        <w:tc>
          <w:tcPr>
            <w:tcW w:w="1500" w:type="dxa"/>
            <w:vAlign w:val="bottom"/>
            <w:gridSpan w:val="2"/>
          </w:tcPr>
          <w:p>
            <w:pPr>
              <w:jc w:val="right"/>
              <w:ind w:right="280"/>
              <w:spacing w:after="0"/>
              <w:rPr>
                <w:sz w:val="20"/>
                <w:szCs w:val="20"/>
                <w:color w:val="auto"/>
              </w:rPr>
            </w:pPr>
            <w:r>
              <w:rPr>
                <w:rFonts w:ascii="Arial" w:cs="Arial" w:eastAsia="Arial" w:hAnsi="Arial"/>
                <w:sz w:val="18"/>
                <w:szCs w:val="18"/>
                <w:color w:val="auto"/>
              </w:rPr>
              <w:t>1,076</w:t>
            </w:r>
          </w:p>
        </w:tc>
        <w:tc>
          <w:tcPr>
            <w:tcW w:w="28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1,561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20" w:type="dxa"/>
            <w:vAlign w:val="bottom"/>
            <w:tcBorders>
              <w:top w:val="single" w:sz="8" w:color="CCEEFF"/>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assets</w:t>
            </w:r>
          </w:p>
        </w:tc>
        <w:tc>
          <w:tcPr>
            <w:tcW w:w="860" w:type="dxa"/>
            <w:vAlign w:val="bottom"/>
            <w:tcBorders>
              <w:top w:val="single" w:sz="8" w:color="auto"/>
              <w:bottom w:val="single" w:sz="8" w:color="auto"/>
            </w:tcBorders>
            <w:shd w:val="clear" w:color="auto" w:fill="CCEEFF"/>
          </w:tcPr>
          <w:p>
            <w:pPr>
              <w:jc w:val="right"/>
              <w:ind w:right="706"/>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21,495</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1,099</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22,594</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66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AND PARTNERS’ CAPITAL</w:t>
            </w:r>
          </w:p>
        </w:tc>
        <w:tc>
          <w:tcPr>
            <w:tcW w:w="8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spacing w:after="0"/>
              <w:rPr>
                <w:sz w:val="20"/>
                <w:szCs w:val="20"/>
                <w:color w:val="auto"/>
              </w:rPr>
            </w:pPr>
            <w:r>
              <w:rPr>
                <w:rFonts w:ascii="Arial" w:cs="Arial" w:eastAsia="Arial" w:hAnsi="Arial"/>
                <w:sz w:val="18"/>
                <w:szCs w:val="18"/>
                <w:color w:val="auto"/>
              </w:rPr>
              <w:t>Current liabilities</w:t>
            </w:r>
          </w:p>
        </w:tc>
        <w:tc>
          <w:tcPr>
            <w:tcW w:w="860" w:type="dxa"/>
            <w:vAlign w:val="bottom"/>
          </w:tcPr>
          <w:p>
            <w:pPr>
              <w:jc w:val="right"/>
              <w:ind w:right="706"/>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300"/>
              <w:spacing w:after="0"/>
              <w:rPr>
                <w:sz w:val="20"/>
                <w:szCs w:val="20"/>
                <w:color w:val="auto"/>
              </w:rPr>
            </w:pPr>
            <w:r>
              <w:rPr>
                <w:rFonts w:ascii="Arial" w:cs="Arial" w:eastAsia="Arial" w:hAnsi="Arial"/>
                <w:sz w:val="18"/>
                <w:szCs w:val="18"/>
                <w:color w:val="auto"/>
              </w:rPr>
              <w:t>5,423</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500" w:type="dxa"/>
            <w:vAlign w:val="bottom"/>
            <w:gridSpan w:val="2"/>
          </w:tcPr>
          <w:p>
            <w:pPr>
              <w:jc w:val="right"/>
              <w:ind w:right="280"/>
              <w:spacing w:after="0"/>
              <w:rPr>
                <w:sz w:val="20"/>
                <w:szCs w:val="20"/>
                <w:color w:val="auto"/>
              </w:rPr>
            </w:pPr>
            <w:r>
              <w:rPr>
                <w:rFonts w:ascii="Arial" w:cs="Arial" w:eastAsia="Arial" w:hAnsi="Arial"/>
                <w:sz w:val="18"/>
                <w:szCs w:val="18"/>
                <w:color w:val="auto"/>
              </w:rPr>
              <w:t>1</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5,424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Senior notes, net of unamortized discount</w:t>
            </w:r>
          </w:p>
        </w:tc>
        <w:tc>
          <w:tcPr>
            <w:tcW w:w="8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7,409</w:t>
            </w:r>
          </w:p>
        </w:tc>
        <w:tc>
          <w:tcPr>
            <w:tcW w:w="14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7,409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spacing w:after="0"/>
              <w:rPr>
                <w:sz w:val="20"/>
                <w:szCs w:val="20"/>
                <w:color w:val="auto"/>
              </w:rPr>
            </w:pPr>
            <w:r>
              <w:rPr>
                <w:rFonts w:ascii="Arial" w:cs="Arial" w:eastAsia="Arial" w:hAnsi="Arial"/>
                <w:sz w:val="18"/>
                <w:szCs w:val="18"/>
                <w:color w:val="auto"/>
              </w:rPr>
              <w:t>Long-term debt under credit facilities and other</w:t>
            </w:r>
          </w:p>
        </w:tc>
        <w:tc>
          <w:tcPr>
            <w:tcW w:w="860" w:type="dxa"/>
            <w:vAlign w:val="bottom"/>
          </w:tcPr>
          <w:p>
            <w:pPr>
              <w:spacing w:after="0"/>
              <w:rPr>
                <w:sz w:val="18"/>
                <w:szCs w:val="18"/>
                <w:color w:val="auto"/>
              </w:rPr>
            </w:pPr>
          </w:p>
        </w:tc>
        <w:tc>
          <w:tcPr>
            <w:tcW w:w="820" w:type="dxa"/>
            <w:vAlign w:val="bottom"/>
            <w:gridSpan w:val="2"/>
          </w:tcPr>
          <w:p>
            <w:pPr>
              <w:jc w:val="right"/>
              <w:ind w:right="300"/>
              <w:spacing w:after="0"/>
              <w:rPr>
                <w:sz w:val="20"/>
                <w:szCs w:val="20"/>
                <w:color w:val="auto"/>
              </w:rPr>
            </w:pPr>
            <w:r>
              <w:rPr>
                <w:rFonts w:ascii="Arial" w:cs="Arial" w:eastAsia="Arial" w:hAnsi="Arial"/>
                <w:sz w:val="18"/>
                <w:szCs w:val="18"/>
                <w:color w:val="auto"/>
              </w:rPr>
              <w:t>5</w:t>
            </w:r>
          </w:p>
        </w:tc>
        <w:tc>
          <w:tcPr>
            <w:tcW w:w="140" w:type="dxa"/>
            <w:vAlign w:val="bottom"/>
          </w:tcPr>
          <w:p>
            <w:pPr>
              <w:spacing w:after="0"/>
              <w:rPr>
                <w:sz w:val="18"/>
                <w:szCs w:val="18"/>
                <w:color w:val="auto"/>
              </w:rPr>
            </w:pPr>
          </w:p>
        </w:tc>
        <w:tc>
          <w:tcPr>
            <w:tcW w:w="1500" w:type="dxa"/>
            <w:vAlign w:val="bottom"/>
            <w:gridSpan w:val="2"/>
          </w:tcPr>
          <w:p>
            <w:pPr>
              <w:jc w:val="right"/>
              <w:ind w:right="280"/>
              <w:spacing w:after="0"/>
              <w:rPr>
                <w:sz w:val="20"/>
                <w:szCs w:val="20"/>
                <w:color w:val="auto"/>
              </w:rPr>
            </w:pPr>
            <w:r>
              <w:rPr>
                <w:rFonts w:ascii="Arial" w:cs="Arial" w:eastAsia="Arial" w:hAnsi="Arial"/>
                <w:sz w:val="18"/>
                <w:szCs w:val="18"/>
                <w:color w:val="auto"/>
              </w:rPr>
              <w:t>526</w:t>
            </w:r>
          </w:p>
        </w:tc>
        <w:tc>
          <w:tcPr>
            <w:tcW w:w="28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531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Other long-term liabilities and deferred credits</w:t>
            </w:r>
          </w:p>
        </w:tc>
        <w:tc>
          <w:tcPr>
            <w:tcW w:w="8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546</w:t>
            </w:r>
          </w:p>
        </w:tc>
        <w:tc>
          <w:tcPr>
            <w:tcW w:w="14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20" w:type="dxa"/>
            <w:vAlign w:val="bottom"/>
          </w:tcPr>
          <w:p>
            <w:pPr>
              <w:ind w:left="160"/>
              <w:spacing w:after="0"/>
              <w:rPr>
                <w:sz w:val="20"/>
                <w:szCs w:val="20"/>
                <w:color w:val="auto"/>
              </w:rPr>
            </w:pPr>
            <w:r>
              <w:rPr>
                <w:rFonts w:ascii="Arial" w:cs="Arial" w:eastAsia="Arial" w:hAnsi="Arial"/>
                <w:sz w:val="18"/>
                <w:szCs w:val="18"/>
                <w:color w:val="auto"/>
              </w:rPr>
              <w:t>Total liabilities</w:t>
            </w:r>
          </w:p>
        </w:tc>
        <w:tc>
          <w:tcPr>
            <w:tcW w:w="86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0"/>
              </w:rPr>
              <w:t>13,383</w:t>
            </w:r>
          </w:p>
        </w:tc>
        <w:tc>
          <w:tcPr>
            <w:tcW w:w="3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527</w:t>
            </w:r>
          </w:p>
        </w:tc>
        <w:tc>
          <w:tcPr>
            <w:tcW w:w="28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13,910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6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20" w:type="dxa"/>
            <w:vAlign w:val="bottom"/>
          </w:tcPr>
          <w:p>
            <w:pPr>
              <w:spacing w:after="0"/>
              <w:rPr>
                <w:sz w:val="20"/>
                <w:szCs w:val="20"/>
                <w:color w:val="auto"/>
              </w:rPr>
            </w:pPr>
            <w:r>
              <w:rPr>
                <w:rFonts w:ascii="Arial" w:cs="Arial" w:eastAsia="Arial" w:hAnsi="Arial"/>
                <w:sz w:val="18"/>
                <w:szCs w:val="18"/>
                <w:color w:val="auto"/>
              </w:rPr>
              <w:t>Partners’ capital excluding noncontrolling interests</w:t>
            </w:r>
          </w:p>
        </w:tc>
        <w:tc>
          <w:tcPr>
            <w:tcW w:w="860" w:type="dxa"/>
            <w:vAlign w:val="bottom"/>
          </w:tcPr>
          <w:p>
            <w:pPr>
              <w:spacing w:after="0"/>
              <w:rPr>
                <w:sz w:val="18"/>
                <w:szCs w:val="18"/>
                <w:color w:val="auto"/>
              </w:rPr>
            </w:pPr>
          </w:p>
        </w:tc>
        <w:tc>
          <w:tcPr>
            <w:tcW w:w="820" w:type="dxa"/>
            <w:vAlign w:val="bottom"/>
            <w:gridSpan w:val="2"/>
          </w:tcPr>
          <w:p>
            <w:pPr>
              <w:jc w:val="right"/>
              <w:ind w:right="300"/>
              <w:spacing w:after="0"/>
              <w:rPr>
                <w:sz w:val="20"/>
                <w:szCs w:val="20"/>
                <w:color w:val="auto"/>
              </w:rPr>
            </w:pPr>
            <w:r>
              <w:rPr>
                <w:rFonts w:ascii="Arial" w:cs="Arial" w:eastAsia="Arial" w:hAnsi="Arial"/>
                <w:sz w:val="18"/>
                <w:szCs w:val="18"/>
                <w:color w:val="auto"/>
              </w:rPr>
              <w:t>8,053</w:t>
            </w:r>
          </w:p>
        </w:tc>
        <w:tc>
          <w:tcPr>
            <w:tcW w:w="140" w:type="dxa"/>
            <w:vAlign w:val="bottom"/>
          </w:tcPr>
          <w:p>
            <w:pPr>
              <w:spacing w:after="0"/>
              <w:rPr>
                <w:sz w:val="18"/>
                <w:szCs w:val="18"/>
                <w:color w:val="auto"/>
              </w:rPr>
            </w:pPr>
          </w:p>
        </w:tc>
        <w:tc>
          <w:tcPr>
            <w:tcW w:w="1500" w:type="dxa"/>
            <w:vAlign w:val="bottom"/>
            <w:gridSpan w:val="2"/>
          </w:tcPr>
          <w:p>
            <w:pPr>
              <w:jc w:val="right"/>
              <w:ind w:right="220"/>
              <w:spacing w:after="0"/>
              <w:rPr>
                <w:sz w:val="20"/>
                <w:szCs w:val="20"/>
                <w:color w:val="auto"/>
              </w:rPr>
            </w:pPr>
            <w:r>
              <w:rPr>
                <w:rFonts w:ascii="Arial" w:cs="Arial" w:eastAsia="Arial" w:hAnsi="Arial"/>
                <w:sz w:val="18"/>
                <w:szCs w:val="18"/>
                <w:color w:val="auto"/>
              </w:rPr>
              <w:t>(7,007)</w:t>
            </w:r>
          </w:p>
        </w:tc>
        <w:tc>
          <w:tcPr>
            <w:tcW w:w="28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1,046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Noncontrolling interests</w:t>
            </w:r>
          </w:p>
        </w:tc>
        <w:tc>
          <w:tcPr>
            <w:tcW w:w="8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7,579</w:t>
            </w:r>
          </w:p>
        </w:tc>
        <w:tc>
          <w:tcPr>
            <w:tcW w:w="2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7,638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20" w:type="dxa"/>
            <w:vAlign w:val="bottom"/>
            <w:tcBorders>
              <w:bottom w:val="single" w:sz="8" w:color="CCEEFF"/>
            </w:tcBorders>
          </w:tcPr>
          <w:p>
            <w:pPr>
              <w:ind w:left="160"/>
              <w:spacing w:after="0"/>
              <w:rPr>
                <w:sz w:val="20"/>
                <w:szCs w:val="20"/>
                <w:color w:val="auto"/>
              </w:rPr>
            </w:pPr>
            <w:r>
              <w:rPr>
                <w:rFonts w:ascii="Arial" w:cs="Arial" w:eastAsia="Arial" w:hAnsi="Arial"/>
                <w:sz w:val="18"/>
                <w:szCs w:val="18"/>
                <w:color w:val="auto"/>
              </w:rPr>
              <w:t>Total partners’ capital</w:t>
            </w:r>
          </w:p>
        </w:tc>
        <w:tc>
          <w:tcPr>
            <w:tcW w:w="860" w:type="dxa"/>
            <w:vAlign w:val="bottom"/>
            <w:tcBorders>
              <w:top w:val="single" w:sz="8" w:color="auto"/>
              <w:bottom w:val="single" w:sz="8" w:color="auto"/>
            </w:tcBorders>
          </w:tcPr>
          <w:p>
            <w:pPr>
              <w:spacing w:after="0"/>
              <w:rPr>
                <w:sz w:val="18"/>
                <w:szCs w:val="18"/>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8,112</w:t>
            </w:r>
          </w:p>
        </w:tc>
        <w:tc>
          <w:tcPr>
            <w:tcW w:w="30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572</w:t>
            </w:r>
          </w:p>
        </w:tc>
        <w:tc>
          <w:tcPr>
            <w:tcW w:w="28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8,684</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liabilities and partners’ capital</w:t>
            </w:r>
          </w:p>
        </w:tc>
        <w:tc>
          <w:tcPr>
            <w:tcW w:w="860" w:type="dxa"/>
            <w:vAlign w:val="bottom"/>
            <w:tcBorders>
              <w:bottom w:val="single" w:sz="8" w:color="auto"/>
            </w:tcBorders>
            <w:shd w:val="clear" w:color="auto" w:fill="CCEEFF"/>
          </w:tcPr>
          <w:p>
            <w:pPr>
              <w:jc w:val="right"/>
              <w:ind w:right="706"/>
              <w:spacing w:after="0"/>
              <w:rPr>
                <w:sz w:val="20"/>
                <w:szCs w:val="20"/>
                <w:color w:val="auto"/>
              </w:rPr>
            </w:pPr>
            <w:r>
              <w:rPr>
                <w:rFonts w:ascii="Arial" w:cs="Arial" w:eastAsia="Arial" w:hAnsi="Arial"/>
                <w:sz w:val="15"/>
                <w:szCs w:val="15"/>
                <w:color w:val="auto"/>
                <w:w w:val="71"/>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21,495</w:t>
            </w:r>
          </w:p>
        </w:tc>
        <w:tc>
          <w:tcPr>
            <w:tcW w:w="3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1,099</w:t>
            </w:r>
          </w:p>
        </w:tc>
        <w:tc>
          <w:tcPr>
            <w:tcW w:w="28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22,594</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77" w:lineRule="exact"/>
        <w:rPr>
          <w:sz w:val="20"/>
          <w:szCs w:val="20"/>
          <w:color w:val="auto"/>
        </w:rPr>
      </w:pPr>
    </w:p>
    <w:p>
      <w:pPr>
        <w:ind w:left="220" w:hanging="212"/>
        <w:spacing w:after="0"/>
        <w:tabs>
          <w:tab w:leader="none" w:pos="220" w:val="left"/>
        </w:tabs>
        <w:numPr>
          <w:ilvl w:val="0"/>
          <w:numId w:val="30"/>
        </w:numPr>
        <w:rPr>
          <w:rFonts w:ascii="Arial" w:cs="Arial" w:eastAsia="Arial" w:hAnsi="Arial"/>
          <w:sz w:val="23"/>
          <w:szCs w:val="23"/>
          <w:color w:val="auto"/>
          <w:vertAlign w:val="superscript"/>
        </w:rPr>
      </w:pPr>
      <w:r>
        <w:rPr>
          <w:rFonts w:ascii="Arial" w:cs="Arial" w:eastAsia="Arial" w:hAnsi="Arial"/>
          <w:sz w:val="18"/>
          <w:szCs w:val="18"/>
          <w:color w:val="auto"/>
        </w:rPr>
        <w:t>Represents the aggregate consolidating adjustments necessary to produce consolidated financial statements for PAGP.</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6" w:lineRule="exact"/>
        <w:rPr>
          <w:sz w:val="20"/>
          <w:szCs w:val="20"/>
          <w:color w:val="auto"/>
        </w:rPr>
      </w:pPr>
    </w:p>
    <w:p>
      <w:pPr>
        <w:ind w:left="2300"/>
        <w:spacing w:after="0"/>
        <w:tabs>
          <w:tab w:leader="none" w:pos="4800" w:val="left"/>
          <w:tab w:leader="none" w:pos="6920" w:val="left"/>
        </w:tabs>
        <w:rPr>
          <w:sz w:val="20"/>
          <w:szCs w:val="20"/>
          <w:color w:val="auto"/>
        </w:rPr>
      </w:pPr>
      <w:r>
        <w:rPr>
          <w:rFonts w:ascii="Arial" w:cs="Arial" w:eastAsia="Arial" w:hAnsi="Arial"/>
          <w:sz w:val="18"/>
          <w:szCs w:val="18"/>
          <w:b w:val="1"/>
          <w:bCs w:val="1"/>
          <w:color w:val="auto"/>
        </w:rPr>
        <w:t>333 Clay Street, Suite 1600</w:t>
      </w:r>
      <w:r>
        <w:rPr>
          <w:sz w:val="20"/>
          <w:szCs w:val="20"/>
          <w:color w:val="auto"/>
        </w:rPr>
        <w:tab/>
      </w:r>
      <w:r>
        <w:rPr>
          <w:rFonts w:ascii="Arial" w:cs="Arial" w:eastAsia="Arial" w:hAnsi="Arial"/>
          <w:sz w:val="18"/>
          <w:szCs w:val="18"/>
          <w:b w:val="1"/>
          <w:bCs w:val="1"/>
          <w:color w:val="auto"/>
        </w:rPr>
        <w:t>Houston, Texas 77002</w:t>
      </w:r>
      <w:r>
        <w:rPr>
          <w:sz w:val="20"/>
          <w:szCs w:val="20"/>
          <w:color w:val="auto"/>
        </w:rPr>
        <w:tab/>
      </w:r>
      <w:r>
        <w:rPr>
          <w:rFonts w:ascii="Arial" w:cs="Arial" w:eastAsia="Arial" w:hAnsi="Arial"/>
          <w:sz w:val="16"/>
          <w:szCs w:val="16"/>
          <w:b w:val="1"/>
          <w:bCs w:val="1"/>
          <w:color w:val="auto"/>
        </w:rPr>
        <w:t>713-646-4100 / 800-564-3036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220980</wp:posOffset>
            </wp:positionV>
            <wp:extent cx="7267575" cy="298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Page 17</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PLAINS GP HOLDINGS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DISTRIBUTION SUMMARY </w:t>
      </w:r>
      <w:r>
        <w:rPr>
          <w:rFonts w:ascii="Arial" w:cs="Arial" w:eastAsia="Arial" w:hAnsi="Arial"/>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24662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Q2 2014 PAGP DISTRIBUTION SUMMARY</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(in millions, except per unit and per share data)</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9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4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 xml:space="preserve">Q2 2014 </w:t>
            </w:r>
            <w:r>
              <w:rPr>
                <w:rFonts w:ascii="Arial" w:cs="Arial" w:eastAsia="Arial" w:hAnsi="Arial"/>
                <w:sz w:val="8"/>
                <w:szCs w:val="8"/>
                <w:b w:val="1"/>
                <w:bCs w:val="1"/>
                <w:color w:val="auto"/>
              </w:rPr>
              <w:t>(1)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9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PAA Distribution/LP Unit</w:t>
            </w: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0.6450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940" w:type="dxa"/>
            <w:vAlign w:val="bottom"/>
          </w:tcPr>
          <w:p>
            <w:pPr>
              <w:spacing w:after="0"/>
              <w:rPr>
                <w:sz w:val="20"/>
                <w:szCs w:val="20"/>
                <w:color w:val="auto"/>
              </w:rPr>
            </w:pPr>
            <w:r>
              <w:rPr>
                <w:rFonts w:ascii="Arial" w:cs="Arial" w:eastAsia="Arial" w:hAnsi="Arial"/>
                <w:sz w:val="18"/>
                <w:szCs w:val="18"/>
                <w:color w:val="auto"/>
              </w:rPr>
              <w:t>GP Distribution/LP Unit</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0.3312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9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Distribution/LP Unit</w:t>
            </w: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0.9762</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9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9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940" w:type="dxa"/>
            <w:vAlign w:val="bottom"/>
            <w:shd w:val="clear" w:color="auto" w:fill="CCEEFF"/>
          </w:tcPr>
          <w:p>
            <w:pPr>
              <w:spacing w:after="0"/>
              <w:rPr>
                <w:sz w:val="20"/>
                <w:szCs w:val="20"/>
                <w:color w:val="auto"/>
              </w:rPr>
            </w:pPr>
            <w:r>
              <w:rPr>
                <w:rFonts w:ascii="Arial" w:cs="Arial" w:eastAsia="Arial" w:hAnsi="Arial"/>
                <w:sz w:val="18"/>
                <w:szCs w:val="18"/>
                <w:color w:val="auto"/>
              </w:rPr>
              <w:t>PAA LP Units Outstanding at 8/1/14</w:t>
            </w: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940" w:type="dxa"/>
            <w:vAlign w:val="bottom"/>
            <w:shd w:val="clear" w:color="auto" w:fill="CCEEFF"/>
          </w:tcPr>
          <w:p>
            <w:pPr>
              <w:spacing w:after="0"/>
              <w:rPr>
                <w:sz w:val="20"/>
                <w:szCs w:val="20"/>
                <w:color w:val="auto"/>
              </w:rPr>
            </w:pPr>
            <w:r>
              <w:rPr>
                <w:rFonts w:ascii="Arial" w:cs="Arial" w:eastAsia="Arial" w:hAnsi="Arial"/>
                <w:sz w:val="18"/>
                <w:szCs w:val="18"/>
                <w:color w:val="auto"/>
              </w:rPr>
              <w:t>Gross GP Distribution</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940" w:type="dxa"/>
            <w:vAlign w:val="bottom"/>
          </w:tcPr>
          <w:p>
            <w:pPr>
              <w:ind w:left="160"/>
              <w:spacing w:after="0"/>
              <w:rPr>
                <w:sz w:val="20"/>
                <w:szCs w:val="20"/>
                <w:color w:val="auto"/>
              </w:rPr>
            </w:pPr>
            <w:r>
              <w:rPr>
                <w:rFonts w:ascii="Arial" w:cs="Arial" w:eastAsia="Arial" w:hAnsi="Arial"/>
                <w:sz w:val="18"/>
                <w:szCs w:val="18"/>
                <w:color w:val="auto"/>
              </w:rPr>
              <w:t>Less: IDR Reduction</w:t>
            </w:r>
          </w:p>
        </w:tc>
        <w:tc>
          <w:tcPr>
            <w:tcW w:w="2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9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Distribution from PAA to AAP</w:t>
            </w: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940" w:type="dxa"/>
            <w:vAlign w:val="bottom"/>
          </w:tcPr>
          <w:p>
            <w:pPr>
              <w:ind w:left="160"/>
              <w:spacing w:after="0"/>
              <w:rPr>
                <w:sz w:val="20"/>
                <w:szCs w:val="20"/>
                <w:color w:val="auto"/>
              </w:rPr>
            </w:pPr>
            <w:r>
              <w:rPr>
                <w:rFonts w:ascii="Arial" w:cs="Arial" w:eastAsia="Arial" w:hAnsi="Arial"/>
                <w:sz w:val="18"/>
                <w:szCs w:val="18"/>
                <w:color w:val="auto"/>
              </w:rPr>
              <w:t>Less: Debt Service</w:t>
            </w:r>
          </w:p>
        </w:tc>
        <w:tc>
          <w:tcPr>
            <w:tcW w:w="2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9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Less: G&amp;A Expense</w:t>
            </w: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940" w:type="dxa"/>
            <w:vAlign w:val="bottom"/>
          </w:tcPr>
          <w:p>
            <w:pPr>
              <w:ind w:left="160"/>
              <w:spacing w:after="0"/>
              <w:rPr>
                <w:sz w:val="20"/>
                <w:szCs w:val="20"/>
                <w:color w:val="auto"/>
              </w:rPr>
            </w:pPr>
            <w:r>
              <w:rPr>
                <w:rFonts w:ascii="Arial" w:cs="Arial" w:eastAsia="Arial" w:hAnsi="Arial"/>
                <w:sz w:val="18"/>
                <w:szCs w:val="18"/>
                <w:color w:val="auto"/>
              </w:rPr>
              <w:t>Less: Other</w:t>
            </w:r>
          </w:p>
        </w:tc>
        <w:tc>
          <w:tcPr>
            <w:tcW w:w="2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9940" w:type="dxa"/>
            <w:vAlign w:val="bottom"/>
            <w:tcBorders>
              <w:top w:val="single" w:sz="8" w:color="CCEEFF"/>
            </w:tcBorders>
            <w:shd w:val="clear" w:color="auto" w:fill="CCEEFF"/>
          </w:tcPr>
          <w:p>
            <w:pPr>
              <w:spacing w:after="0"/>
              <w:rPr>
                <w:sz w:val="7"/>
                <w:szCs w:val="7"/>
                <w:color w:val="auto"/>
              </w:rPr>
            </w:pPr>
          </w:p>
        </w:tc>
        <w:tc>
          <w:tcPr>
            <w:tcW w:w="220" w:type="dxa"/>
            <w:vAlign w:val="bottom"/>
            <w:tcBorders>
              <w:top w:val="single" w:sz="8" w:color="auto"/>
            </w:tcBorders>
            <w:shd w:val="clear" w:color="auto" w:fill="CCEEFF"/>
          </w:tcPr>
          <w:p>
            <w:pPr>
              <w:spacing w:after="0"/>
              <w:rPr>
                <w:sz w:val="7"/>
                <w:szCs w:val="7"/>
                <w:color w:val="auto"/>
              </w:rPr>
            </w:pPr>
          </w:p>
        </w:tc>
        <w:tc>
          <w:tcPr>
            <w:tcW w:w="1140" w:type="dxa"/>
            <w:vAlign w:val="bottom"/>
            <w:tcBorders>
              <w:top w:val="single" w:sz="8" w:color="auto"/>
            </w:tcBorders>
            <w:shd w:val="clear" w:color="auto" w:fill="CCEEFF"/>
          </w:tcPr>
          <w:p>
            <w:pPr>
              <w:spacing w:after="0"/>
              <w:rPr>
                <w:sz w:val="7"/>
                <w:szCs w:val="7"/>
                <w:color w:val="auto"/>
              </w:rPr>
            </w:pPr>
          </w:p>
        </w:tc>
        <w:tc>
          <w:tcPr>
            <w:tcW w:w="100" w:type="dxa"/>
            <w:vAlign w:val="bottom"/>
            <w:tcBorders>
              <w:top w:val="single" w:sz="8" w:color="CCEEFF"/>
            </w:tcBorders>
            <w:shd w:val="clear" w:color="auto" w:fill="CCEEFF"/>
          </w:tcPr>
          <w:p>
            <w:pPr>
              <w:spacing w:after="0"/>
              <w:rPr>
                <w:sz w:val="7"/>
                <w:szCs w:val="7"/>
                <w:color w:val="auto"/>
              </w:rPr>
            </w:pPr>
          </w:p>
        </w:tc>
        <w:tc>
          <w:tcPr>
            <w:tcW w:w="0" w:type="dxa"/>
            <w:vAlign w:val="bottom"/>
          </w:tcPr>
          <w:p>
            <w:pPr>
              <w:spacing w:after="0"/>
              <w:rPr>
                <w:sz w:val="1"/>
                <w:szCs w:val="1"/>
                <w:color w:val="auto"/>
              </w:rPr>
            </w:pPr>
          </w:p>
        </w:tc>
      </w:tr>
    </w:tbl>
    <w:p>
      <w:pPr>
        <w:sectPr>
          <w:pgSz w:w="11900" w:h="16900" w:orient="portrait"/>
          <w:cols w:equalWidth="0" w:num="1">
            <w:col w:w="11420"/>
          </w:cols>
          <w:pgMar w:left="240" w:top="253" w:right="239" w:bottom="0" w:gutter="0" w:footer="0" w:header="0"/>
        </w:sectPr>
      </w:pPr>
    </w:p>
    <w:bookmarkStart w:id="18" w:name="page19"/>
    <w:bookmarkEnd w:id="1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9940" w:type="dxa"/>
            <w:vAlign w:val="bottom"/>
            <w:shd w:val="clear" w:color="auto" w:fill="CCEEFF"/>
          </w:tcPr>
          <w:p>
            <w:pPr>
              <w:spacing w:after="0"/>
              <w:rPr>
                <w:sz w:val="20"/>
                <w:szCs w:val="20"/>
                <w:color w:val="auto"/>
              </w:rPr>
            </w:pPr>
            <w:r>
              <w:rPr>
                <w:rFonts w:ascii="Arial" w:cs="Arial" w:eastAsia="Arial" w:hAnsi="Arial"/>
                <w:sz w:val="18"/>
                <w:szCs w:val="18"/>
                <w:color w:val="auto"/>
              </w:rPr>
              <w:t>Cash Available for Distribution by AAP</w:t>
            </w: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0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119</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9940" w:type="dxa"/>
            <w:vAlign w:val="bottom"/>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Distributions to AAP Partners</w:t>
            </w:r>
          </w:p>
        </w:tc>
        <w:tc>
          <w:tcPr>
            <w:tcW w:w="4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940" w:type="dxa"/>
            <w:vAlign w:val="bottom"/>
          </w:tcPr>
          <w:p>
            <w:pPr>
              <w:ind w:left="160"/>
              <w:spacing w:after="0"/>
              <w:rPr>
                <w:sz w:val="20"/>
                <w:szCs w:val="20"/>
                <w:color w:val="auto"/>
              </w:rPr>
            </w:pPr>
            <w:r>
              <w:rPr>
                <w:rFonts w:ascii="Arial" w:cs="Arial" w:eastAsia="Arial" w:hAnsi="Arial"/>
                <w:sz w:val="18"/>
                <w:szCs w:val="18"/>
                <w:color w:val="auto"/>
              </w:rPr>
              <w:t>Direct AAP Owners &amp; AAP Management (79.1% economic interest)</w:t>
            </w: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94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9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PAGP (20.9% economic interest)</w:t>
            </w:r>
          </w:p>
        </w:tc>
        <w:tc>
          <w:tcPr>
            <w:tcW w:w="4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9960" w:type="dxa"/>
            <w:vAlign w:val="bottom"/>
            <w:gridSpan w:val="2"/>
          </w:tcPr>
          <w:p>
            <w:pPr>
              <w:spacing w:after="0"/>
              <w:rPr>
                <w:sz w:val="20"/>
                <w:szCs w:val="20"/>
                <w:color w:val="auto"/>
              </w:rPr>
            </w:pPr>
            <w:r>
              <w:rPr>
                <w:rFonts w:ascii="Arial" w:cs="Arial" w:eastAsia="Arial" w:hAnsi="Arial"/>
                <w:sz w:val="18"/>
                <w:szCs w:val="18"/>
                <w:color w:val="auto"/>
              </w:rPr>
              <w:t>Total distributions to AAP Partners</w:t>
            </w:r>
          </w:p>
        </w:tc>
        <w:tc>
          <w:tcPr>
            <w:tcW w:w="42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119</w:t>
            </w:r>
          </w:p>
        </w:tc>
        <w:tc>
          <w:tcPr>
            <w:tcW w:w="100" w:type="dxa"/>
            <w:vAlign w:val="bottom"/>
            <w:gridSpan w:val="2"/>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994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940" w:type="dxa"/>
            <w:vAlign w:val="bottom"/>
          </w:tcPr>
          <w:p>
            <w:pPr>
              <w:spacing w:after="0"/>
              <w:rPr>
                <w:sz w:val="20"/>
                <w:szCs w:val="20"/>
                <w:color w:val="auto"/>
              </w:rPr>
            </w:pPr>
            <w:r>
              <w:rPr>
                <w:rFonts w:ascii="Arial" w:cs="Arial" w:eastAsia="Arial" w:hAnsi="Arial"/>
                <w:sz w:val="18"/>
                <w:szCs w:val="18"/>
                <w:color w:val="auto"/>
              </w:rPr>
              <w:t>Distribution to PAGP Investors</w:t>
            </w: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25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9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PAGP Class A Shares Outstanding at 8/1/14</w:t>
            </w:r>
          </w:p>
        </w:tc>
        <w:tc>
          <w:tcPr>
            <w:tcW w:w="420" w:type="dxa"/>
            <w:vAlign w:val="bottom"/>
            <w:tcBorders>
              <w:top w:val="single" w:sz="8" w:color="auto"/>
              <w:bottom w:val="single" w:sz="8" w:color="auto"/>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9960" w:type="dxa"/>
            <w:vAlign w:val="bottom"/>
            <w:gridSpan w:val="2"/>
          </w:tcPr>
          <w:p>
            <w:pPr>
              <w:spacing w:after="0"/>
              <w:rPr>
                <w:sz w:val="20"/>
                <w:szCs w:val="20"/>
                <w:color w:val="auto"/>
              </w:rPr>
            </w:pPr>
            <w:r>
              <w:rPr>
                <w:rFonts w:ascii="Arial" w:cs="Arial" w:eastAsia="Arial" w:hAnsi="Arial"/>
                <w:sz w:val="18"/>
                <w:szCs w:val="18"/>
                <w:color w:val="auto"/>
              </w:rPr>
              <w:t>PAGP Distribution/Class A Share</w:t>
            </w:r>
          </w:p>
        </w:tc>
        <w:tc>
          <w:tcPr>
            <w:tcW w:w="4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0.18340</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9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23"/>
          <w:szCs w:val="23"/>
          <w:color w:val="auto"/>
          <w:vertAlign w:val="superscript"/>
        </w:rPr>
        <w:t>(1)</w:t>
      </w:r>
      <w:r>
        <w:rPr>
          <w:rFonts w:ascii="Arial" w:cs="Arial" w:eastAsia="Arial" w:hAnsi="Arial"/>
          <w:sz w:val="18"/>
          <w:szCs w:val="18"/>
          <w:color w:val="auto"/>
        </w:rPr>
        <w:t xml:space="preserve">  Amounts may not recalculate due to rounding.</w:t>
      </w:r>
    </w:p>
    <w:p>
      <w:pPr>
        <w:spacing w:after="0" w:line="168"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 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2" w:lineRule="exact"/>
        <w:rPr>
          <w:sz w:val="20"/>
          <w:szCs w:val="20"/>
          <w:color w:val="auto"/>
        </w:rPr>
      </w:pPr>
    </w:p>
    <w:p>
      <w:pPr>
        <w:jc w:val="right"/>
        <w:ind w:right="2340"/>
        <w:spacing w:after="0"/>
        <w:tabs>
          <w:tab w:leader="none" w:pos="6620" w:val="left"/>
          <w:tab w:leader="none" w:pos="4500" w:val="left"/>
        </w:tabs>
        <w:rPr>
          <w:sz w:val="20"/>
          <w:szCs w:val="20"/>
          <w:color w:val="auto"/>
        </w:rPr>
      </w:pPr>
      <w:r>
        <w:rPr>
          <w:rFonts w:ascii="Arial" w:cs="Arial" w:eastAsia="Arial" w:hAnsi="Arial"/>
          <w:sz w:val="18"/>
          <w:szCs w:val="18"/>
          <w:b w:val="1"/>
          <w:bCs w:val="1"/>
          <w:color w:val="auto"/>
        </w:rPr>
        <w:t>333 Clay Street, Suite 1600</w:t>
      </w:r>
      <w:r>
        <w:rPr>
          <w:sz w:val="20"/>
          <w:szCs w:val="20"/>
          <w:color w:val="auto"/>
        </w:rPr>
        <w:tab/>
      </w:r>
      <w:r>
        <w:rPr>
          <w:rFonts w:ascii="Arial" w:cs="Arial" w:eastAsia="Arial" w:hAnsi="Arial"/>
          <w:sz w:val="18"/>
          <w:szCs w:val="18"/>
          <w:b w:val="1"/>
          <w:bCs w:val="1"/>
          <w:color w:val="auto"/>
        </w:rPr>
        <w:t>Houston, Texas 77002</w:t>
      </w:r>
      <w:r>
        <w:rPr>
          <w:sz w:val="20"/>
          <w:szCs w:val="20"/>
          <w:color w:val="auto"/>
        </w:rPr>
        <w:tab/>
      </w:r>
      <w:r>
        <w:rPr>
          <w:rFonts w:ascii="Arial" w:cs="Arial" w:eastAsia="Arial" w:hAnsi="Arial"/>
          <w:sz w:val="16"/>
          <w:szCs w:val="16"/>
          <w:b w:val="1"/>
          <w:bCs w:val="1"/>
          <w:color w:val="auto"/>
        </w:rPr>
        <w:t>713-646-4100 / 800-564-3036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220980</wp:posOffset>
            </wp:positionV>
            <wp:extent cx="7267575" cy="298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Page 18</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PLAINS GP HOLDINGS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SUMMARY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24662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27" w:lineRule="exact"/>
        <w:rPr>
          <w:sz w:val="20"/>
          <w:szCs w:val="20"/>
          <w:color w:val="auto"/>
        </w:rPr>
      </w:pPr>
    </w:p>
    <w:p>
      <w:pPr>
        <w:ind w:right="4820"/>
        <w:spacing w:after="0" w:line="282" w:lineRule="auto"/>
        <w:rPr>
          <w:sz w:val="20"/>
          <w:szCs w:val="20"/>
          <w:color w:val="auto"/>
        </w:rPr>
      </w:pPr>
      <w:r>
        <w:rPr>
          <w:rFonts w:ascii="Arial" w:cs="Arial" w:eastAsia="Arial" w:hAnsi="Arial"/>
          <w:sz w:val="18"/>
          <w:szCs w:val="18"/>
          <w:b w:val="1"/>
          <w:bCs w:val="1"/>
          <w:u w:val="single" w:color="auto"/>
          <w:color w:val="auto"/>
        </w:rPr>
        <w:t xml:space="preserve">COMPUTATION OF BASIC AND DILUTED NET INCOME PER CLASS A SHARE </w:t>
      </w:r>
      <w:r>
        <w:rPr>
          <w:rFonts w:ascii="Arial" w:cs="Arial" w:eastAsia="Arial" w:hAnsi="Arial"/>
          <w:sz w:val="18"/>
          <w:szCs w:val="18"/>
          <w:color w:val="auto"/>
        </w:rPr>
        <w:t>(in millions, except per share data)</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5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94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w w:val="99"/>
              </w:rPr>
              <w:t>Three Months Ended</w:t>
            </w:r>
          </w:p>
        </w:tc>
        <w:tc>
          <w:tcPr>
            <w:tcW w:w="180" w:type="dxa"/>
            <w:vAlign w:val="bottom"/>
          </w:tcPr>
          <w:p>
            <w:pPr>
              <w:spacing w:after="0"/>
              <w:rPr>
                <w:sz w:val="13"/>
                <w:szCs w:val="13"/>
                <w:color w:val="auto"/>
              </w:rPr>
            </w:pPr>
          </w:p>
        </w:tc>
        <w:tc>
          <w:tcPr>
            <w:tcW w:w="16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Six Months Ended</w:t>
            </w:r>
          </w:p>
        </w:tc>
      </w:tr>
      <w:tr>
        <w:trPr>
          <w:trHeight w:val="171"/>
        </w:trPr>
        <w:tc>
          <w:tcPr>
            <w:tcW w:w="65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940" w:type="dxa"/>
            <w:vAlign w:val="bottom"/>
            <w:gridSpan w:val="2"/>
          </w:tcPr>
          <w:p>
            <w:pPr>
              <w:jc w:val="right"/>
              <w:ind w:right="780"/>
              <w:spacing w:after="0"/>
              <w:rPr>
                <w:sz w:val="20"/>
                <w:szCs w:val="20"/>
                <w:color w:val="auto"/>
              </w:rPr>
            </w:pPr>
            <w:r>
              <w:rPr>
                <w:rFonts w:ascii="Arial" w:cs="Arial" w:eastAsia="Arial" w:hAnsi="Arial"/>
                <w:sz w:val="14"/>
                <w:szCs w:val="14"/>
                <w:b w:val="1"/>
                <w:bCs w:val="1"/>
                <w:color w:val="auto"/>
              </w:rPr>
              <w:t>June 30, 2014</w:t>
            </w:r>
          </w:p>
        </w:tc>
        <w:tc>
          <w:tcPr>
            <w:tcW w:w="180" w:type="dxa"/>
            <w:vAlign w:val="bottom"/>
          </w:tcPr>
          <w:p>
            <w:pPr>
              <w:spacing w:after="0"/>
              <w:rPr>
                <w:sz w:val="14"/>
                <w:szCs w:val="14"/>
                <w:color w:val="auto"/>
              </w:rPr>
            </w:pPr>
          </w:p>
        </w:tc>
        <w:tc>
          <w:tcPr>
            <w:tcW w:w="16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0"/>
              </w:rPr>
              <w:t>June 30, 2014</w:t>
            </w:r>
          </w:p>
        </w:tc>
      </w:tr>
      <w:tr>
        <w:trPr>
          <w:trHeight w:val="196"/>
        </w:trPr>
        <w:tc>
          <w:tcPr>
            <w:tcW w:w="65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Basic and Diluted Net Income per Class A Share</w:t>
            </w:r>
          </w:p>
        </w:tc>
        <w:tc>
          <w:tcPr>
            <w:tcW w:w="9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66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5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6520" w:type="dxa"/>
            <w:vAlign w:val="bottom"/>
          </w:tcPr>
          <w:p>
            <w:pPr>
              <w:ind w:left="180"/>
              <w:spacing w:after="0"/>
              <w:rPr>
                <w:sz w:val="20"/>
                <w:szCs w:val="20"/>
                <w:color w:val="auto"/>
              </w:rPr>
            </w:pPr>
            <w:r>
              <w:rPr>
                <w:rFonts w:ascii="Arial" w:cs="Arial" w:eastAsia="Arial" w:hAnsi="Arial"/>
                <w:sz w:val="18"/>
                <w:szCs w:val="18"/>
                <w:color w:val="auto"/>
              </w:rPr>
              <w:t>Net income attributable to PAGP</w:t>
            </w: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940" w:type="dxa"/>
            <w:vAlign w:val="bottom"/>
            <w:gridSpan w:val="2"/>
          </w:tcPr>
          <w:p>
            <w:pPr>
              <w:jc w:val="right"/>
              <w:ind w:right="280"/>
              <w:spacing w:after="0"/>
              <w:rPr>
                <w:sz w:val="20"/>
                <w:szCs w:val="20"/>
                <w:color w:val="auto"/>
              </w:rPr>
            </w:pPr>
            <w:r>
              <w:rPr>
                <w:rFonts w:ascii="Arial" w:cs="Arial" w:eastAsia="Arial" w:hAnsi="Arial"/>
                <w:sz w:val="18"/>
                <w:szCs w:val="18"/>
                <w:color w:val="auto"/>
              </w:rPr>
              <w:t>15</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620" w:type="dxa"/>
            <w:vAlign w:val="bottom"/>
            <w:gridSpan w:val="2"/>
          </w:tcPr>
          <w:p>
            <w:pPr>
              <w:jc w:val="right"/>
              <w:ind w:right="100"/>
              <w:spacing w:after="0"/>
              <w:rPr>
                <w:sz w:val="20"/>
                <w:szCs w:val="20"/>
                <w:color w:val="auto"/>
              </w:rPr>
            </w:pPr>
            <w:r>
              <w:rPr>
                <w:rFonts w:ascii="Arial" w:cs="Arial" w:eastAsia="Arial" w:hAnsi="Arial"/>
                <w:sz w:val="18"/>
                <w:szCs w:val="18"/>
                <w:color w:val="auto"/>
              </w:rPr>
              <w:t>29</w:t>
            </w:r>
          </w:p>
        </w:tc>
      </w:tr>
      <w:tr>
        <w:trPr>
          <w:trHeight w:val="216"/>
        </w:trPr>
        <w:tc>
          <w:tcPr>
            <w:tcW w:w="65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Basic and diluted weighted average number of Class A shares outstanding</w:t>
            </w:r>
          </w:p>
        </w:tc>
        <w:tc>
          <w:tcPr>
            <w:tcW w:w="9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9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136</w:t>
            </w:r>
          </w:p>
        </w:tc>
        <w:tc>
          <w:tcPr>
            <w:tcW w:w="18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135</w:t>
            </w:r>
          </w:p>
        </w:tc>
      </w:tr>
      <w:tr>
        <w:trPr>
          <w:trHeight w:val="216"/>
        </w:trPr>
        <w:tc>
          <w:tcPr>
            <w:tcW w:w="65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5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Basic and diluted net income per Class A share</w:t>
            </w: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9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0.11</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0.21</w:t>
            </w:r>
          </w:p>
        </w:tc>
      </w:tr>
      <w:tr>
        <w:trPr>
          <w:trHeight w:val="20"/>
        </w:trPr>
        <w:tc>
          <w:tcPr>
            <w:tcW w:w="652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600" w:type="dxa"/>
            <w:vAlign w:val="bottom"/>
            <w:gridSpan w:val="2"/>
          </w:tcPr>
          <w:p>
            <w:pPr>
              <w:spacing w:after="0"/>
              <w:rPr>
                <w:sz w:val="20"/>
                <w:szCs w:val="20"/>
                <w:color w:val="auto"/>
              </w:rPr>
            </w:pPr>
            <w:r>
              <w:rPr>
                <w:rFonts w:ascii="Arial" w:cs="Arial" w:eastAsia="Arial" w:hAnsi="Arial"/>
                <w:sz w:val="18"/>
                <w:szCs w:val="18"/>
                <w:color w:val="auto"/>
              </w:rPr>
              <w:t>Contacts:</w:t>
            </w:r>
          </w:p>
        </w:tc>
        <w:tc>
          <w:tcPr>
            <w:tcW w:w="2280" w:type="dxa"/>
            <w:vAlign w:val="bottom"/>
          </w:tcPr>
          <w:p>
            <w:pPr>
              <w:spacing w:after="0"/>
              <w:rPr>
                <w:sz w:val="18"/>
                <w:szCs w:val="18"/>
                <w:color w:val="auto"/>
              </w:rPr>
            </w:pPr>
          </w:p>
        </w:tc>
        <w:tc>
          <w:tcPr>
            <w:tcW w:w="454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0"/>
        </w:trPr>
        <w:tc>
          <w:tcPr>
            <w:tcW w:w="640" w:type="dxa"/>
            <w:vAlign w:val="bottom"/>
            <w:shd w:val="clear" w:color="auto" w:fill="000000"/>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4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53"/>
        </w:trPr>
        <w:tc>
          <w:tcPr>
            <w:tcW w:w="4600" w:type="dxa"/>
            <w:vAlign w:val="bottom"/>
            <w:gridSpan w:val="2"/>
          </w:tcPr>
          <w:p>
            <w:pPr>
              <w:spacing w:after="0"/>
              <w:rPr>
                <w:sz w:val="20"/>
                <w:szCs w:val="20"/>
                <w:color w:val="auto"/>
              </w:rPr>
            </w:pPr>
            <w:r>
              <w:rPr>
                <w:rFonts w:ascii="Arial" w:cs="Arial" w:eastAsia="Arial" w:hAnsi="Arial"/>
                <w:sz w:val="18"/>
                <w:szCs w:val="18"/>
                <w:color w:val="auto"/>
              </w:rPr>
              <w:t>Ryan Smith</w:t>
            </w:r>
          </w:p>
        </w:tc>
        <w:tc>
          <w:tcPr>
            <w:tcW w:w="2280" w:type="dxa"/>
            <w:vAlign w:val="bottom"/>
          </w:tcPr>
          <w:p>
            <w:pPr>
              <w:ind w:left="1080"/>
              <w:spacing w:after="0"/>
              <w:rPr>
                <w:sz w:val="20"/>
                <w:szCs w:val="20"/>
                <w:color w:val="auto"/>
              </w:rPr>
            </w:pPr>
            <w:r>
              <w:rPr>
                <w:rFonts w:ascii="Arial" w:cs="Arial" w:eastAsia="Arial" w:hAnsi="Arial"/>
                <w:sz w:val="18"/>
                <w:szCs w:val="18"/>
                <w:color w:val="auto"/>
              </w:rPr>
              <w:t>Al Swanson</w:t>
            </w:r>
          </w:p>
        </w:tc>
        <w:tc>
          <w:tcPr>
            <w:tcW w:w="45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32"/>
        </w:trPr>
        <w:tc>
          <w:tcPr>
            <w:tcW w:w="4600" w:type="dxa"/>
            <w:vAlign w:val="bottom"/>
            <w:gridSpan w:val="2"/>
          </w:tcPr>
          <w:p>
            <w:pPr>
              <w:spacing w:after="0"/>
              <w:rPr>
                <w:sz w:val="20"/>
                <w:szCs w:val="20"/>
                <w:color w:val="auto"/>
              </w:rPr>
            </w:pPr>
            <w:r>
              <w:rPr>
                <w:rFonts w:ascii="Arial" w:cs="Arial" w:eastAsia="Arial" w:hAnsi="Arial"/>
                <w:sz w:val="18"/>
                <w:szCs w:val="18"/>
                <w:color w:val="auto"/>
              </w:rPr>
              <w:t>Director, Investor Relations</w:t>
            </w:r>
          </w:p>
        </w:tc>
        <w:tc>
          <w:tcPr>
            <w:tcW w:w="6820" w:type="dxa"/>
            <w:vAlign w:val="bottom"/>
            <w:gridSpan w:val="2"/>
          </w:tcPr>
          <w:p>
            <w:pPr>
              <w:ind w:left="1080"/>
              <w:spacing w:after="0"/>
              <w:rPr>
                <w:sz w:val="20"/>
                <w:szCs w:val="20"/>
                <w:color w:val="auto"/>
              </w:rPr>
            </w:pPr>
            <w:r>
              <w:rPr>
                <w:rFonts w:ascii="Arial" w:cs="Arial" w:eastAsia="Arial" w:hAnsi="Arial"/>
                <w:sz w:val="18"/>
                <w:szCs w:val="18"/>
                <w:color w:val="auto"/>
              </w:rPr>
              <w:t>Executive Vice President, CFO</w:t>
            </w:r>
          </w:p>
        </w:tc>
        <w:tc>
          <w:tcPr>
            <w:tcW w:w="40" w:type="dxa"/>
            <w:vAlign w:val="bottom"/>
          </w:tcPr>
          <w:p>
            <w:pPr>
              <w:spacing w:after="0"/>
              <w:rPr>
                <w:sz w:val="24"/>
                <w:szCs w:val="24"/>
                <w:color w:val="auto"/>
              </w:rPr>
            </w:pPr>
          </w:p>
        </w:tc>
      </w:tr>
      <w:tr>
        <w:trPr>
          <w:trHeight w:val="432"/>
        </w:trPr>
        <w:tc>
          <w:tcPr>
            <w:tcW w:w="4600" w:type="dxa"/>
            <w:vAlign w:val="bottom"/>
            <w:gridSpan w:val="2"/>
          </w:tcPr>
          <w:p>
            <w:pPr>
              <w:spacing w:after="0"/>
              <w:rPr>
                <w:sz w:val="20"/>
                <w:szCs w:val="20"/>
                <w:color w:val="auto"/>
              </w:rPr>
            </w:pPr>
            <w:r>
              <w:rPr>
                <w:rFonts w:ascii="Arial" w:cs="Arial" w:eastAsia="Arial" w:hAnsi="Arial"/>
                <w:sz w:val="18"/>
                <w:szCs w:val="18"/>
                <w:color w:val="auto"/>
              </w:rPr>
              <w:t>(866) 809-1291</w:t>
            </w:r>
          </w:p>
        </w:tc>
        <w:tc>
          <w:tcPr>
            <w:tcW w:w="2280" w:type="dxa"/>
            <w:vAlign w:val="bottom"/>
          </w:tcPr>
          <w:p>
            <w:pPr>
              <w:ind w:left="1080"/>
              <w:spacing w:after="0"/>
              <w:rPr>
                <w:sz w:val="20"/>
                <w:szCs w:val="20"/>
                <w:color w:val="auto"/>
              </w:rPr>
            </w:pPr>
            <w:r>
              <w:rPr>
                <w:rFonts w:ascii="Arial" w:cs="Arial" w:eastAsia="Arial" w:hAnsi="Arial"/>
                <w:sz w:val="18"/>
                <w:szCs w:val="18"/>
                <w:color w:val="auto"/>
                <w:w w:val="95"/>
              </w:rPr>
              <w:t>(800) 564-3036</w:t>
            </w:r>
          </w:p>
        </w:tc>
        <w:tc>
          <w:tcPr>
            <w:tcW w:w="45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32"/>
        </w:trPr>
        <w:tc>
          <w:tcPr>
            <w:tcW w:w="640" w:type="dxa"/>
            <w:vAlign w:val="bottom"/>
            <w:tcBorders>
              <w:bottom w:val="single" w:sz="8" w:color="auto"/>
            </w:tcBorders>
          </w:tcPr>
          <w:p>
            <w:pPr>
              <w:spacing w:after="0"/>
              <w:rPr>
                <w:sz w:val="24"/>
                <w:szCs w:val="24"/>
                <w:color w:val="auto"/>
              </w:rPr>
            </w:pPr>
          </w:p>
        </w:tc>
        <w:tc>
          <w:tcPr>
            <w:tcW w:w="3960" w:type="dxa"/>
            <w:vAlign w:val="bottom"/>
            <w:tcBorders>
              <w:bottom w:val="single" w:sz="8" w:color="auto"/>
            </w:tcBorders>
          </w:tcPr>
          <w:p>
            <w:pPr>
              <w:spacing w:after="0"/>
              <w:rPr>
                <w:sz w:val="24"/>
                <w:szCs w:val="24"/>
                <w:color w:val="auto"/>
              </w:rPr>
            </w:pPr>
          </w:p>
        </w:tc>
        <w:tc>
          <w:tcPr>
            <w:tcW w:w="2280" w:type="dxa"/>
            <w:vAlign w:val="bottom"/>
            <w:tcBorders>
              <w:bottom w:val="single" w:sz="8" w:color="auto"/>
            </w:tcBorders>
          </w:tcPr>
          <w:p>
            <w:pPr>
              <w:jc w:val="right"/>
              <w:ind w:right="950"/>
              <w:spacing w:after="0"/>
              <w:rPr>
                <w:sz w:val="20"/>
                <w:szCs w:val="20"/>
                <w:color w:val="auto"/>
              </w:rPr>
            </w:pPr>
            <w:r>
              <w:rPr>
                <w:rFonts w:ascii="Arial" w:cs="Arial" w:eastAsia="Arial" w:hAnsi="Arial"/>
                <w:sz w:val="18"/>
                <w:szCs w:val="18"/>
                <w:color w:val="auto"/>
              </w:rPr>
              <w:t>###</w:t>
            </w:r>
          </w:p>
        </w:tc>
        <w:tc>
          <w:tcPr>
            <w:tcW w:w="454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r>
      <w:tr>
        <w:trPr>
          <w:trHeight w:val="237"/>
        </w:trPr>
        <w:tc>
          <w:tcPr>
            <w:tcW w:w="640" w:type="dxa"/>
            <w:vAlign w:val="bottom"/>
          </w:tcPr>
          <w:p>
            <w:pPr>
              <w:spacing w:after="0"/>
              <w:rPr>
                <w:sz w:val="20"/>
                <w:szCs w:val="20"/>
                <w:color w:val="auto"/>
              </w:rPr>
            </w:pPr>
          </w:p>
        </w:tc>
        <w:tc>
          <w:tcPr>
            <w:tcW w:w="3960" w:type="dxa"/>
            <w:vAlign w:val="bottom"/>
          </w:tcPr>
          <w:p>
            <w:pPr>
              <w:ind w:left="1660"/>
              <w:spacing w:after="0"/>
              <w:rPr>
                <w:sz w:val="20"/>
                <w:szCs w:val="20"/>
                <w:color w:val="auto"/>
              </w:rPr>
            </w:pPr>
            <w:r>
              <w:rPr>
                <w:rFonts w:ascii="Arial" w:cs="Arial" w:eastAsia="Arial" w:hAnsi="Arial"/>
                <w:sz w:val="18"/>
                <w:szCs w:val="18"/>
                <w:b w:val="1"/>
                <w:bCs w:val="1"/>
                <w:color w:val="auto"/>
                <w:w w:val="99"/>
              </w:rPr>
              <w:t>333 Clay Street, Suite 1600</w:t>
            </w:r>
          </w:p>
        </w:tc>
        <w:tc>
          <w:tcPr>
            <w:tcW w:w="2280" w:type="dxa"/>
            <w:vAlign w:val="bottom"/>
          </w:tcPr>
          <w:p>
            <w:pPr>
              <w:ind w:left="220"/>
              <w:spacing w:after="0"/>
              <w:rPr>
                <w:sz w:val="20"/>
                <w:szCs w:val="20"/>
                <w:color w:val="auto"/>
              </w:rPr>
            </w:pPr>
            <w:r>
              <w:rPr>
                <w:rFonts w:ascii="Arial" w:cs="Arial" w:eastAsia="Arial" w:hAnsi="Arial"/>
                <w:sz w:val="18"/>
                <w:szCs w:val="18"/>
                <w:b w:val="1"/>
                <w:bCs w:val="1"/>
                <w:color w:val="auto"/>
              </w:rPr>
              <w:t>Houston, Texas 77002</w:t>
            </w:r>
          </w:p>
        </w:tc>
        <w:tc>
          <w:tcPr>
            <w:tcW w:w="4540" w:type="dxa"/>
            <w:vAlign w:val="bottom"/>
          </w:tcPr>
          <w:p>
            <w:pPr>
              <w:jc w:val="right"/>
              <w:ind w:right="2210"/>
              <w:spacing w:after="0"/>
              <w:rPr>
                <w:sz w:val="20"/>
                <w:szCs w:val="20"/>
                <w:color w:val="auto"/>
              </w:rPr>
            </w:pPr>
            <w:r>
              <w:rPr>
                <w:rFonts w:ascii="Arial" w:cs="Arial" w:eastAsia="Arial" w:hAnsi="Arial"/>
                <w:sz w:val="18"/>
                <w:szCs w:val="18"/>
                <w:b w:val="1"/>
                <w:bCs w:val="1"/>
                <w:color w:val="auto"/>
                <w:w w:val="92"/>
              </w:rPr>
              <w:t>713-646-4100 / 800-564-3036</w:t>
            </w:r>
          </w:p>
        </w:tc>
        <w:tc>
          <w:tcPr>
            <w:tcW w:w="40" w:type="dxa"/>
            <w:vAlign w:val="bottom"/>
          </w:tcPr>
          <w:p>
            <w:pPr>
              <w:spacing w:after="0"/>
              <w:rPr>
                <w:sz w:val="20"/>
                <w:szCs w:val="20"/>
                <w:color w:val="auto"/>
              </w:rPr>
            </w:pPr>
          </w:p>
        </w:tc>
      </w:tr>
      <w:tr>
        <w:trPr>
          <w:trHeight w:val="348"/>
        </w:trPr>
        <w:tc>
          <w:tcPr>
            <w:tcW w:w="640" w:type="dxa"/>
            <w:vAlign w:val="bottom"/>
            <w:tcBorders>
              <w:bottom w:val="single" w:sz="8" w:color="010101"/>
            </w:tcBorders>
          </w:tcPr>
          <w:p>
            <w:pPr>
              <w:spacing w:after="0"/>
              <w:rPr>
                <w:sz w:val="24"/>
                <w:szCs w:val="24"/>
                <w:color w:val="auto"/>
              </w:rPr>
            </w:pPr>
          </w:p>
        </w:tc>
        <w:tc>
          <w:tcPr>
            <w:tcW w:w="3960" w:type="dxa"/>
            <w:vAlign w:val="bottom"/>
            <w:tcBorders>
              <w:bottom w:val="single" w:sz="8" w:color="010101"/>
            </w:tcBorders>
          </w:tcPr>
          <w:p>
            <w:pPr>
              <w:spacing w:after="0"/>
              <w:rPr>
                <w:sz w:val="24"/>
                <w:szCs w:val="24"/>
                <w:color w:val="auto"/>
              </w:rPr>
            </w:pPr>
          </w:p>
        </w:tc>
        <w:tc>
          <w:tcPr>
            <w:tcW w:w="2280" w:type="dxa"/>
            <w:vAlign w:val="bottom"/>
            <w:tcBorders>
              <w:bottom w:val="single" w:sz="8" w:color="010101"/>
            </w:tcBorders>
          </w:tcPr>
          <w:p>
            <w:pPr>
              <w:spacing w:after="0"/>
              <w:rPr>
                <w:sz w:val="24"/>
                <w:szCs w:val="24"/>
                <w:color w:val="auto"/>
              </w:rPr>
            </w:pPr>
          </w:p>
        </w:tc>
        <w:tc>
          <w:tcPr>
            <w:tcW w:w="4540" w:type="dxa"/>
            <w:vAlign w:val="bottom"/>
            <w:tcBorders>
              <w:bottom w:val="single" w:sz="8" w:color="010101"/>
            </w:tcBorders>
          </w:tcPr>
          <w:p>
            <w:pPr>
              <w:spacing w:after="0"/>
              <w:rPr>
                <w:sz w:val="24"/>
                <w:szCs w:val="24"/>
                <w:color w:val="auto"/>
              </w:rPr>
            </w:pPr>
          </w:p>
        </w:tc>
        <w:tc>
          <w:tcPr>
            <w:tcW w:w="40" w:type="dxa"/>
            <w:vAlign w:val="bottom"/>
            <w:tcBorders>
              <w:bottom w:val="single" w:sz="8" w:color="010101"/>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sectPr>
      <w:pgSz w:w="11900" w:h="16838" w:orient="portrait"/>
      <w:cols w:equalWidth="0" w:num="1">
        <w:col w:w="11460"/>
      </w:cols>
      <w:pgMar w:left="240" w:top="140" w:right="1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1A7C4C9"/>
    <w:multiLevelType w:val="hybridMultilevel"/>
    <w:lvl w:ilvl="0">
      <w:lvlJc w:val="left"/>
      <w:lvlText w:val="o"/>
      <w:numFmt w:val="bullet"/>
      <w:start w:val="1"/>
    </w:lvl>
  </w:abstractNum>
  <w:abstractNum w:abstractNumId="1">
    <w:nsid w:val="6B68079A"/>
    <w:multiLevelType w:val="hybridMultilevel"/>
    <w:lvl w:ilvl="0">
      <w:lvlJc w:val="left"/>
      <w:lvlText w:val="(%1)"/>
      <w:numFmt w:val="lowerLetter"/>
      <w:start w:val="1"/>
    </w:lvl>
  </w:abstractNum>
  <w:abstractNum w:abstractNumId="2">
    <w:nsid w:val="4E6AFB66"/>
    <w:multiLevelType w:val="hybridMultilevel"/>
    <w:lvl w:ilvl="0">
      <w:lvlJc w:val="left"/>
      <w:lvlText w:val="%1."/>
      <w:numFmt w:val="decimal"/>
      <w:start w:val="2"/>
    </w:lvl>
    <w:lvl w:ilvl="1">
      <w:lvlJc w:val="left"/>
      <w:lvlText w:val="%2"/>
      <w:numFmt w:val="lowerLetter"/>
      <w:start w:val="1"/>
    </w:lvl>
  </w:abstractNum>
  <w:abstractNum w:abstractNumId="3">
    <w:nsid w:val="25E45D32"/>
    <w:multiLevelType w:val="hybridMultilevel"/>
    <w:lvl w:ilvl="0">
      <w:lvlJc w:val="left"/>
      <w:lvlText w:val="%1"/>
      <w:numFmt w:val="lowerLetter"/>
      <w:start w:val="1"/>
    </w:lvl>
    <w:lvl w:ilvl="1">
      <w:lvlJc w:val="left"/>
      <w:lvlText w:val="(%2)"/>
      <w:numFmt w:val="decimal"/>
      <w:start w:val="1"/>
    </w:lvl>
  </w:abstractNum>
  <w:abstractNum w:abstractNumId="4">
    <w:nsid w:val="519B500D"/>
    <w:multiLevelType w:val="hybridMultilevel"/>
    <w:lvl w:ilvl="0">
      <w:lvlJc w:val="left"/>
      <w:lvlText w:val="%1."/>
      <w:numFmt w:val="lowerLetter"/>
      <w:start w:val="2"/>
    </w:lvl>
    <w:lvl w:ilvl="1">
      <w:lvlJc w:val="left"/>
      <w:lvlText w:val="%2"/>
      <w:numFmt w:val="decimal"/>
      <w:start w:val="1"/>
    </w:lvl>
  </w:abstractNum>
  <w:abstractNum w:abstractNumId="5">
    <w:nsid w:val="431BD7B7"/>
    <w:multiLevelType w:val="hybridMultilevel"/>
    <w:lvl w:ilvl="0">
      <w:lvlJc w:val="left"/>
      <w:lvlText w:val="%1"/>
      <w:numFmt w:val="lowerLetter"/>
      <w:start w:val="1"/>
    </w:lvl>
    <w:lvl w:ilvl="1">
      <w:lvlJc w:val="left"/>
      <w:lvlText w:val="(%2)"/>
      <w:numFmt w:val="decimal"/>
      <w:start w:val="1"/>
    </w:lvl>
  </w:abstractNum>
  <w:abstractNum w:abstractNumId="6">
    <w:nsid w:val="3F2DBA31"/>
    <w:multiLevelType w:val="hybridMultilevel"/>
    <w:lvl w:ilvl="0">
      <w:lvlJc w:val="left"/>
      <w:lvlText w:val="%1."/>
      <w:numFmt w:val="lowerLetter"/>
      <w:start w:val="3"/>
    </w:lvl>
    <w:lvl w:ilvl="1">
      <w:lvlJc w:val="left"/>
      <w:lvlText w:val="%2"/>
      <w:numFmt w:val="decimal"/>
      <w:start w:val="1"/>
    </w:lvl>
  </w:abstractNum>
  <w:abstractNum w:abstractNumId="7">
    <w:nsid w:val="7C83E458"/>
    <w:multiLevelType w:val="hybridMultilevel"/>
    <w:lvl w:ilvl="0">
      <w:lvlJc w:val="left"/>
      <w:lvlText w:val="%1"/>
      <w:numFmt w:val="decimal"/>
      <w:start w:val="1"/>
    </w:lvl>
    <w:lvl w:ilvl="1">
      <w:lvlJc w:val="left"/>
      <w:lvlText w:val="(%2)"/>
      <w:numFmt w:val="decimal"/>
      <w:start w:val="1"/>
    </w:lvl>
  </w:abstractNum>
  <w:abstractNum w:abstractNumId="8">
    <w:nsid w:val="257130A3"/>
    <w:multiLevelType w:val="hybridMultilevel"/>
    <w:lvl w:ilvl="0">
      <w:lvlJc w:val="left"/>
      <w:lvlText w:val="%1."/>
      <w:numFmt w:val="decimal"/>
      <w:start w:val="3"/>
    </w:lvl>
    <w:lvl w:ilvl="1">
      <w:lvlJc w:val="left"/>
      <w:lvlText w:val="%2"/>
      <w:numFmt w:val="decimal"/>
      <w:start w:val="1"/>
    </w:lvl>
  </w:abstractNum>
  <w:abstractNum w:abstractNumId="9">
    <w:nsid w:val="62BBD95A"/>
    <w:multiLevelType w:val="hybridMultilevel"/>
    <w:lvl w:ilvl="0">
      <w:lvlJc w:val="left"/>
      <w:lvlText w:val="(%1)"/>
      <w:numFmt w:val="decimal"/>
      <w:start w:val="1"/>
    </w:lvl>
  </w:abstractNum>
  <w:abstractNum w:abstractNumId="10">
    <w:nsid w:val="436C6125"/>
    <w:multiLevelType w:val="hybridMultilevel"/>
    <w:lvl w:ilvl="0">
      <w:lvlJc w:val="left"/>
      <w:lvlText w:val="%1."/>
      <w:numFmt w:val="decimal"/>
      <w:start w:val="5"/>
    </w:lvl>
    <w:lvl w:ilvl="1">
      <w:lvlJc w:val="left"/>
      <w:lvlText w:val="%2."/>
      <w:numFmt w:val="decimal"/>
      <w:start w:val="7"/>
    </w:lvl>
  </w:abstractNum>
  <w:abstractNum w:abstractNumId="11">
    <w:nsid w:val="628C895D"/>
    <w:multiLevelType w:val="hybridMultilevel"/>
    <w:lvl w:ilvl="0">
      <w:lvlJc w:val="left"/>
      <w:lvlText w:val="%1."/>
      <w:numFmt w:val="decimal"/>
      <w:start w:val="8"/>
    </w:lvl>
  </w:abstractNum>
  <w:abstractNum w:abstractNumId="12">
    <w:nsid w:val="333AB105"/>
    <w:multiLevelType w:val="hybridMultilevel"/>
    <w:lvl w:ilvl="0">
      <w:lvlJc w:val="left"/>
      <w:lvlText w:val="%1."/>
      <w:numFmt w:val="decimal"/>
      <w:start w:val="10"/>
    </w:lvl>
  </w:abstractNum>
  <w:abstractNum w:abstractNumId="13">
    <w:nsid w:val="721DA317"/>
    <w:multiLevelType w:val="hybridMultilevel"/>
    <w:lvl w:ilvl="0">
      <w:lvlJc w:val="left"/>
      <w:lvlText w:val="·"/>
      <w:numFmt w:val="bullet"/>
      <w:start w:val="1"/>
    </w:lvl>
    <w:lvl w:ilvl="1">
      <w:lvlJc w:val="left"/>
      <w:lvlText w:val="·"/>
      <w:numFmt w:val="bullet"/>
      <w:start w:val="1"/>
    </w:lvl>
  </w:abstractNum>
  <w:abstractNum w:abstractNumId="14">
    <w:nsid w:val="2443A858"/>
    <w:multiLevelType w:val="hybridMultilevel"/>
    <w:lvl w:ilvl="0">
      <w:lvlJc w:val="left"/>
      <w:lvlText w:val="·"/>
      <w:numFmt w:val="bullet"/>
      <w:start w:val="1"/>
    </w:lvl>
  </w:abstractNum>
  <w:abstractNum w:abstractNumId="15">
    <w:nsid w:val="2D1D5AE9"/>
    <w:multiLevelType w:val="hybridMultilevel"/>
    <w:lvl w:ilvl="0">
      <w:lvlJc w:val="left"/>
      <w:lvlText w:val="·"/>
      <w:numFmt w:val="bullet"/>
      <w:start w:val="1"/>
    </w:lvl>
  </w:abstractNum>
  <w:abstractNum w:abstractNumId="16">
    <w:nsid w:val="6763845E"/>
    <w:multiLevelType w:val="hybridMultilevel"/>
    <w:lvl w:ilvl="0">
      <w:lvlJc w:val="left"/>
      <w:lvlText w:val="(%1)"/>
      <w:numFmt w:val="decimal"/>
      <w:start w:val="1"/>
    </w:lvl>
  </w:abstractNum>
  <w:abstractNum w:abstractNumId="17">
    <w:nsid w:val="75A2A8D4"/>
    <w:multiLevelType w:val="hybridMultilevel"/>
    <w:lvl w:ilvl="0">
      <w:lvlJc w:val="left"/>
      <w:lvlText w:val="(%1)"/>
      <w:numFmt w:val="decimal"/>
      <w:start w:val="1"/>
    </w:lvl>
  </w:abstractNum>
  <w:abstractNum w:abstractNumId="18">
    <w:nsid w:val="8EDBDAB"/>
    <w:multiLevelType w:val="hybridMultilevel"/>
    <w:lvl w:ilvl="0">
      <w:lvlJc w:val="left"/>
      <w:lvlText w:val="%1."/>
      <w:numFmt w:val="decimal"/>
      <w:start w:val="1"/>
    </w:lvl>
  </w:abstractNum>
  <w:abstractNum w:abstractNumId="19">
    <w:nsid w:val="79838CB2"/>
    <w:multiLevelType w:val="hybridMultilevel"/>
    <w:lvl w:ilvl="0">
      <w:lvlJc w:val="left"/>
      <w:lvlText w:val="%1."/>
      <w:numFmt w:val="decimal"/>
      <w:start w:val="5"/>
    </w:lvl>
  </w:abstractNum>
  <w:abstractNum w:abstractNumId="20">
    <w:nsid w:val="4353D0CD"/>
    <w:multiLevelType w:val="hybridMultilevel"/>
    <w:lvl w:ilvl="0">
      <w:lvlJc w:val="left"/>
      <w:lvlText w:val="(%1)"/>
      <w:numFmt w:val="lowerRoman"/>
      <w:start w:val="4"/>
    </w:lvl>
  </w:abstractNum>
  <w:abstractNum w:abstractNumId="21">
    <w:nsid w:val="B03E0C6"/>
    <w:multiLevelType w:val="hybridMultilevel"/>
    <w:lvl w:ilvl="0">
      <w:lvlJc w:val="left"/>
      <w:lvlText w:val="(%1)"/>
      <w:numFmt w:val="decimal"/>
      <w:start w:val="1"/>
    </w:lvl>
  </w:abstractNum>
  <w:abstractNum w:abstractNumId="22">
    <w:nsid w:val="189A769B"/>
    <w:multiLevelType w:val="hybridMultilevel"/>
    <w:lvl w:ilvl="0">
      <w:lvlJc w:val="left"/>
      <w:lvlText w:val="(%1)"/>
      <w:numFmt w:val="decimal"/>
      <w:start w:val="1"/>
    </w:lvl>
  </w:abstractNum>
  <w:abstractNum w:abstractNumId="23">
    <w:nsid w:val="54E49EB4"/>
    <w:multiLevelType w:val="hybridMultilevel"/>
    <w:lvl w:ilvl="0">
      <w:lvlJc w:val="left"/>
      <w:lvlText w:val="(%1)"/>
      <w:numFmt w:val="decimal"/>
      <w:start w:val="1"/>
    </w:lvl>
  </w:abstractNum>
  <w:abstractNum w:abstractNumId="24">
    <w:nsid w:val="71F32454"/>
    <w:multiLevelType w:val="hybridMultilevel"/>
    <w:lvl w:ilvl="0">
      <w:lvlJc w:val="left"/>
      <w:lvlText w:val="(%1)"/>
      <w:numFmt w:val="decimal"/>
      <w:start w:val="1"/>
    </w:lvl>
  </w:abstractNum>
  <w:abstractNum w:abstractNumId="25">
    <w:nsid w:val="2CA88611"/>
    <w:multiLevelType w:val="hybridMultilevel"/>
    <w:lvl w:ilvl="0">
      <w:lvlJc w:val="left"/>
      <w:lvlText w:val="(%1)"/>
      <w:numFmt w:val="decimal"/>
      <w:start w:val="1"/>
    </w:lvl>
  </w:abstractNum>
  <w:abstractNum w:abstractNumId="26">
    <w:nsid w:val="836C40E"/>
    <w:multiLevelType w:val="hybridMultilevel"/>
    <w:lvl w:ilvl="0">
      <w:lvlJc w:val="left"/>
      <w:lvlText w:val="(%1)"/>
      <w:numFmt w:val="decimal"/>
      <w:start w:val="1"/>
    </w:lvl>
  </w:abstractNum>
  <w:abstractNum w:abstractNumId="27">
    <w:nsid w:val="2901D82"/>
    <w:multiLevelType w:val="hybridMultilevel"/>
    <w:lvl w:ilvl="0">
      <w:lvlJc w:val="left"/>
      <w:lvlText w:val="(%1)"/>
      <w:numFmt w:val="decimal"/>
      <w:start w:val="1"/>
    </w:lvl>
  </w:abstractNum>
  <w:abstractNum w:abstractNumId="28">
    <w:nsid w:val="3A95F874"/>
    <w:multiLevelType w:val="hybridMultilevel"/>
    <w:lvl w:ilvl="0">
      <w:lvlJc w:val="left"/>
      <w:lvlText w:val="(%1)"/>
      <w:numFmt w:val="decimal"/>
      <w:start w:val="1"/>
    </w:lvl>
  </w:abstractNum>
  <w:abstractNum w:abstractNumId="29">
    <w:nsid w:val="813864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2020-01-28T04:56:45Z</dcterms:created>
  <dcterms:modified xsi:type="dcterms:W3CDTF">2020-01-28T04:56:45Z</dcterms:modified>
</cp:coreProperties>
</file>