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0227e425.htm"/>
      <w:bookmarkStart w:id="1" w:name="ksh40227e425"/>
      <w:bookmarkEnd w:id="0"/>
      <w:bookmarkEnd w:id="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Filed by Plains All American Pipeline, L.P. (1-14569)</w:t>
        <w:br/>
        <w:t>Pursuant to Rule 425 under the Securities Act of 1933</w:t>
      </w:r>
      <w:r>
        <w:rPr>
          <w:rFonts w:ascii="Times New Roman;Times;serif" w:hAnsi="Times New Roman;Times;serif"/>
          <w:sz w:val="17"/>
        </w:rPr>
        <w:t xml:space="preserve"> </w:t>
      </w:r>
    </w:p>
    <w:p>
      <w:pPr>
        <w:pStyle w:val="TextBody"/>
        <w:spacing w:before="120" w:after="283"/>
        <w:jc w:val="right"/>
        <w:rPr>
          <w:rFonts w:ascii="Times New Roman;Times;serif" w:hAnsi="Times New Roman;Times;serif"/>
          <w:sz w:val="17"/>
        </w:rPr>
      </w:pPr>
      <w:r>
        <w:rPr>
          <w:rFonts w:ascii="Times New Roman;Times;serif" w:hAnsi="Times New Roman;Times;serif"/>
          <w:b/>
          <w:sz w:val="17"/>
        </w:rPr>
        <w:t>Subject Company: Pacific Energy Partners, L.P. (1-31345)</w:t>
        <w:br/>
        <w:t>Commission File No: 333-135712</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9"/>
        <w:gridCol w:w="159"/>
        <w:gridCol w:w="5479"/>
        <w:gridCol w:w="159"/>
        <w:gridCol w:w="3489"/>
      </w:tblGrid>
      <w:tr>
        <w:trPr/>
        <w:tc>
          <w:tcPr>
            <w:tcW w:w="91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547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489" w:type="dxa"/>
            <w:tcBorders/>
            <w:shd w:fill="auto" w:val="clear"/>
            <w:vAlign w:val="bottom"/>
          </w:tcPr>
          <w:p>
            <w:pPr>
              <w:pStyle w:val="TableContents"/>
              <w:spacing w:before="0" w:after="283"/>
              <w:rPr/>
            </w:pPr>
            <w:r>
              <w:rPr/>
              <w:t> </w:t>
            </w:r>
          </w:p>
        </w:tc>
      </w:tr>
      <w:tr>
        <w:trPr/>
        <w:tc>
          <w:tcPr>
            <w:tcW w:w="919"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159" w:type="dxa"/>
            <w:tcBorders/>
            <w:shd w:fill="auto" w:val="clear"/>
            <w:vAlign w:val="bottom"/>
          </w:tcPr>
          <w:p>
            <w:pPr>
              <w:pStyle w:val="TableContents"/>
              <w:spacing w:before="0" w:after="283"/>
              <w:rPr/>
            </w:pPr>
            <w:r>
              <w:rPr/>
              <w:t> </w:t>
            </w:r>
          </w:p>
        </w:tc>
        <w:tc>
          <w:tcPr>
            <w:tcW w:w="5479" w:type="dxa"/>
            <w:tcBorders/>
            <w:shd w:fill="auto" w:val="clear"/>
          </w:tcPr>
          <w:p>
            <w:pPr>
              <w:pStyle w:val="TableContents"/>
              <w:spacing w:before="0" w:after="283"/>
              <w:jc w:val="left"/>
              <w:rPr/>
            </w:pPr>
            <w:r>
              <w:rPr>
                <w:b/>
              </w:rPr>
              <w:t>Phillip D. Kramer</w:t>
            </w:r>
            <w:r>
              <w:rPr/>
              <w:t xml:space="preserve"> </w:t>
            </w:r>
          </w:p>
        </w:tc>
        <w:tc>
          <w:tcPr>
            <w:tcW w:w="159" w:type="dxa"/>
            <w:tcBorders/>
            <w:shd w:fill="auto" w:val="clear"/>
            <w:vAlign w:val="bottom"/>
          </w:tcPr>
          <w:p>
            <w:pPr>
              <w:pStyle w:val="TableContents"/>
              <w:spacing w:before="0" w:after="283"/>
              <w:rPr/>
            </w:pPr>
            <w:r>
              <w:rPr/>
              <w:t> </w:t>
            </w:r>
          </w:p>
        </w:tc>
        <w:tc>
          <w:tcPr>
            <w:tcW w:w="3489" w:type="dxa"/>
            <w:tcBorders/>
            <w:shd w:fill="auto" w:val="clear"/>
          </w:tcPr>
          <w:p>
            <w:pPr>
              <w:pStyle w:val="TableContents"/>
              <w:spacing w:before="0" w:after="283"/>
              <w:jc w:val="left"/>
              <w:rPr>
                <w:b/>
              </w:rPr>
            </w:pPr>
            <w:r>
              <w:rPr>
                <w:b/>
              </w:rPr>
              <w:t>A. Patrick Diamond</w:t>
            </w:r>
          </w:p>
        </w:tc>
      </w:tr>
      <w:tr>
        <w:trPr/>
        <w:tc>
          <w:tcPr>
            <w:tcW w:w="919" w:type="dxa"/>
            <w:tcBorders/>
            <w:shd w:fill="auto" w:val="clear"/>
          </w:tcPr>
          <w:p>
            <w:pPr>
              <w:pStyle w:val="TableContents"/>
              <w:spacing w:before="0" w:after="0"/>
              <w:ind w:left="0" w:right="0" w:hanging="0"/>
              <w:rPr/>
            </w:pPr>
            <w:r>
              <w:rPr/>
              <w:t xml:space="preserve">  </w:t>
            </w:r>
          </w:p>
        </w:tc>
        <w:tc>
          <w:tcPr>
            <w:tcW w:w="159" w:type="dxa"/>
            <w:tcBorders/>
            <w:shd w:fill="auto" w:val="clear"/>
            <w:vAlign w:val="bottom"/>
          </w:tcPr>
          <w:p>
            <w:pPr>
              <w:pStyle w:val="TableContents"/>
              <w:spacing w:before="0" w:after="283"/>
              <w:rPr/>
            </w:pPr>
            <w:r>
              <w:rPr/>
              <w:t> </w:t>
            </w:r>
          </w:p>
        </w:tc>
        <w:tc>
          <w:tcPr>
            <w:tcW w:w="5479" w:type="dxa"/>
            <w:tcBorders/>
            <w:shd w:fill="auto" w:val="clear"/>
          </w:tcPr>
          <w:p>
            <w:pPr>
              <w:pStyle w:val="TableContents"/>
              <w:spacing w:before="0" w:after="283"/>
              <w:jc w:val="left"/>
              <w:rPr/>
            </w:pPr>
            <w:r>
              <w:rPr>
                <w:b/>
              </w:rPr>
              <w:t>Executive Vice President and CFO</w:t>
            </w:r>
            <w:r>
              <w:rPr/>
              <w:t xml:space="preserve"> </w:t>
            </w:r>
          </w:p>
        </w:tc>
        <w:tc>
          <w:tcPr>
            <w:tcW w:w="159" w:type="dxa"/>
            <w:tcBorders/>
            <w:shd w:fill="auto" w:val="clear"/>
            <w:vAlign w:val="bottom"/>
          </w:tcPr>
          <w:p>
            <w:pPr>
              <w:pStyle w:val="TableContents"/>
              <w:spacing w:before="0" w:after="283"/>
              <w:rPr/>
            </w:pPr>
            <w:r>
              <w:rPr/>
              <w:t> </w:t>
            </w:r>
          </w:p>
        </w:tc>
        <w:tc>
          <w:tcPr>
            <w:tcW w:w="3489" w:type="dxa"/>
            <w:tcBorders/>
            <w:shd w:fill="auto" w:val="clear"/>
          </w:tcPr>
          <w:p>
            <w:pPr>
              <w:pStyle w:val="TableContents"/>
              <w:spacing w:before="0" w:after="283"/>
              <w:jc w:val="left"/>
              <w:rPr>
                <w:b/>
              </w:rPr>
            </w:pPr>
            <w:r>
              <w:rPr>
                <w:b/>
              </w:rPr>
              <w:t>Director, Strategic Planning</w:t>
            </w:r>
          </w:p>
        </w:tc>
      </w:tr>
      <w:tr>
        <w:trPr/>
        <w:tc>
          <w:tcPr>
            <w:tcW w:w="919" w:type="dxa"/>
            <w:tcBorders/>
            <w:shd w:fill="auto" w:val="clear"/>
          </w:tcPr>
          <w:p>
            <w:pPr>
              <w:pStyle w:val="TableContents"/>
              <w:spacing w:before="0" w:after="0"/>
              <w:ind w:left="0" w:right="0" w:hanging="0"/>
              <w:rPr/>
            </w:pPr>
            <w:r>
              <w:rPr/>
              <w:t xml:space="preserve">  </w:t>
            </w:r>
          </w:p>
        </w:tc>
        <w:tc>
          <w:tcPr>
            <w:tcW w:w="159" w:type="dxa"/>
            <w:tcBorders/>
            <w:shd w:fill="auto" w:val="clear"/>
            <w:vAlign w:val="bottom"/>
          </w:tcPr>
          <w:p>
            <w:pPr>
              <w:pStyle w:val="TableContents"/>
              <w:spacing w:before="0" w:after="283"/>
              <w:rPr/>
            </w:pPr>
            <w:r>
              <w:rPr/>
              <w:t> </w:t>
            </w:r>
          </w:p>
        </w:tc>
        <w:tc>
          <w:tcPr>
            <w:tcW w:w="5479" w:type="dxa"/>
            <w:tcBorders/>
            <w:shd w:fill="auto" w:val="clear"/>
          </w:tcPr>
          <w:p>
            <w:pPr>
              <w:pStyle w:val="TableContents"/>
              <w:spacing w:before="0" w:after="283"/>
              <w:jc w:val="left"/>
              <w:rPr/>
            </w:pPr>
            <w:r>
              <w:rPr>
                <w:b/>
              </w:rPr>
              <w:t>713/646-4560  800/564-3036</w:t>
            </w:r>
            <w:r>
              <w:rPr/>
              <w:t xml:space="preserve"> </w:t>
            </w:r>
          </w:p>
        </w:tc>
        <w:tc>
          <w:tcPr>
            <w:tcW w:w="159" w:type="dxa"/>
            <w:tcBorders/>
            <w:shd w:fill="auto" w:val="clear"/>
            <w:vAlign w:val="bottom"/>
          </w:tcPr>
          <w:p>
            <w:pPr>
              <w:pStyle w:val="TableContents"/>
              <w:spacing w:before="0" w:after="283"/>
              <w:rPr/>
            </w:pPr>
            <w:r>
              <w:rPr/>
              <w:t> </w:t>
            </w:r>
          </w:p>
        </w:tc>
        <w:tc>
          <w:tcPr>
            <w:tcW w:w="3489" w:type="dxa"/>
            <w:tcBorders/>
            <w:shd w:fill="auto" w:val="clear"/>
          </w:tcPr>
          <w:p>
            <w:pPr>
              <w:pStyle w:val="TableContents"/>
              <w:spacing w:before="0" w:after="283"/>
              <w:jc w:val="left"/>
              <w:rPr>
                <w:b/>
              </w:rPr>
            </w:pPr>
            <w:r>
              <w:rPr>
                <w:b/>
              </w:rPr>
              <w:t>713/646-4487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PAA Provides Status Report on Phase I</w:t>
        <w:br/>
        <w:t>Construction of St. James Terminal and</w:t>
        <w:br/>
        <w:t>Announces Phase II Development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(Houston  October 10, 2006) Plains All American Pipeline, L.P. (NYSE: PAA) today provided a status report on Phase I construction activities for its St. James Terminal facility in Louisiana. PAA also announced today that it is proceeding with the Phase II development of the St. James Terminal facility. Matrix Service Inc. of Tulsa, Oklahoma, will act as contractor for both phases of the project. </w:t>
      </w:r>
    </w:p>
    <w:p>
      <w:pPr>
        <w:pStyle w:val="TextBody"/>
        <w:spacing w:before="120" w:after="283"/>
        <w:jc w:val="left"/>
        <w:rPr/>
      </w:pPr>
      <w:r>
        <w:rPr/>
        <w:t>     </w:t>
      </w:r>
      <w:r>
        <w:rPr>
          <w:rFonts w:ascii="Times New Roman;Times;serif" w:hAnsi="Times New Roman;Times;serif"/>
          <w:sz w:val="17"/>
        </w:rPr>
        <w:t xml:space="preserve">The initial construction of the St. James Terminal, referred to as the Phase I development, commenced in mid-2005. The facility is anticipated to become operational during the first quarter of 2007 at a total cost of approximately $93 million. Phase I consists of seven crude oil storage tanks with an aggregate shell capacity of approximately 3.5 million barrels along with the manifold and pumping system. </w:t>
      </w:r>
    </w:p>
    <w:p>
      <w:pPr>
        <w:pStyle w:val="TextBody"/>
        <w:spacing w:before="120" w:after="283"/>
        <w:jc w:val="left"/>
        <w:rPr/>
      </w:pPr>
      <w:r>
        <w:rPr/>
        <w:t>     </w:t>
      </w:r>
      <w:r>
        <w:rPr>
          <w:rFonts w:ascii="Times New Roman;Times;serif" w:hAnsi="Times New Roman;Times;serif"/>
          <w:sz w:val="17"/>
        </w:rPr>
        <w:t xml:space="preserve">Under the Phase II project, Plains will construct approximately 2.7 million barrels of additional tankage at its crude oil storage and terminalling facility in St. James, Louisiana. The Phase II project will expand the total capacity of the facility to 6.2 million barrels and is expected to cost approximately $64 million. The Partnership estimates that the Phase II tankage will become operational during the first quarter of 2008. </w:t>
      </w:r>
    </w:p>
    <w:p>
      <w:pPr>
        <w:pStyle w:val="TextBody"/>
        <w:spacing w:before="120" w:after="283"/>
        <w:jc w:val="left"/>
        <w:rPr/>
      </w:pPr>
      <w:r>
        <w:rPr/>
        <w:t>     </w:t>
      </w:r>
      <w:r>
        <w:rPr>
          <w:rFonts w:ascii="Times New Roman;Times;serif" w:hAnsi="Times New Roman;Times;serif"/>
          <w:sz w:val="17"/>
        </w:rPr>
        <w:t xml:space="preserve">Plains All American continues to invest in strategically located storage assets that we believe are well positioned to benefit from long-term trends in the energy industry, said Greg L. Armstrong, Chairman and Chief Executive Officer of the Partnership. We believe that foreign imports will continue to increase as a result of increased U.S. crude oil consumption and domestic crude oil production declines. Our St. James Terminal is ideally located to support our foreign crude oil import activities and will strengthen our ability to provide our refinery customers with foreign crude oil supply alternatives. </w:t>
      </w:r>
    </w:p>
    <w:tbl>
      <w:tblPr>
        <w:tblW w:w="5000" w:type="pct"/>
        <w:jc w:val="center"/>
        <w:tblInd w:w="0" w:type="dxa"/>
        <w:tblCellMar>
          <w:top w:w="0" w:type="dxa"/>
          <w:left w:w="0" w:type="dxa"/>
          <w:bottom w:w="0" w:type="dxa"/>
          <w:right w:w="0" w:type="dxa"/>
        </w:tblCellMar>
      </w:tblPr>
      <w:tblGrid>
        <w:gridCol w:w="3571"/>
        <w:gridCol w:w="102"/>
        <w:gridCol w:w="3062"/>
        <w:gridCol w:w="102"/>
        <w:gridCol w:w="3368"/>
      </w:tblGrid>
      <w:tr>
        <w:trPr/>
        <w:tc>
          <w:tcPr>
            <w:tcW w:w="35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pPr>
            <w:r>
              <w:rPr/>
              <w:t> </w:t>
            </w:r>
          </w:p>
        </w:tc>
      </w:tr>
      <w:tr>
        <w:trPr/>
        <w:tc>
          <w:tcPr>
            <w:tcW w:w="3571" w:type="dxa"/>
            <w:tcBorders/>
            <w:shd w:fill="auto" w:val="clear"/>
          </w:tcPr>
          <w:p>
            <w:pPr>
              <w:pStyle w:val="TableContents"/>
              <w:spacing w:before="0" w:after="283"/>
              <w:jc w:val="right"/>
              <w:rPr/>
            </w:pPr>
            <w:r>
              <w:rPr>
                <w:b/>
              </w:rPr>
              <w:t>333 Clay Street, Suite 1600</w:t>
            </w:r>
            <w:r>
              <w:rPr/>
              <w:t xml:space="preserve"> </w:t>
            </w:r>
          </w:p>
        </w:tc>
        <w:tc>
          <w:tcPr>
            <w:tcW w:w="102"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Houston, Texas 77002</w:t>
            </w:r>
            <w:r>
              <w:rPr/>
              <w:t xml:space="preserve"> </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left"/>
              <w:rPr>
                <w:b/>
              </w:rPr>
            </w:pPr>
            <w:r>
              <w:rPr>
                <w:b/>
              </w:rPr>
              <w:t>713-646-4100 / 800-564-3036</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Armstrong noted that the Partnership preliminarily anticipates spending approximately $20 million to $22 million of the $64 million capital cost during 2006, with the majority of the remaining expenditures to be spent in 2007. </w:t>
      </w:r>
    </w:p>
    <w:p>
      <w:pPr>
        <w:pStyle w:val="TextBody"/>
        <w:spacing w:before="120" w:after="283"/>
        <w:jc w:val="left"/>
        <w:rPr/>
      </w:pPr>
      <w:r>
        <w:rPr/>
        <w:t>     </w:t>
      </w:r>
      <w:r>
        <w:rPr>
          <w:rFonts w:ascii="Times New Roman;Times;serif" w:hAnsi="Times New Roman;Times;serif"/>
          <w:sz w:val="17"/>
        </w:rPr>
        <w:t xml:space="preserve">Upon completion of the Phase II development, Plains All Americans St. James Terminal Facility will consist of one 210,000 barrel tank, four 480,000 barrel tanks, six 670,000 barrel tanks and a manifold and pumping system capable of receiving and delivering crude oil at the mainline flow rates of connecting carriers. </w:t>
      </w:r>
    </w:p>
    <w:p>
      <w:pPr>
        <w:pStyle w:val="TextBody"/>
        <w:spacing w:before="120" w:after="283"/>
        <w:jc w:val="left"/>
        <w:rPr/>
      </w:pPr>
      <w:r>
        <w:rPr/>
        <w:t>     </w:t>
      </w:r>
      <w:r>
        <w:rPr>
          <w:rFonts w:ascii="Times New Roman;Times;serif" w:hAnsi="Times New Roman;Times;serif"/>
          <w:sz w:val="17"/>
        </w:rPr>
        <w:t xml:space="preserve">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Investor Notice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has filed with the Securities and Exchange Commission a registration statement on Form S-4 (as the same may be supplemented or amended, Registration No. 333-135712) containing a joint proxy statement/prospectus of Plains All American Pipeline, L.P. and Pacific Energy Partners, L.P. and other documents in relation to this transaction. </w:t>
      </w:r>
      <w:r>
        <w:rPr>
          <w:rFonts w:ascii="Times New Roman;Times;serif" w:hAnsi="Times New Roman;Times;serif"/>
          <w:b/>
          <w:sz w:val="17"/>
        </w:rPr>
        <w:t xml:space="preserve">Investors and security holders are urged to read these documents carefully because they contain important information regarding Plains All American Pipeline, L.P., Pacific Energy Partners, L.P. and the merger. </w:t>
      </w:r>
      <w:r>
        <w:rPr>
          <w:rFonts w:ascii="Times New Roman;Times;serif" w:hAnsi="Times New Roman;Times;serif"/>
          <w:sz w:val="17"/>
        </w:rPr>
        <w:t xml:space="preserve">The joint proxy statement/prospectus will be sent to security holders of Plains All American Pipeline, L.P. and Pacific Energy Partners, L.P. seeking their approval of the transactions contemplated by the merger agreement. Investors and security holders may obtain a free copy of the joint proxy statement/prospectus and other documents containing information about Plains All American Pipeline, L.P. and Pacific Energy Partners, L.P., without charge, at the SECs website at </w:t>
      </w:r>
      <w:r>
        <w:rPr>
          <w:rFonts w:ascii="Times New Roman;Times;serif" w:hAnsi="Times New Roman;Times;serif"/>
          <w:sz w:val="17"/>
          <w:u w:val="single"/>
        </w:rPr>
        <w:t>www.sec.gov</w:t>
      </w:r>
      <w:r>
        <w:rPr>
          <w:rFonts w:ascii="Times New Roman;Times;serif" w:hAnsi="Times New Roman;Times;serif"/>
          <w:sz w:val="17"/>
        </w:rPr>
        <w:t xml:space="preserve">. Copies of the joint proxy statement/prospectus and the SEC filings incorporated by reference in the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t>
      </w:r>
      <w:r>
        <w:rPr>
          <w:rFonts w:ascii="Times New Roman;Times;serif" w:hAnsi="Times New Roman;Times;serif"/>
          <w:sz w:val="17"/>
          <w:u w:val="single"/>
        </w:rPr>
        <w:t>www.paalp.com</w:t>
      </w:r>
      <w:r>
        <w:rPr>
          <w:rFonts w:ascii="Times New Roman;Times;serif" w:hAnsi="Times New Roman;Times;serif"/>
          <w:sz w:val="17"/>
        </w:rPr>
        <w:t xml:space="preserve">, and information regarding Pacific Energy Partners can be obtained by contacting its investor relations department at 562-728-2871 or by accessing its website at </w:t>
      </w:r>
      <w:r>
        <w:rPr>
          <w:rFonts w:ascii="Times New Roman;Times;serif" w:hAnsi="Times New Roman;Times;serif"/>
          <w:sz w:val="17"/>
          <w:u w:val="single"/>
        </w:rPr>
        <w:t>www.PacificEnergy.com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t>
      </w:r>
    </w:p>
    <w:tbl>
      <w:tblPr>
        <w:tblW w:w="5000" w:type="pct"/>
        <w:jc w:val="center"/>
        <w:tblInd w:w="0" w:type="dxa"/>
        <w:tblCellMar>
          <w:top w:w="0" w:type="dxa"/>
          <w:left w:w="0" w:type="dxa"/>
          <w:bottom w:w="0" w:type="dxa"/>
          <w:right w:w="0" w:type="dxa"/>
        </w:tblCellMar>
      </w:tblPr>
      <w:tblGrid>
        <w:gridCol w:w="3571"/>
        <w:gridCol w:w="102"/>
        <w:gridCol w:w="3062"/>
        <w:gridCol w:w="102"/>
        <w:gridCol w:w="3368"/>
      </w:tblGrid>
      <w:tr>
        <w:trPr/>
        <w:tc>
          <w:tcPr>
            <w:tcW w:w="35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pPr>
            <w:r>
              <w:rPr/>
              <w:t> </w:t>
            </w:r>
          </w:p>
        </w:tc>
      </w:tr>
      <w:tr>
        <w:trPr/>
        <w:tc>
          <w:tcPr>
            <w:tcW w:w="3571" w:type="dxa"/>
            <w:tcBorders/>
            <w:shd w:fill="auto" w:val="clear"/>
          </w:tcPr>
          <w:p>
            <w:pPr>
              <w:pStyle w:val="TableContents"/>
              <w:spacing w:before="0" w:after="283"/>
              <w:jc w:val="center"/>
              <w:rPr/>
            </w:pPr>
            <w:r>
              <w:rPr>
                <w:b/>
              </w:rPr>
              <w:t>333 Clay Street, Suite 1600</w:t>
            </w:r>
            <w:r>
              <w:rPr/>
              <w:t xml:space="preserve"> </w:t>
            </w:r>
          </w:p>
        </w:tc>
        <w:tc>
          <w:tcPr>
            <w:tcW w:w="102"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Houston, Texas 77002</w:t>
            </w:r>
            <w:r>
              <w:rPr/>
              <w:t xml:space="preserve"> </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center"/>
              <w:rPr>
                <w:b/>
              </w:rPr>
            </w:pPr>
            <w:r>
              <w:rPr>
                <w:b/>
              </w:rPr>
              <w:t>713-646-4100 / 800-564-3036</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 Looking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Certain statements made herein are forward-looking statements under the Private Securities Litigation Reform Act of 1995. They include statements regarding the expected timing, cost, capacity and benefits of the St. James Terminal Facility expansion project. These statements are based on managements current expectations and estimates; actual results may differ materially due to certain risks and uncertainties. These risks and uncertainties include, among other things, unanticipated shortages or cost increases in power supplies, materials and skilled labor, weather interference with business operations or project construction, disruption of Gulf Coast and foreign crude oil supplies, and other factors and uncertainties inherent in the marketing, transportation, terminalling, gathering and storage of crude oil. Other risks and uncertainties that may affect actual results include refinery downtime, continued creditworthiness of, and performance by, our counterparties, unusual weather patterns, the effects of competition, the success of our risk management activities, commodity price fluctuations, regulatory changes, and other factors and uncertainties inherent in the Partnerships business as discussed in the Partnerships Annual Report on Form 10-K for the year ended December 31, 2005, Quarterly Report on Form 10-Q for the quarter ended June 30, 2006 and other filings with the Securities and Exchange Commission.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571"/>
        <w:gridCol w:w="102"/>
        <w:gridCol w:w="3062"/>
        <w:gridCol w:w="102"/>
        <w:gridCol w:w="3368"/>
      </w:tblGrid>
      <w:tr>
        <w:trPr/>
        <w:tc>
          <w:tcPr>
            <w:tcW w:w="35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pPr>
            <w:r>
              <w:rPr/>
              <w:t> </w:t>
            </w:r>
          </w:p>
        </w:tc>
      </w:tr>
      <w:tr>
        <w:trPr/>
        <w:tc>
          <w:tcPr>
            <w:tcW w:w="3571" w:type="dxa"/>
            <w:tcBorders/>
            <w:shd w:fill="auto" w:val="clear"/>
          </w:tcPr>
          <w:p>
            <w:pPr>
              <w:pStyle w:val="TableContents"/>
              <w:spacing w:before="0" w:after="283"/>
              <w:jc w:val="center"/>
              <w:rPr/>
            </w:pPr>
            <w:r>
              <w:rPr>
                <w:b/>
              </w:rPr>
              <w:t>333 Clay Street, Suite 1600</w:t>
            </w:r>
            <w:r>
              <w:rPr/>
              <w:t xml:space="preserve"> </w:t>
            </w:r>
          </w:p>
        </w:tc>
        <w:tc>
          <w:tcPr>
            <w:tcW w:w="102"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Houston, Texas 77002</w:t>
            </w:r>
            <w:r>
              <w:rPr/>
              <w:t xml:space="preserve"> </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center"/>
              <w:rPr>
                <w:b/>
              </w:rPr>
            </w:pPr>
            <w:r>
              <w:rPr>
                <w:b/>
              </w:rPr>
              <w:t>713-646-4100 / 800-564-3036</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1197</Words>
  <CharactersWithSpaces>8022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e425</dc:title>
</cp:coreProperties>
</file>