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19"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333 Clay Street, Suite 1600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646-4100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On April 23, 2014, the registrant’s consolidated subsidiaries, Plains All American Pipeline, L.P. (“PAA”) and PAA Finance Corp. (together with PAA, the “Issuers”), completed the public offering of $700 million aggregate principal amount of 4.70% Senior Notes due 2044 (the “Notes”).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Twenty-Fifth Supplemental Indenture between the Issuers and the Trustee (the “Supplemental Indenture”).</w:t>
      </w:r>
    </w:p>
    <w:p>
      <w:pPr>
        <w:spacing w:after="0" w:line="166"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Notes will mature on June 15, 2044. Interest is payable on the Notes on each June 15 and December 15, commencing on December 15, 2014. The Issuers may redeem some or all of the Notes at any time and from time to time prior to maturity at the redemption prices specified in the Indenture.</w:t>
      </w:r>
    </w:p>
    <w:p>
      <w:pPr>
        <w:spacing w:after="0" w:line="12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contains customary events of default with respect to the Notes of either series, including:</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PAA to comply with its obligations under the Indenture, in certain cases subject to notice and grace periods;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PAA and its Subsidiaries (as defined in the Indenture) in the aggregate principal amount of $25.0 million or more;</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PAA or, if and so long as the Notes of that series are guaranteed by a subsidiary guarantor, by such subsidiary guarantor;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guarantee by such subsidiary guarantor ceases to be in full force and effect, except as otherwise provided in the Indenture;</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April 15, 2014, as filed by PAA with the Commission on April 16, 2014. The foregoing descriptions of the Indenture and the Notes are qualified in their entirety by reference to such Indenture (including the form of Notes attached thereto). A copy of the Supplemental Indenture is filed herewith as Exhibit 4.1 and is incorporated herein by reference.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5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10800" w:type="dxa"/>
            <w:vAlign w:val="bottom"/>
            <w:gridSpan w:val="3"/>
          </w:tcPr>
          <w:p>
            <w:pPr>
              <w:ind w:left="5460"/>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303"/>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Twenty-Fifth Supplemental Indenture, dated April 23, 2014, by and among Plains All American Pipeline, L.P., PAA Finance Corp., and U.S.</w:t>
            </w:r>
          </w:p>
        </w:tc>
      </w:tr>
      <w:tr>
        <w:trPr>
          <w:trHeight w:val="230"/>
        </w:trPr>
        <w:tc>
          <w:tcPr>
            <w:tcW w:w="480" w:type="dxa"/>
            <w:vAlign w:val="bottom"/>
          </w:tcPr>
          <w:p>
            <w:pPr>
              <w:spacing w:after="0"/>
              <w:rPr>
                <w:sz w:val="20"/>
                <w:szCs w:val="20"/>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Form of 4.70% Senior Notes due 2044 (included in Exhibit 4.1).</w:t>
            </w:r>
          </w:p>
        </w:tc>
      </w:tr>
      <w:tr>
        <w:trPr>
          <w:trHeight w:val="365"/>
        </w:trPr>
        <w:tc>
          <w:tcPr>
            <w:tcW w:w="480" w:type="dxa"/>
            <w:vAlign w:val="bottom"/>
          </w:tcPr>
          <w:p>
            <w:pPr>
              <w:spacing w:after="0"/>
              <w:rPr>
                <w:sz w:val="24"/>
                <w:szCs w:val="24"/>
                <w:color w:val="auto"/>
              </w:rPr>
            </w:pPr>
          </w:p>
        </w:tc>
        <w:tc>
          <w:tcPr>
            <w:tcW w:w="5480" w:type="dxa"/>
            <w:vAlign w:val="bottom"/>
          </w:tcPr>
          <w:p>
            <w:pPr>
              <w:ind w:left="518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280"/>
          </w:cols>
          <w:pgMar w:left="240" w:top="27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PAA GP HOLDINGS LLC, its general partner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McGee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80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5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10800" w:type="dxa"/>
            <w:vAlign w:val="bottom"/>
            <w:gridSpan w:val="3"/>
          </w:tcPr>
          <w:p>
            <w:pPr>
              <w:ind w:left="5460"/>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303"/>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Twenty-Fifth Supplemental Indenture, dated April 22, 2014, by and among Plains All American Pipeline, L.P., PAA Finance Corp., and U.S.</w:t>
            </w:r>
          </w:p>
        </w:tc>
      </w:tr>
      <w:tr>
        <w:trPr>
          <w:trHeight w:val="230"/>
        </w:trPr>
        <w:tc>
          <w:tcPr>
            <w:tcW w:w="480" w:type="dxa"/>
            <w:vAlign w:val="bottom"/>
          </w:tcPr>
          <w:p>
            <w:pPr>
              <w:spacing w:after="0"/>
              <w:rPr>
                <w:sz w:val="20"/>
                <w:szCs w:val="20"/>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Form of 4.70% Senior Notes due 2044 (included in Exhibit 4.1).</w:t>
            </w:r>
          </w:p>
        </w:tc>
      </w:tr>
    </w:tbl>
    <w:p>
      <w:pPr>
        <w:ind w:left="660"/>
        <w:spacing w:after="0"/>
        <w:rPr>
          <w:sz w:val="20"/>
          <w:szCs w:val="20"/>
          <w:color w:val="auto"/>
        </w:rPr>
        <w:sectPr>
          <w:pgSz w:w="11900" w:h="16838" w:orient="portrait"/>
          <w:cols w:equalWidth="0" w:num="1">
            <w:col w:w="11280"/>
          </w:cols>
          <w:pgMar w:left="240" w:top="270" w:right="3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PLAINS ALL AMERICAN PIPELINE, L.P.</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PAA FINANCE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$700,000,000</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4.70% SENIOR NOTES DUE 2044</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TWENTY-FIFTH</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April 23,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280" w:type="dxa"/>
            <w:vAlign w:val="bottom"/>
          </w:tcPr>
          <w:p>
            <w:pPr>
              <w:spacing w:after="0"/>
              <w:rPr>
                <w:sz w:val="17"/>
                <w:szCs w:val="17"/>
                <w:color w:val="auto"/>
              </w:rPr>
            </w:pPr>
          </w:p>
        </w:tc>
      </w:tr>
      <w:tr>
        <w:trPr>
          <w:trHeight w:val="465"/>
        </w:trPr>
        <w:tc>
          <w:tcPr>
            <w:tcW w:w="4800" w:type="dxa"/>
            <w:vAlign w:val="bottom"/>
          </w:tcPr>
          <w:p>
            <w:pPr>
              <w:spacing w:after="0"/>
              <w:rPr>
                <w:sz w:val="20"/>
                <w:szCs w:val="20"/>
                <w:color w:val="auto"/>
              </w:rPr>
            </w:pPr>
            <w:r>
              <w:rPr>
                <w:rFonts w:ascii="Arial" w:cs="Arial" w:eastAsia="Arial" w:hAnsi="Arial"/>
                <w:sz w:val="18"/>
                <w:szCs w:val="18"/>
                <w:color w:val="auto"/>
              </w:rPr>
              <w:t>ARTICLE I</w:t>
            </w:r>
          </w:p>
        </w:tc>
        <w:tc>
          <w:tcPr>
            <w:tcW w:w="182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1.01 Establishment</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II DEFINITIONS AND INCORPORATION BY REFERENCE</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2.01 Definitions</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2.02 Other Definitions</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III THE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3.01 Form</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3.02 Issuance of Additional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3.03 Global Security Legend</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IV REDEMPTION AND PREPAYMENT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4.01 Optional Redemption</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V COVENANTS</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5.01. Compliance Certificate</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5.02. Limitations on Liens</w:t>
            </w: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5.03. Restriction of Sale-leaseback Transactions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5.04. SEC Reports; Financial Statements</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5.05. Subsidiary Guarantees</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VI SUCCESSORS</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6.01. Consolidation and Mergers of the Issuers</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6.02. Rights and Duties of Successor</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6.03. Supplemental Indenture</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VII DEFAULTS AND REMEDIES</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7.01. Events of Default</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8.02. Legal Defeasance and Discharge</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8.03.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8.04. Conditions to Legal or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8.05. Deposited Money and U.S. Government Obligations to be Held in Trust; Other Miscellaneous Provisions</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8.06. Repayment to Issuers</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8.07. Reinstatement</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IX SUBSIDIARY GUARANTEES</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9.01. Subsidiary Guarantees</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9.02. Limitation on Liability</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9.03. Successors and Assigns</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9.04. No Waiver</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20</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9.05. Modification</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20</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9.06. Execution of Supplemental Indenture for Future Subsidiary Guarantors</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230"/>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9.07. Release of Guarantee</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310"/>
        </w:trPr>
        <w:tc>
          <w:tcPr>
            <w:tcW w:w="880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10.01. Additional Amendments</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10.02. Integral Part</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10.03. Adoption, Ratification and Confirmation</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22</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10.04. Counterparts</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22</w:t>
            </w:r>
          </w:p>
        </w:tc>
      </w:tr>
      <w:tr>
        <w:trPr>
          <w:trHeight w:val="230"/>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10.05. Governing Law</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22</w:t>
            </w:r>
          </w:p>
        </w:tc>
      </w:tr>
      <w:tr>
        <w:trPr>
          <w:trHeight w:val="431"/>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7680" w:type="dxa"/>
            <w:vAlign w:val="bottom"/>
          </w:tcPr>
          <w:p>
            <w:pPr>
              <w:ind w:left="200"/>
              <w:spacing w:after="0"/>
              <w:rPr>
                <w:sz w:val="20"/>
                <w:szCs w:val="20"/>
                <w:color w:val="auto"/>
              </w:rPr>
            </w:pPr>
            <w:r>
              <w:rPr>
                <w:rFonts w:ascii="Arial" w:cs="Arial" w:eastAsia="Arial" w:hAnsi="Arial"/>
                <w:sz w:val="18"/>
                <w:szCs w:val="18"/>
                <w:color w:val="auto"/>
              </w:rPr>
              <w:t>Form of Note</w:t>
            </w:r>
          </w:p>
        </w:tc>
        <w:tc>
          <w:tcPr>
            <w:tcW w:w="2580" w:type="dxa"/>
            <w:vAlign w:val="bottom"/>
          </w:tcPr>
          <w:p>
            <w:pPr>
              <w:jc w:val="center"/>
              <w:ind w:left="2210"/>
              <w:spacing w:after="0"/>
              <w:rPr>
                <w:sz w:val="20"/>
                <w:szCs w:val="20"/>
                <w:color w:val="auto"/>
              </w:rPr>
            </w:pPr>
            <w:r>
              <w:rPr>
                <w:rFonts w:ascii="Arial" w:cs="Arial" w:eastAsia="Arial" w:hAnsi="Arial"/>
                <w:sz w:val="18"/>
                <w:szCs w:val="18"/>
                <w:color w:val="auto"/>
                <w:w w:val="99"/>
              </w:rPr>
              <w:t>A-1</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7680" w:type="dxa"/>
            <w:vAlign w:val="bottom"/>
          </w:tcPr>
          <w:p>
            <w:pPr>
              <w:ind w:left="200"/>
              <w:spacing w:after="0"/>
              <w:rPr>
                <w:sz w:val="20"/>
                <w:szCs w:val="20"/>
                <w:color w:val="auto"/>
              </w:rPr>
            </w:pPr>
            <w:r>
              <w:rPr>
                <w:rFonts w:ascii="Arial" w:cs="Arial" w:eastAsia="Arial" w:hAnsi="Arial"/>
                <w:sz w:val="18"/>
                <w:szCs w:val="18"/>
                <w:color w:val="auto"/>
              </w:rPr>
              <w:t>Form of Supplemental Indenture</w:t>
            </w:r>
          </w:p>
        </w:tc>
        <w:tc>
          <w:tcPr>
            <w:tcW w:w="2580" w:type="dxa"/>
            <w:vAlign w:val="bottom"/>
          </w:tcPr>
          <w:p>
            <w:pPr>
              <w:jc w:val="center"/>
              <w:ind w:left="2210"/>
              <w:spacing w:after="0"/>
              <w:rPr>
                <w:sz w:val="20"/>
                <w:szCs w:val="20"/>
                <w:color w:val="auto"/>
              </w:rPr>
            </w:pPr>
            <w:r>
              <w:rPr>
                <w:rFonts w:ascii="Arial" w:cs="Arial" w:eastAsia="Arial" w:hAnsi="Arial"/>
                <w:sz w:val="18"/>
                <w:szCs w:val="18"/>
                <w:color w:val="auto"/>
                <w:w w:val="99"/>
              </w:rPr>
              <w:t>B-1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274" w:right="279" w:bottom="1440" w:gutter="0" w:footer="0" w:header="0"/>
        </w:sectPr>
      </w:pPr>
    </w:p>
    <w:bookmarkStart w:id="8" w:name="page9"/>
    <w:bookmarkEnd w:id="8"/>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TWENTY-FIFTH SUPPLEMENTAL INDENTURE dated as of April 23, 2014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WHEREAS, the Issuers have heretofore entered into an Indenture, dated as of September 25, 2002 (the “Original Indenture”), with U.S. Bank National Association (successor to Wachovia Bank, National Association), as trustee;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Issuers propose to create under the Indenture a new series of Debt Securities;</w:t>
      </w:r>
    </w:p>
    <w:p>
      <w:pPr>
        <w:spacing w:after="0" w:line="225"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2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ectPr>
          <w:pgSz w:w="11900" w:h="16838" w:orient="portrait"/>
          <w:cols w:equalWidth="0" w:num="1">
            <w:col w:w="11340"/>
          </w:cols>
          <w:pgMar w:left="240" w:top="274" w:right="31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Establishment</w:t>
      </w:r>
      <w:r>
        <w:rPr>
          <w:rFonts w:ascii="Arial" w:cs="Arial" w:eastAsia="Arial" w:hAnsi="Arial"/>
          <w:sz w:val="18"/>
          <w:szCs w:val="18"/>
          <w:color w:val="auto"/>
        </w:rPr>
        <w:t>. There is hereby established a new series of Debt Securities to be issued under the Indenture, to be designated as the Issuers’ 4.70% Senior Notes due 2044 (the “Notes”). Initially, there will be no Subsidiary Guarantors for the Notes.</w:t>
      </w:r>
    </w:p>
    <w:p>
      <w:pPr>
        <w:spacing w:after="0" w:line="62" w:lineRule="exact"/>
        <w:rPr>
          <w:sz w:val="20"/>
          <w:szCs w:val="20"/>
          <w:color w:val="auto"/>
        </w:rPr>
      </w:pPr>
    </w:p>
    <w:p>
      <w:pPr>
        <w:ind w:right="20" w:firstLine="921"/>
        <w:spacing w:after="0" w:line="277" w:lineRule="auto"/>
        <w:tabs>
          <w:tab w:leader="none" w:pos="115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are to be authenticated and delivered $700,000,000 principal amount of Notes on the Issue Date, and from time to time thereafter there may be authenticated and delivered an unlimited principal amount of Additional Notes.</w:t>
      </w:r>
    </w:p>
    <w:p>
      <w:pPr>
        <w:spacing w:after="0" w:line="62" w:lineRule="exact"/>
        <w:rPr>
          <w:rFonts w:ascii="Arial" w:cs="Arial" w:eastAsia="Arial" w:hAnsi="Arial"/>
          <w:sz w:val="18"/>
          <w:szCs w:val="18"/>
          <w:color w:val="auto"/>
        </w:rPr>
      </w:pPr>
    </w:p>
    <w:p>
      <w:pPr>
        <w:ind w:right="360" w:firstLine="921"/>
        <w:spacing w:after="0" w:line="277" w:lineRule="auto"/>
        <w:tabs>
          <w:tab w:leader="none" w:pos="11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shall be issued initially in the form of one or more Global Securities in substantially the form set out in Exhibit A hereto. The Depositary with respect to the Notes shall be The Depository Trust Company.</w:t>
      </w:r>
    </w:p>
    <w:p>
      <w:pPr>
        <w:spacing w:after="0" w:line="62"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62" w:lineRule="exact"/>
        <w:rPr>
          <w:rFonts w:ascii="Arial" w:cs="Arial" w:eastAsia="Arial" w:hAnsi="Arial"/>
          <w:sz w:val="18"/>
          <w:szCs w:val="18"/>
          <w:color w:val="auto"/>
        </w:rPr>
      </w:pPr>
    </w:p>
    <w:p>
      <w:pPr>
        <w:ind w:right="900" w:firstLine="921"/>
        <w:spacing w:after="0" w:line="277" w:lineRule="auto"/>
        <w:tabs>
          <w:tab w:leader="none" w:pos="116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Definitions</w:t>
      </w:r>
      <w:r>
        <w:rPr>
          <w:rFonts w:ascii="Arial" w:cs="Arial" w:eastAsia="Arial" w:hAnsi="Arial"/>
          <w:sz w:val="16"/>
          <w:szCs w:val="16"/>
          <w:color w:val="auto"/>
        </w:rPr>
        <w:t>. All capitalized terms used herein and not otherwise defined below shall have the meanings ascribed thereto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Original Indenture. The following are additional definitions used in this Supplemental Indenture:</w:t>
      </w:r>
    </w:p>
    <w:p>
      <w:pPr>
        <w:spacing w:after="0" w:line="211"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5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0" w:name="page11"/>
    <w:bookmarkEnd w:id="10"/>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81"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“Guarantee” means a guarantee of the Notes given by a Subsidiary Guarantor pursuant to the Indenture, including any future obligations under Article IX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“General Partner” means PAA GP LLC, a Delaware limited liability company, and its successors and permitted assigns as general partner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 Date” means, with respect to the Notes, the date on which the Notes are initially issued.</w:t>
      </w:r>
    </w:p>
    <w:p>
      <w:pPr>
        <w:spacing w:after="0" w:line="225"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“Notes” has the meaning assigned to it in Section 1.01(a) hereof, and includes both the Notes issued on the Issue Date and any Additional Notes issued thereafter.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 w:name="page12"/>
    <w:bookmarkEnd w:id="11"/>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means any principal, interest, liquidated damages, penalties, fees, indemnifications, reimbursement obligations, damages and other liabilities payable under the documentation governing any Debt.</w:t>
      </w:r>
    </w:p>
    <w:p>
      <w:pPr>
        <w:spacing w:after="0" w:line="170" w:lineRule="exact"/>
        <w:rPr>
          <w:sz w:val="20"/>
          <w:szCs w:val="20"/>
          <w:color w:val="auto"/>
        </w:rPr>
      </w:pPr>
    </w:p>
    <w:p>
      <w:pPr>
        <w:jc w:val="both"/>
        <w:ind w:right="460" w:firstLine="913"/>
        <w:spacing w:after="0" w:line="286" w:lineRule="auto"/>
        <w:rPr>
          <w:sz w:val="20"/>
          <w:szCs w:val="20"/>
          <w:color w:val="auto"/>
        </w:rPr>
      </w:pPr>
      <w:r>
        <w:rPr>
          <w:rFonts w:ascii="Arial" w:cs="Arial" w:eastAsia="Arial" w:hAnsi="Arial"/>
          <w:sz w:val="17"/>
          <w:szCs w:val="17"/>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66"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“Partnership Agreement” means the Fourth Amended and Restated Agreement of Limited Partnership of Plains All American Pipeline, L.P., dated as of May 17, 2012, as amended by Amendment No. 1 thereto dated as of October 1, 2012 and Amendment No. 2 thereto dated as of December 31, 2013, and as such may be otherwise amended, modified or supplemented from time to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160" w:hanging="257"/>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17" w:lineRule="exact"/>
        <w:rPr>
          <w:rFonts w:ascii="Arial" w:cs="Arial" w:eastAsia="Arial" w:hAnsi="Arial"/>
          <w:sz w:val="18"/>
          <w:szCs w:val="18"/>
          <w:color w:val="auto"/>
        </w:rPr>
      </w:pPr>
    </w:p>
    <w:p>
      <w:pPr>
        <w:ind w:left="460" w:firstLine="443"/>
        <w:spacing w:after="0" w:line="286" w:lineRule="auto"/>
        <w:tabs>
          <w:tab w:leader="none" w:pos="1153"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57" w:lineRule="exact"/>
        <w:rPr>
          <w:rFonts w:ascii="Arial" w:cs="Arial" w:eastAsia="Arial" w:hAnsi="Arial"/>
          <w:sz w:val="17"/>
          <w:szCs w:val="17"/>
          <w:color w:val="auto"/>
        </w:rPr>
      </w:pPr>
    </w:p>
    <w:p>
      <w:pPr>
        <w:ind w:left="460" w:right="60" w:firstLine="443"/>
        <w:spacing w:after="0" w:line="277"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17"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an Issuer or any Restricted Subsidiary resulting from the exercise of any rights arising out of defaults on receivables;</w:t>
      </w:r>
    </w:p>
    <w:p>
      <w:pPr>
        <w:spacing w:after="0" w:line="62" w:lineRule="exact"/>
        <w:rPr>
          <w:rFonts w:ascii="Arial" w:cs="Arial" w:eastAsia="Arial" w:hAnsi="Arial"/>
          <w:sz w:val="18"/>
          <w:szCs w:val="18"/>
          <w:color w:val="auto"/>
        </w:rPr>
      </w:pPr>
    </w:p>
    <w:p>
      <w:pPr>
        <w:ind w:left="460" w:right="660" w:firstLine="443"/>
        <w:spacing w:after="0" w:line="342" w:lineRule="auto"/>
        <w:tabs>
          <w:tab w:leader="none" w:pos="1153"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 w:name="page13"/>
    <w:bookmarkEnd w:id="12"/>
    <w:p>
      <w:pPr>
        <w:ind w:left="700" w:hanging="25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Lien in favor of an Issuer or any Restricted Subsidiary;</w:t>
      </w:r>
    </w:p>
    <w:p>
      <w:pPr>
        <w:spacing w:after="0" w:line="117" w:lineRule="exact"/>
        <w:rPr>
          <w:rFonts w:ascii="Arial" w:cs="Arial" w:eastAsia="Arial" w:hAnsi="Arial"/>
          <w:sz w:val="18"/>
          <w:szCs w:val="18"/>
          <w:color w:val="auto"/>
        </w:rPr>
      </w:pPr>
    </w:p>
    <w:p>
      <w:pPr>
        <w:ind w:right="40" w:firstLine="443"/>
        <w:spacing w:after="0" w:line="259" w:lineRule="auto"/>
        <w:tabs>
          <w:tab w:leader="none" w:pos="78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17" w:lineRule="exact"/>
        <w:rPr>
          <w:rFonts w:ascii="Arial" w:cs="Arial" w:eastAsia="Arial" w:hAnsi="Arial"/>
          <w:sz w:val="18"/>
          <w:szCs w:val="18"/>
          <w:color w:val="auto"/>
        </w:rPr>
      </w:pPr>
    </w:p>
    <w:p>
      <w:pPr>
        <w:ind w:firstLine="443"/>
        <w:spacing w:after="0" w:line="255" w:lineRule="auto"/>
        <w:tabs>
          <w:tab w:leader="none" w:pos="78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85" w:lineRule="exact"/>
        <w:rPr>
          <w:rFonts w:ascii="Arial" w:cs="Arial" w:eastAsia="Arial" w:hAnsi="Arial"/>
          <w:sz w:val="18"/>
          <w:szCs w:val="18"/>
          <w:color w:val="auto"/>
        </w:rPr>
      </w:pPr>
    </w:p>
    <w:p>
      <w:pPr>
        <w:ind w:right="80" w:firstLine="443"/>
        <w:spacing w:after="0" w:line="277" w:lineRule="auto"/>
        <w:tabs>
          <w:tab w:leader="none" w:pos="783"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117" w:lineRule="exact"/>
        <w:rPr>
          <w:rFonts w:ascii="Arial" w:cs="Arial" w:eastAsia="Arial" w:hAnsi="Arial"/>
          <w:sz w:val="18"/>
          <w:szCs w:val="18"/>
          <w:color w:val="auto"/>
        </w:rPr>
      </w:pPr>
    </w:p>
    <w:p>
      <w:pPr>
        <w:jc w:val="both"/>
        <w:ind w:right="20" w:firstLine="443"/>
        <w:spacing w:after="0" w:line="302" w:lineRule="auto"/>
        <w:tabs>
          <w:tab w:leader="none" w:pos="783"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46" w:lineRule="exact"/>
        <w:rPr>
          <w:rFonts w:ascii="Arial" w:cs="Arial" w:eastAsia="Arial" w:hAnsi="Arial"/>
          <w:sz w:val="16"/>
          <w:szCs w:val="16"/>
          <w:color w:val="auto"/>
        </w:rPr>
      </w:pPr>
    </w:p>
    <w:p>
      <w:pPr>
        <w:ind w:right="320" w:firstLine="443"/>
        <w:spacing w:after="0" w:line="259" w:lineRule="auto"/>
        <w:tabs>
          <w:tab w:leader="none" w:pos="78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74" w:right="299" w:bottom="1440" w:gutter="0" w:footer="0" w:header="0"/>
        </w:sectPr>
      </w:pPr>
    </w:p>
    <w:bookmarkStart w:id="13" w:name="page14"/>
    <w:bookmarkEnd w:id="13"/>
    <w:p>
      <w:pPr>
        <w:jc w:val="both"/>
        <w:ind w:left="460" w:right="20" w:firstLine="443"/>
        <w:spacing w:after="0" w:line="279" w:lineRule="auto"/>
        <w:tabs>
          <w:tab w:leader="none" w:pos="1243"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63" w:lineRule="exact"/>
        <w:rPr>
          <w:rFonts w:ascii="Arial" w:cs="Arial" w:eastAsia="Arial" w:hAnsi="Arial"/>
          <w:sz w:val="17"/>
          <w:szCs w:val="17"/>
          <w:color w:val="auto"/>
        </w:rPr>
      </w:pPr>
    </w:p>
    <w:p>
      <w:pPr>
        <w:ind w:left="460" w:right="620" w:firstLine="443"/>
        <w:spacing w:after="0" w:line="277" w:lineRule="auto"/>
        <w:tabs>
          <w:tab w:leader="none" w:pos="12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70"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w:t>
      </w:r>
    </w:p>
    <w:p>
      <w:pPr>
        <w:ind w:right="280" w:firstLine="8"/>
        <w:spacing w:after="0" w:line="295"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62"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“Restricted Subsidiary” means any Subsidiary of the Partnership owning or leasing, directly or indirectly through ownership in another Subsidiary, any Principal Property.</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81"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ind w:right="420" w:firstLine="8"/>
        <w:spacing w:after="0" w:line="323"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“Subsidiary Guarantors” means each of:</w:t>
      </w:r>
    </w:p>
    <w:p>
      <w:pPr>
        <w:spacing w:after="0" w:line="117" w:lineRule="exact"/>
        <w:rPr>
          <w:sz w:val="20"/>
          <w:szCs w:val="20"/>
          <w:color w:val="auto"/>
        </w:rPr>
      </w:pPr>
    </w:p>
    <w:p>
      <w:pPr>
        <w:ind w:left="1160" w:hanging="257"/>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Subsidiary that executes a supplemental Indenture to provide a Guarantee in accordance with the provisions of the Indenture; and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their respective successors and assigns.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 w:name="page15"/>
    <w:bookmarkEnd w:id="1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Term</w:t>
            </w:r>
          </w:p>
        </w:tc>
        <w:tc>
          <w:tcPr>
            <w:tcW w:w="4040" w:type="dxa"/>
            <w:vAlign w:val="bottom"/>
            <w:vMerge w:val="restart"/>
          </w:tcPr>
          <w:p>
            <w:pPr>
              <w:spacing w:after="0"/>
              <w:rPr>
                <w:sz w:val="14"/>
                <w:szCs w:val="14"/>
                <w:color w:val="auto"/>
              </w:rPr>
            </w:pPr>
          </w:p>
        </w:tc>
        <w:tc>
          <w:tcPr>
            <w:tcW w:w="33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Defined in</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7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“Additional Notes”</w:t>
            </w:r>
          </w:p>
        </w:tc>
        <w:tc>
          <w:tcPr>
            <w:tcW w:w="2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Obligations”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“Payment Default”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Filing Dates”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“Successor Company”</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w:t>
      </w:r>
      <w:r>
        <w:rPr>
          <w:rFonts w:ascii="Arial" w:cs="Arial" w:eastAsia="Arial" w:hAnsi="Arial"/>
          <w:sz w:val="18"/>
          <w:szCs w:val="18"/>
          <w:color w:val="auto"/>
        </w:rPr>
        <w:t>.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$700,000,000. The Notes issued on the Issue Date and any Additional Notes subsequently issued shall be treated as a single series for all purposes under the Indenture, including waivers, amendments, redemptions and offers to purchase.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Global Security Legend</w:t>
      </w:r>
      <w:r>
        <w:rPr>
          <w:rFonts w:ascii="Arial" w:cs="Arial" w:eastAsia="Arial" w:hAnsi="Arial"/>
          <w:sz w:val="18"/>
          <w:szCs w:val="18"/>
          <w:color w:val="auto"/>
        </w:rPr>
        <w:t>. Each of the Global Securities shall bear a legend in substantially the following form:</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5" w:name="page16"/>
    <w:bookmarkEnd w:id="15"/>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 time to time.</w:t>
      </w:r>
    </w:p>
    <w:p>
      <w:pPr>
        <w:spacing w:after="0" w:line="140" w:lineRule="exact"/>
        <w:rPr>
          <w:rFonts w:ascii="Arial" w:cs="Arial" w:eastAsia="Arial" w:hAnsi="Arial"/>
          <w:sz w:val="16"/>
          <w:szCs w:val="16"/>
          <w:color w:val="auto"/>
        </w:rPr>
      </w:pPr>
    </w:p>
    <w:p>
      <w:pPr>
        <w:jc w:val="both"/>
        <w:ind w:right="480" w:firstLine="921"/>
        <w:spacing w:after="0" w:line="264" w:lineRule="auto"/>
        <w:tabs>
          <w:tab w:leader="none" w:pos="11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73" w:lineRule="exact"/>
        <w:rPr>
          <w:rFonts w:ascii="Arial" w:cs="Arial" w:eastAsia="Arial" w:hAnsi="Arial"/>
          <w:sz w:val="18"/>
          <w:szCs w:val="18"/>
          <w:color w:val="auto"/>
        </w:rPr>
      </w:pPr>
    </w:p>
    <w:p>
      <w:pPr>
        <w:ind w:firstLine="921"/>
        <w:spacing w:after="0" w:line="264" w:lineRule="auto"/>
        <w:tabs>
          <w:tab w:leader="none" w:pos="11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89" w:lineRule="exact"/>
        <w:rPr>
          <w:sz w:val="20"/>
          <w:szCs w:val="20"/>
          <w:color w:val="auto"/>
        </w:rPr>
      </w:pPr>
    </w:p>
    <w:p>
      <w:pPr>
        <w:ind w:right="100" w:firstLine="921"/>
        <w:spacing w:after="0" w:line="312" w:lineRule="auto"/>
        <w:tabs>
          <w:tab w:leader="none" w:pos="11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6" w:name="page17"/>
    <w:bookmarkEnd w:id="16"/>
    <w:p>
      <w:pPr>
        <w:ind w:right="4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Arial" w:cs="Arial" w:eastAsia="Arial" w:hAnsi="Arial"/>
          <w:sz w:val="18"/>
          <w:szCs w:val="18"/>
          <w:u w:val="single" w:color="auto"/>
          <w:color w:val="auto"/>
        </w:rPr>
        <w:t>Limitations on Liens</w:t>
      </w:r>
      <w:r>
        <w:rPr>
          <w:rFonts w:ascii="Arial" w:cs="Arial" w:eastAsia="Arial" w:hAnsi="Arial"/>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80" w:lineRule="exact"/>
        <w:rPr>
          <w:sz w:val="20"/>
          <w:szCs w:val="20"/>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right="60" w:firstLine="921"/>
        <w:spacing w:after="0" w:line="286" w:lineRule="auto"/>
        <w:tabs>
          <w:tab w:leader="none" w:pos="116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57" w:lineRule="exact"/>
        <w:rPr>
          <w:rFonts w:ascii="Arial" w:cs="Arial" w:eastAsia="Arial" w:hAnsi="Arial"/>
          <w:sz w:val="17"/>
          <w:szCs w:val="17"/>
          <w:color w:val="auto"/>
        </w:rPr>
      </w:pPr>
    </w:p>
    <w:p>
      <w:pPr>
        <w:ind w:right="440" w:firstLine="921"/>
        <w:spacing w:after="0" w:line="264" w:lineRule="auto"/>
        <w:tabs>
          <w:tab w:leader="none" w:pos="11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73"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73" w:lineRule="exact"/>
        <w:rPr>
          <w:rFonts w:ascii="Arial" w:cs="Arial" w:eastAsia="Arial" w:hAnsi="Arial"/>
          <w:sz w:val="18"/>
          <w:szCs w:val="18"/>
          <w:color w:val="auto"/>
        </w:rPr>
      </w:pPr>
    </w:p>
    <w:p>
      <w:pPr>
        <w:ind w:right="220" w:firstLine="921"/>
        <w:spacing w:after="0" w:line="264" w:lineRule="auto"/>
        <w:tabs>
          <w:tab w:leader="none" w:pos="11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73" w:lineRule="exact"/>
        <w:rPr>
          <w:rFonts w:ascii="Arial" w:cs="Arial" w:eastAsia="Arial" w:hAnsi="Arial"/>
          <w:sz w:val="18"/>
          <w:szCs w:val="18"/>
          <w:color w:val="auto"/>
        </w:rPr>
      </w:pPr>
    </w:p>
    <w:p>
      <w:pPr>
        <w:ind w:right="40" w:firstLine="921"/>
        <w:spacing w:after="0" w:line="277" w:lineRule="auto"/>
        <w:tabs>
          <w:tab w:leader="none" w:pos="11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Lien upon any property or assets of an Issuer or any Restricted Subsidiary in existence on December 10, 2003 or provided for pursuant to agreements existing on December 10, 2003;</w:t>
      </w:r>
    </w:p>
    <w:p>
      <w:pPr>
        <w:spacing w:after="0" w:line="62" w:lineRule="exact"/>
        <w:rPr>
          <w:rFonts w:ascii="Arial" w:cs="Arial" w:eastAsia="Arial" w:hAnsi="Arial"/>
          <w:sz w:val="18"/>
          <w:szCs w:val="18"/>
          <w:color w:val="auto"/>
        </w:rPr>
      </w:pPr>
    </w:p>
    <w:p>
      <w:pPr>
        <w:ind w:right="180" w:firstLine="921"/>
        <w:spacing w:after="0" w:line="264" w:lineRule="auto"/>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7" w:name="page18"/>
    <w:bookmarkEnd w:id="17"/>
    <w:p>
      <w:pPr>
        <w:ind w:right="40" w:firstLine="921"/>
        <w:spacing w:after="0" w:line="293" w:lineRule="auto"/>
        <w:tabs>
          <w:tab w:leader="none" w:pos="1168"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56" w:lineRule="exact"/>
        <w:rPr>
          <w:rFonts w:ascii="Arial" w:cs="Arial" w:eastAsia="Arial" w:hAnsi="Arial"/>
          <w:sz w:val="16"/>
          <w:szCs w:val="16"/>
          <w:color w:val="auto"/>
        </w:rPr>
      </w:pPr>
    </w:p>
    <w:p>
      <w:pPr>
        <w:ind w:right="500" w:firstLine="921"/>
        <w:spacing w:after="0" w:line="277" w:lineRule="auto"/>
        <w:tabs>
          <w:tab w:leader="none" w:pos="11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Debt of an Issuer or any Restricted Subsidiary.</w:t>
      </w:r>
    </w:p>
    <w:p>
      <w:pPr>
        <w:spacing w:after="0" w:line="17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w:t>
      </w:r>
    </w:p>
    <w:p>
      <w:pPr>
        <w:spacing w:after="0" w:line="17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Restriction of Sale-leaseback Transactions</w:t>
      </w:r>
      <w:r>
        <w:rPr>
          <w:rFonts w:ascii="Arial" w:cs="Arial" w:eastAsia="Arial" w:hAnsi="Arial"/>
          <w:sz w:val="18"/>
          <w:szCs w:val="18"/>
          <w:color w:val="auto"/>
        </w:rPr>
        <w:t>. The Issuers will not, and will not permit any Subsidiary of the Partnership to, engage in a Sale-leaseback Transaction, unless:</w:t>
      </w:r>
    </w:p>
    <w:p>
      <w:pPr>
        <w:spacing w:after="0" w:line="62" w:lineRule="exact"/>
        <w:rPr>
          <w:sz w:val="20"/>
          <w:szCs w:val="20"/>
          <w:color w:val="auto"/>
        </w:rPr>
      </w:pPr>
    </w:p>
    <w:p>
      <w:pPr>
        <w:ind w:right="520" w:firstLine="921"/>
        <w:spacing w:after="0" w:line="264" w:lineRule="auto"/>
        <w:tabs>
          <w:tab w:leader="none" w:pos="11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117" w:lineRule="exact"/>
        <w:rPr>
          <w:rFonts w:ascii="Arial" w:cs="Arial" w:eastAsia="Arial" w:hAnsi="Arial"/>
          <w:sz w:val="18"/>
          <w:szCs w:val="18"/>
          <w:color w:val="auto"/>
        </w:rPr>
      </w:pPr>
    </w:p>
    <w:p>
      <w:pPr>
        <w:ind w:firstLine="921"/>
        <w:spacing w:after="0" w:line="264" w:lineRule="auto"/>
        <w:tabs>
          <w:tab w:leader="none" w:pos="11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73"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8" w:name="page19"/>
    <w:bookmarkEnd w:id="18"/>
    <w:p>
      <w:pPr>
        <w:jc w:val="both"/>
        <w:ind w:right="20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6" w:lineRule="auto"/>
        <w:tabs>
          <w:tab w:leader="none" w:pos="11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64" w:lineRule="exact"/>
        <w:rPr>
          <w:rFonts w:ascii="Arial" w:cs="Arial" w:eastAsia="Arial" w:hAnsi="Arial"/>
          <w:sz w:val="17"/>
          <w:szCs w:val="17"/>
          <w:color w:val="auto"/>
        </w:rPr>
      </w:pPr>
    </w:p>
    <w:p>
      <w:pPr>
        <w:ind w:right="20" w:firstLine="921"/>
        <w:spacing w:after="0" w:line="286" w:lineRule="auto"/>
        <w:tabs>
          <w:tab w:leader="none" w:pos="11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57" w:lineRule="exact"/>
        <w:rPr>
          <w:rFonts w:ascii="Arial" w:cs="Arial" w:eastAsia="Arial" w:hAnsi="Arial"/>
          <w:sz w:val="17"/>
          <w:szCs w:val="17"/>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480" w:firstLine="921"/>
        <w:spacing w:after="0" w:line="277" w:lineRule="auto"/>
        <w:tabs>
          <w:tab w:leader="none" w:pos="11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62" w:lineRule="exact"/>
        <w:rPr>
          <w:rFonts w:ascii="Arial" w:cs="Arial" w:eastAsia="Arial" w:hAnsi="Arial"/>
          <w:sz w:val="18"/>
          <w:szCs w:val="18"/>
          <w:color w:val="auto"/>
        </w:rPr>
      </w:pPr>
    </w:p>
    <w:p>
      <w:pPr>
        <w:ind w:right="160" w:firstLine="921"/>
        <w:spacing w:after="0" w:line="286" w:lineRule="auto"/>
        <w:tabs>
          <w:tab w:leader="none" w:pos="11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66"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Subsidiary Guarantees</w:t>
      </w:r>
      <w:r>
        <w:rPr>
          <w:rFonts w:ascii="Arial" w:cs="Arial" w:eastAsia="Arial" w:hAnsi="Arial"/>
          <w:sz w:val="17"/>
          <w:szCs w:val="17"/>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With respect to the Notes, the provisions of this Article VI shall preempt the provisions of Article X of the Original Indenture in their entirety.</w:t>
      </w:r>
    </w:p>
    <w:p>
      <w:pPr>
        <w:spacing w:after="0" w:line="237"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Consolidation and Mergers of the Issuers</w:t>
      </w:r>
      <w:r>
        <w:rPr>
          <w:rFonts w:ascii="Arial" w:cs="Arial" w:eastAsia="Arial" w:hAnsi="Arial"/>
          <w:sz w:val="16"/>
          <w:szCs w:val="16"/>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172"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Rights and Duties of Successor</w:t>
      </w:r>
      <w:r>
        <w:rPr>
          <w:rFonts w:ascii="Arial" w:cs="Arial" w:eastAsia="Arial" w:hAnsi="Arial"/>
          <w:sz w:val="17"/>
          <w:szCs w:val="17"/>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78"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Section 9.01 of the Original Indenture is hereby amended, with respect to the Notes, by adding the words “or the confirmation of a Subsidiary Guarantor’s” immediately after the word “Issuer’s” in Section 9.01(c).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With respect to the Notes, the provisions of this Section 7.01 shall preempt the provisions of the first and final paragraphs of Section 6.01 of the Original Indenture in their entirety.</w:t>
      </w:r>
    </w:p>
    <w:p>
      <w:pPr>
        <w:spacing w:after="0" w:line="62" w:lineRule="exact"/>
        <w:rPr>
          <w:sz w:val="20"/>
          <w:szCs w:val="20"/>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“Event of Default” occurs if:</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Issuers default for 60 days in the payment when due of interest on the Notes;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Issuers default in the payment when due of principal of or premium, if any, on the Notes at maturity, upon redemption or otherwise;</w:t>
      </w:r>
    </w:p>
    <w:p>
      <w:pPr>
        <w:spacing w:after="0" w:line="140" w:lineRule="exact"/>
        <w:rPr>
          <w:rFonts w:ascii="Arial" w:cs="Arial" w:eastAsia="Arial" w:hAnsi="Arial"/>
          <w:sz w:val="16"/>
          <w:szCs w:val="16"/>
          <w:color w:val="auto"/>
        </w:rPr>
      </w:pPr>
    </w:p>
    <w:p>
      <w:pPr>
        <w:ind w:left="920" w:right="20" w:firstLine="421"/>
        <w:spacing w:after="0" w:line="259" w:lineRule="auto"/>
        <w:tabs>
          <w:tab w:leader="none" w:pos="1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need not be given, and an Event of Default shall occur, 90 days after any breach of the provisions of Section 6.01 hereof);</w:t>
      </w:r>
    </w:p>
    <w:p>
      <w:pPr>
        <w:spacing w:after="0" w:line="78" w:lineRule="exact"/>
        <w:rPr>
          <w:rFonts w:ascii="Arial" w:cs="Arial" w:eastAsia="Arial" w:hAnsi="Arial"/>
          <w:sz w:val="18"/>
          <w:szCs w:val="18"/>
          <w:color w:val="auto"/>
        </w:rPr>
      </w:pPr>
    </w:p>
    <w:p>
      <w:pPr>
        <w:ind w:left="920" w:right="20" w:firstLine="421"/>
        <w:spacing w:after="0" w:line="285" w:lineRule="auto"/>
        <w:tabs>
          <w:tab w:leader="none" w:pos="1645"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w:t>
      </w:r>
    </w:p>
    <w:p>
      <w:pPr>
        <w:spacing w:after="0" w:line="2" w:lineRule="exact"/>
        <w:rPr>
          <w:rFonts w:ascii="Arial" w:cs="Arial" w:eastAsia="Arial" w:hAnsi="Arial"/>
          <w:sz w:val="16"/>
          <w:szCs w:val="16"/>
          <w:color w:val="auto"/>
        </w:rPr>
      </w:pPr>
    </w:p>
    <w:p>
      <w:pPr>
        <w:ind w:left="9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(A) or (B), the principal amount of any such Debt, together with the principal amount of any other such Debt under which there has been a Payment Default or the maturity of which has been so accelerated, aggregates $25.0 million or more;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54" w:lineRule="exact"/>
        <w:rPr>
          <w:rFonts w:ascii="Arial" w:cs="Arial" w:eastAsia="Arial" w:hAnsi="Arial"/>
          <w:sz w:val="16"/>
          <w:szCs w:val="16"/>
          <w:color w:val="auto"/>
        </w:rPr>
      </w:pPr>
    </w:p>
    <w:p>
      <w:pPr>
        <w:ind w:left="920" w:right="240" w:firstLine="421"/>
        <w:spacing w:after="0" w:line="264" w:lineRule="auto"/>
        <w:tabs>
          <w:tab w:leader="none" w:pos="15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21" w:name="page22"/>
    <w:bookmarkEnd w:id="21"/>
    <w:p>
      <w:pPr>
        <w:ind w:left="1640" w:hanging="299"/>
        <w:spacing w:after="0"/>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Issuer or any Subsidiary Guarantor pursuant to or within the meaning of any Bankruptcy Law:</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2160" w:hanging="271"/>
        <w:spacing w:after="0"/>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for relief against an Issuer or any Subsidiary Guarantor in an involuntary case;</w:t>
      </w:r>
    </w:p>
    <w:p>
      <w:pPr>
        <w:spacing w:after="0" w:line="117" w:lineRule="exact"/>
        <w:rPr>
          <w:rFonts w:ascii="Arial" w:cs="Arial" w:eastAsia="Arial" w:hAnsi="Arial"/>
          <w:sz w:val="18"/>
          <w:szCs w:val="18"/>
          <w:color w:val="auto"/>
        </w:rPr>
      </w:pPr>
    </w:p>
    <w:p>
      <w:pPr>
        <w:ind w:left="1500" w:right="220" w:firstLine="389"/>
        <w:spacing w:after="0" w:line="277" w:lineRule="auto"/>
        <w:tabs>
          <w:tab w:leader="none" w:pos="218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appoints a custodian of an Issuer or any Subsidiary Guarantor or for all or substantially all of the property of an Issuer or any Subsidiary Guarantor; or</w:t>
      </w:r>
    </w:p>
    <w:p>
      <w:pPr>
        <w:spacing w:after="0" w:line="62" w:lineRule="exact"/>
        <w:rPr>
          <w:rFonts w:ascii="Arial" w:cs="Arial" w:eastAsia="Arial" w:hAnsi="Arial"/>
          <w:sz w:val="18"/>
          <w:szCs w:val="18"/>
          <w:color w:val="auto"/>
        </w:rPr>
      </w:pPr>
    </w:p>
    <w:p>
      <w:pPr>
        <w:ind w:left="2180" w:hanging="291"/>
        <w:spacing w:after="0"/>
        <w:tabs>
          <w:tab w:leader="none" w:pos="2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orders the liquidation of an Issuer or any Subsidiary Guarantor;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117" w:lineRule="exact"/>
        <w:rPr>
          <w:sz w:val="20"/>
          <w:szCs w:val="20"/>
          <w:color w:val="auto"/>
        </w:rPr>
      </w:pPr>
    </w:p>
    <w:p>
      <w:pPr>
        <w:ind w:right="60" w:firstLine="921"/>
        <w:spacing w:after="0" w:line="273" w:lineRule="auto"/>
        <w:tabs>
          <w:tab w:leader="none" w:pos="11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2" w:name="page23"/>
    <w:bookmarkEnd w:id="22"/>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8.02. </w:t>
      </w:r>
      <w:r>
        <w:rPr>
          <w:rFonts w:ascii="Arial" w:cs="Arial" w:eastAsia="Arial" w:hAnsi="Arial"/>
          <w:sz w:val="17"/>
          <w:szCs w:val="17"/>
          <w:u w:val="single" w:color="auto"/>
          <w:color w:val="auto"/>
        </w:rPr>
        <w:t>Legal Defeasance and Discharge</w:t>
      </w:r>
      <w:r>
        <w:rPr>
          <w:rFonts w:ascii="Arial" w:cs="Arial" w:eastAsia="Arial" w:hAnsi="Arial"/>
          <w:sz w:val="17"/>
          <w:szCs w:val="17"/>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74" w:lineRule="exact"/>
        <w:rPr>
          <w:sz w:val="20"/>
          <w:szCs w:val="20"/>
          <w:color w:val="auto"/>
        </w:rPr>
      </w:pPr>
    </w:p>
    <w:p>
      <w:pPr>
        <w:ind w:firstLine="921"/>
        <w:spacing w:after="0" w:line="308" w:lineRule="auto"/>
        <w:tabs>
          <w:tab w:leader="none" w:pos="115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38" w:lineRule="exact"/>
        <w:rPr>
          <w:rFonts w:ascii="Arial" w:cs="Arial" w:eastAsia="Arial" w:hAnsi="Arial"/>
          <w:sz w:val="17"/>
          <w:szCs w:val="17"/>
          <w:color w:val="auto"/>
        </w:rPr>
      </w:pPr>
    </w:p>
    <w:p>
      <w:pPr>
        <w:ind w:left="1180" w:hanging="259"/>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Issuers’ obligations with respect to such Notes under Sections 2.07, 2.08, 2.09 and 4.02 of the Original Indenture,</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Issuers’ obligations in connection therewith,</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Article VIII, and</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Issuers’ rights of optional redemption under Section 4.01 hereof.</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compliance with this Article VIII, the Issuers may exercise their option under this Section 8.02 notwithstanding the prior exercise of their option under Section 8.03 hereof.</w:t>
      </w:r>
    </w:p>
    <w:p>
      <w:pPr>
        <w:spacing w:after="0" w:line="17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3" w:name="page24"/>
    <w:bookmarkEnd w:id="23"/>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 The following shall be the conditions to the application of either Section 8.02 or 8.03 hereof to the Outstanding Notes: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17" w:lineRule="exact"/>
        <w:rPr>
          <w:sz w:val="20"/>
          <w:szCs w:val="20"/>
          <w:color w:val="auto"/>
        </w:rPr>
      </w:pPr>
    </w:p>
    <w:p>
      <w:pPr>
        <w:ind w:right="100" w:firstLine="921"/>
        <w:spacing w:after="0" w:line="302" w:lineRule="auto"/>
        <w:tabs>
          <w:tab w:leader="none" w:pos="115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46" w:lineRule="exact"/>
        <w:rPr>
          <w:rFonts w:ascii="Arial" w:cs="Arial" w:eastAsia="Arial" w:hAnsi="Arial"/>
          <w:sz w:val="16"/>
          <w:szCs w:val="16"/>
          <w:color w:val="auto"/>
        </w:rPr>
      </w:pPr>
    </w:p>
    <w:p>
      <w:pPr>
        <w:ind w:left="1180" w:hanging="259"/>
        <w:spacing w:after="0"/>
        <w:tabs>
          <w:tab w:leader="none" w:pos="11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the case of an election under Section 8.02 hereof, the Issuers shall have delivered to the Trustee an Opinion of Counsel confirming that</w:t>
      </w:r>
    </w:p>
    <w:p>
      <w:pPr>
        <w:spacing w:after="0" w:line="46" w:lineRule="exact"/>
        <w:rPr>
          <w:rFonts w:ascii="Arial" w:cs="Arial" w:eastAsia="Arial" w:hAnsi="Arial"/>
          <w:sz w:val="16"/>
          <w:szCs w:val="16"/>
          <w:color w:val="auto"/>
        </w:rPr>
      </w:pPr>
    </w:p>
    <w:p>
      <w:pPr>
        <w:ind w:firstLine="8"/>
        <w:spacing w:after="0" w:line="295"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53" w:lineRule="exact"/>
        <w:rPr>
          <w:rFonts w:ascii="Arial" w:cs="Arial" w:eastAsia="Arial" w:hAnsi="Arial"/>
          <w:sz w:val="16"/>
          <w:szCs w:val="16"/>
          <w:color w:val="auto"/>
        </w:rPr>
      </w:pPr>
    </w:p>
    <w:p>
      <w:pPr>
        <w:jc w:val="both"/>
        <w:ind w:right="80" w:firstLine="921"/>
        <w:spacing w:after="0" w:line="259" w:lineRule="auto"/>
        <w:tabs>
          <w:tab w:leader="none" w:pos="11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right="40" w:firstLine="921"/>
        <w:spacing w:after="0" w:line="264" w:lineRule="auto"/>
        <w:tabs>
          <w:tab w:leader="none" w:pos="11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73" w:lineRule="exact"/>
        <w:rPr>
          <w:rFonts w:ascii="Arial" w:cs="Arial" w:eastAsia="Arial" w:hAnsi="Arial"/>
          <w:sz w:val="18"/>
          <w:szCs w:val="18"/>
          <w:color w:val="auto"/>
        </w:rPr>
      </w:pPr>
    </w:p>
    <w:p>
      <w:pPr>
        <w:ind w:right="320" w:firstLine="921"/>
        <w:spacing w:after="0" w:line="264" w:lineRule="auto"/>
        <w:tabs>
          <w:tab w:leader="none" w:pos="11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4" w:name="page25"/>
    <w:bookmarkEnd w:id="24"/>
    <w:p>
      <w:pPr>
        <w:ind w:right="60" w:firstLine="921"/>
        <w:spacing w:after="0" w:line="308" w:lineRule="auto"/>
        <w:tabs>
          <w:tab w:leader="none" w:pos="1138"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38" w:lineRule="exact"/>
        <w:rPr>
          <w:rFonts w:ascii="Arial" w:cs="Arial" w:eastAsia="Arial" w:hAnsi="Arial"/>
          <w:sz w:val="17"/>
          <w:szCs w:val="17"/>
          <w:color w:val="auto"/>
        </w:rPr>
      </w:pPr>
    </w:p>
    <w:p>
      <w:pPr>
        <w:ind w:right="180" w:firstLine="921"/>
        <w:spacing w:after="0" w:line="264" w:lineRule="auto"/>
        <w:tabs>
          <w:tab w:leader="none" w:pos="11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73"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7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Deposited Money and U.S. Government Obligations to be Held in Trust; Other Miscellaneous Provisions</w:t>
      </w:r>
      <w:r>
        <w:rPr>
          <w:rFonts w:ascii="Arial" w:cs="Arial" w:eastAsia="Arial" w:hAnsi="Arial"/>
          <w:sz w:val="16"/>
          <w:szCs w:val="16"/>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6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88"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Repayment to Issuers</w:t>
      </w:r>
      <w:r>
        <w:rPr>
          <w:rFonts w:ascii="Arial" w:cs="Arial" w:eastAsia="Arial" w:hAnsi="Arial"/>
          <w:sz w:val="18"/>
          <w:szCs w:val="18"/>
          <w:color w:val="auto"/>
        </w:rPr>
        <w:t>.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5" w:name="page26"/>
    <w:bookmarkEnd w:id="2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money, and all liability of the Issuers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Trustee or such paying agent, before being required to make any such repayment, may at the expense of the Issuers cause to be published once, in </w:t>
      </w:r>
      <w:r>
        <w:rPr>
          <w:rFonts w:ascii="Arial" w:cs="Arial" w:eastAsia="Arial" w:hAnsi="Arial"/>
          <w:sz w:val="17"/>
          <w:szCs w:val="17"/>
          <w:i w:val="1"/>
          <w:iCs w:val="1"/>
          <w:color w:val="auto"/>
        </w:rPr>
        <w:t>The New York Times</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71"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SUBSIDIARY GUARANTEES</w:t>
      </w:r>
    </w:p>
    <w:p>
      <w:pPr>
        <w:spacing w:after="0" w:line="21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84" w:lineRule="exact"/>
        <w:rPr>
          <w:sz w:val="20"/>
          <w:szCs w:val="20"/>
          <w:color w:val="auto"/>
        </w:rPr>
      </w:pPr>
    </w:p>
    <w:p>
      <w:pPr>
        <w:ind w:right="40" w:firstLine="921"/>
        <w:spacing w:after="0" w:line="255"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6" w:name="page27"/>
    <w:bookmarkEnd w:id="26"/>
    <w:p>
      <w:pPr>
        <w:ind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w:t>
      </w:r>
    </w:p>
    <w:p>
      <w:pPr>
        <w:spacing w:after="0" w:line="16" w:lineRule="exact"/>
        <w:rPr>
          <w:sz w:val="20"/>
          <w:szCs w:val="20"/>
          <w:color w:val="auto"/>
        </w:rPr>
      </w:pPr>
    </w:p>
    <w:p>
      <w:pPr>
        <w:ind w:right="60" w:firstLine="921"/>
        <w:spacing w:after="0" w:line="264" w:lineRule="auto"/>
        <w:tabs>
          <w:tab w:leader="none" w:pos="11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73" w:lineRule="exact"/>
        <w:rPr>
          <w:rFonts w:ascii="Arial" w:cs="Arial" w:eastAsia="Arial" w:hAnsi="Arial"/>
          <w:sz w:val="18"/>
          <w:szCs w:val="18"/>
          <w:color w:val="auto"/>
        </w:rPr>
      </w:pPr>
    </w:p>
    <w:p>
      <w:pPr>
        <w:ind w:firstLine="921"/>
        <w:spacing w:after="0" w:line="290" w:lineRule="auto"/>
        <w:tabs>
          <w:tab w:leader="none" w:pos="116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58" w:lineRule="exact"/>
        <w:rPr>
          <w:rFonts w:ascii="Arial" w:cs="Arial" w:eastAsia="Arial" w:hAnsi="Arial"/>
          <w:sz w:val="16"/>
          <w:szCs w:val="16"/>
          <w:color w:val="auto"/>
        </w:rPr>
      </w:pPr>
    </w:p>
    <w:p>
      <w:pPr>
        <w:jc w:val="both"/>
        <w:ind w:right="60" w:firstLine="921"/>
        <w:spacing w:after="0" w:line="264" w:lineRule="auto"/>
        <w:tabs>
          <w:tab w:leader="none" w:pos="11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73" w:lineRule="exact"/>
        <w:rPr>
          <w:rFonts w:ascii="Arial" w:cs="Arial" w:eastAsia="Arial" w:hAnsi="Arial"/>
          <w:sz w:val="18"/>
          <w:szCs w:val="18"/>
          <w:color w:val="auto"/>
        </w:rPr>
      </w:pPr>
    </w:p>
    <w:p>
      <w:pPr>
        <w:ind w:right="80" w:firstLine="921"/>
        <w:spacing w:after="0" w:line="273" w:lineRule="auto"/>
        <w:tabs>
          <w:tab w:leader="none" w:pos="11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70" w:lineRule="exact"/>
        <w:rPr>
          <w:rFonts w:ascii="Arial" w:cs="Arial" w:eastAsia="Arial" w:hAnsi="Arial"/>
          <w:sz w:val="17"/>
          <w:szCs w:val="17"/>
          <w:color w:val="auto"/>
        </w:rPr>
      </w:pPr>
    </w:p>
    <w:p>
      <w:pPr>
        <w:ind w:right="260" w:firstLine="921"/>
        <w:spacing w:after="0" w:line="264"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7" w:name="page28"/>
    <w:bookmarkEnd w:id="27"/>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63" w:lineRule="exact"/>
        <w:rPr>
          <w:sz w:val="20"/>
          <w:szCs w:val="20"/>
          <w:color w:val="auto"/>
        </w:rPr>
      </w:pPr>
    </w:p>
    <w:p>
      <w:pPr>
        <w:ind w:right="4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reasonable attorneys’ fees) incurred by the Trustee or any Holder in enforcing any rights under this Section 9.01.</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71" w:lineRule="exact"/>
        <w:rPr>
          <w:sz w:val="20"/>
          <w:szCs w:val="20"/>
          <w:color w:val="auto"/>
        </w:rPr>
      </w:pPr>
    </w:p>
    <w:p>
      <w:pPr>
        <w:jc w:val="both"/>
        <w:ind w:right="100" w:firstLine="913"/>
        <w:spacing w:after="0" w:line="27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71"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Modification</w:t>
      </w:r>
      <w:r>
        <w:rPr>
          <w:rFonts w:ascii="Arial" w:cs="Arial" w:eastAsia="Arial" w:hAnsi="Arial"/>
          <w:sz w:val="17"/>
          <w:szCs w:val="17"/>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8" w:name="page29"/>
    <w:bookmarkEnd w:id="28"/>
    <w:p>
      <w:pPr>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9.06. </w:t>
      </w:r>
      <w:r>
        <w:rPr>
          <w:rFonts w:ascii="Arial" w:cs="Arial" w:eastAsia="Arial" w:hAnsi="Arial"/>
          <w:sz w:val="17"/>
          <w:szCs w:val="17"/>
          <w:u w:val="single" w:color="auto"/>
          <w:color w:val="auto"/>
        </w:rPr>
        <w:t>Execution of Supplemental Indenture for Future Subsidiary Guarantors</w:t>
      </w:r>
      <w:r>
        <w:rPr>
          <w:rFonts w:ascii="Arial" w:cs="Arial" w:eastAsia="Arial" w:hAnsi="Arial"/>
          <w:sz w:val="17"/>
          <w:szCs w:val="17"/>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79"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Release of Guarantee</w:t>
      </w:r>
      <w:r>
        <w:rPr>
          <w:rFonts w:ascii="Arial" w:cs="Arial" w:eastAsia="Arial" w:hAnsi="Arial"/>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73" w:lineRule="exact"/>
        <w:rPr>
          <w:sz w:val="20"/>
          <w:szCs w:val="20"/>
          <w:color w:val="auto"/>
        </w:rPr>
      </w:pPr>
    </w:p>
    <w:p>
      <w:pPr>
        <w:ind w:right="500" w:firstLine="921"/>
        <w:spacing w:after="0" w:line="264"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any sale or other disposition of all of the Equity Interests of a Subsidiary Guarantor, to any Person that is not an Affiliate of either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Issuers; or</w:t>
      </w:r>
    </w:p>
    <w:p>
      <w:pPr>
        <w:spacing w:after="0" w:line="102" w:lineRule="exact"/>
        <w:rPr>
          <w:rFonts w:ascii="Arial" w:cs="Arial" w:eastAsia="Arial" w:hAnsi="Arial"/>
          <w:sz w:val="16"/>
          <w:szCs w:val="16"/>
          <w:color w:val="auto"/>
        </w:rPr>
      </w:pPr>
    </w:p>
    <w:p>
      <w:pPr>
        <w:ind w:right="60" w:firstLine="921"/>
        <w:spacing w:after="0" w:line="277"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Additional Amendments</w:t>
      </w:r>
      <w:r>
        <w:rPr>
          <w:rFonts w:ascii="Arial" w:cs="Arial" w:eastAsia="Arial" w:hAnsi="Arial"/>
          <w:sz w:val="16"/>
          <w:szCs w:val="16"/>
          <w:color w:val="auto"/>
        </w:rPr>
        <w:t>. With respect to the Notes, references to (A) “Section 6.01” in the Original Indenture shall be deemed to be references to “Section 7.01 of this Supplemental Indenture; (B) “Section 11.02” in the Original Indenture shall be deemed to be references to</w:t>
      </w:r>
    </w:p>
    <w:p>
      <w:pPr>
        <w:jc w:val="both"/>
        <w:ind w:right="100"/>
        <w:spacing w:after="0" w:line="255" w:lineRule="auto"/>
        <w:rPr>
          <w:sz w:val="20"/>
          <w:szCs w:val="20"/>
          <w:color w:val="auto"/>
        </w:rPr>
      </w:pPr>
      <w:r>
        <w:rPr>
          <w:rFonts w:ascii="Arial" w:cs="Arial" w:eastAsia="Arial" w:hAnsi="Arial"/>
          <w:sz w:val="18"/>
          <w:szCs w:val="18"/>
          <w:color w:val="auto"/>
        </w:rPr>
        <w:t>“Section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Integral Part</w:t>
      </w:r>
      <w:r>
        <w:rPr>
          <w:rFonts w:ascii="Arial" w:cs="Arial" w:eastAsia="Arial" w:hAnsi="Arial"/>
          <w:sz w:val="18"/>
          <w:szCs w:val="18"/>
          <w:color w:val="auto"/>
        </w:rPr>
        <w:t>. This Supplemental Indenture constitutes an integral part of the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9" w:name="page30"/>
    <w:bookmarkEnd w:id="29"/>
    <w:p>
      <w:pPr>
        <w:ind w:right="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Original Indenture, as supplemented and amended by this Supplemental Indenture, is in all respects hereby adopted, ratified and confirmed.</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66" w:lineRule="exact"/>
        <w:rPr>
          <w:sz w:val="20"/>
          <w:szCs w:val="20"/>
          <w:color w:val="auto"/>
        </w:rPr>
      </w:pPr>
    </w:p>
    <w:p>
      <w:pPr>
        <w:ind w:right="820" w:firstLine="913"/>
        <w:spacing w:after="0" w:line="282"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AND THE NOTES SHALL BE GOVERNED BY AND</w:t>
      </w:r>
      <w:r>
        <w:rPr>
          <w:rFonts w:ascii="Arial" w:cs="Arial" w:eastAsia="Arial" w:hAnsi="Arial"/>
          <w:sz w:val="18"/>
          <w:szCs w:val="18"/>
          <w:color w:val="auto"/>
        </w:rPr>
        <w:t xml:space="preserve"> </w:t>
      </w:r>
      <w:r>
        <w:rPr>
          <w:rFonts w:ascii="Arial" w:cs="Arial" w:eastAsia="Arial" w:hAnsi="Arial"/>
          <w:sz w:val="18"/>
          <w:szCs w:val="18"/>
          <w:b w:val="1"/>
          <w:bCs w:val="1"/>
          <w:color w:val="auto"/>
        </w:rPr>
        <w:t>CONSTRUED IN ACCORDANCE WITH THE LAWS OF THE STATE OF NEW YORK.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30" w:name="page31"/>
    <w:bookmarkEnd w:id="3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00" w:lineRule="exact"/>
        <w:rPr>
          <w:sz w:val="20"/>
          <w:szCs w:val="20"/>
          <w:color w:val="auto"/>
        </w:rPr>
      </w:pPr>
    </w:p>
    <w:p>
      <w:pPr>
        <w:spacing w:after="0" w:line="264" w:lineRule="exact"/>
        <w:rPr>
          <w:sz w:val="20"/>
          <w:szCs w:val="20"/>
          <w:color w:val="auto"/>
        </w:rPr>
      </w:pPr>
    </w:p>
    <w:p>
      <w:pPr>
        <w:ind w:left="5700"/>
        <w:spacing w:after="0"/>
        <w:rPr>
          <w:sz w:val="20"/>
          <w:szCs w:val="20"/>
          <w:color w:val="auto"/>
        </w:rPr>
      </w:pPr>
      <w:r>
        <w:rPr>
          <w:rFonts w:ascii="Arial" w:cs="Arial" w:eastAsia="Arial" w:hAnsi="Arial"/>
          <w:sz w:val="18"/>
          <w:szCs w:val="18"/>
          <w:b w:val="1"/>
          <w:bCs w:val="1"/>
          <w:u w:val="single" w:color="auto"/>
          <w:color w:val="auto"/>
        </w:rPr>
        <w:t>ISSUERS</w:t>
      </w:r>
      <w:r>
        <w:rPr>
          <w:rFonts w:ascii="Arial" w:cs="Arial" w:eastAsia="Arial" w:hAnsi="Arial"/>
          <w:sz w:val="18"/>
          <w:szCs w:val="18"/>
          <w:b w:val="1"/>
          <w:bCs w:val="1"/>
          <w:color w:val="auto"/>
        </w:rPr>
        <w:t>:</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PAA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PLAINS AAP, 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14605</wp:posOffset>
            </wp:positionV>
            <wp:extent cx="22898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Charles Kingswell-Smith</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14605</wp:posOffset>
            </wp:positionV>
            <wp:extent cx="22898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Charles Kingswell-Smith</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Signature Page to Twenty-Fifth Supplemental Indenture</w:t>
      </w:r>
    </w:p>
    <w:p>
      <w:pPr>
        <w:sectPr>
          <w:pgSz w:w="11900" w:h="16838" w:orient="portrait"/>
          <w:cols w:equalWidth="0" w:num="1">
            <w:col w:w="9120"/>
          </w:cols>
          <w:pgMar w:left="1440" w:top="274" w:right="1339" w:bottom="1440" w:gutter="0" w:footer="0" w:header="0"/>
        </w:sectPr>
      </w:pPr>
    </w:p>
    <w:bookmarkStart w:id="31" w:name="page32"/>
    <w:bookmarkEnd w:id="31"/>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w:t>
      </w:r>
      <w:r>
        <w:rPr>
          <w:rFonts w:ascii="Arial" w:cs="Arial" w:eastAsia="Arial" w:hAnsi="Arial"/>
          <w:sz w:val="18"/>
          <w:szCs w:val="18"/>
          <w:b w:val="1"/>
          <w:bCs w:val="1"/>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Shazia Flores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Twenty-Fifth Supplemental Indenture</w:t>
      </w:r>
    </w:p>
    <w:p>
      <w:pPr>
        <w:sectPr>
          <w:pgSz w:w="11900" w:h="16838" w:orient="portrait"/>
          <w:cols w:equalWidth="0" w:num="1">
            <w:col w:w="9019"/>
          </w:cols>
          <w:pgMar w:left="1440" w:top="27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 A</w:t>
            </w:r>
          </w:p>
        </w:tc>
      </w:tr>
      <w:tr>
        <w:trPr>
          <w:trHeight w:val="453"/>
        </w:trPr>
        <w:tc>
          <w:tcPr>
            <w:tcW w:w="3240" w:type="dxa"/>
            <w:vAlign w:val="bottom"/>
          </w:tcPr>
          <w:p>
            <w:pPr>
              <w:spacing w:after="0"/>
              <w:rPr>
                <w:sz w:val="24"/>
                <w:szCs w:val="24"/>
                <w:color w:val="auto"/>
              </w:rPr>
            </w:pPr>
          </w:p>
        </w:tc>
        <w:tc>
          <w:tcPr>
            <w:tcW w:w="8180" w:type="dxa"/>
            <w:vAlign w:val="bottom"/>
            <w:gridSpan w:val="3"/>
          </w:tcPr>
          <w:p>
            <w:pPr>
              <w:ind w:left="1640"/>
              <w:spacing w:after="0"/>
              <w:rPr>
                <w:sz w:val="20"/>
                <w:szCs w:val="20"/>
                <w:color w:val="auto"/>
              </w:rPr>
            </w:pPr>
            <w:r>
              <w:rPr>
                <w:rFonts w:ascii="Arial" w:cs="Arial" w:eastAsia="Arial" w:hAnsi="Arial"/>
                <w:sz w:val="18"/>
                <w:szCs w:val="18"/>
                <w:color w:val="auto"/>
              </w:rPr>
              <w:t>(Form of Face of Note)</w:t>
            </w:r>
          </w:p>
        </w:tc>
      </w:tr>
      <w:tr>
        <w:trPr>
          <w:trHeight w:val="419"/>
        </w:trPr>
        <w:tc>
          <w:tcPr>
            <w:tcW w:w="3240" w:type="dxa"/>
            <w:vAlign w:val="bottom"/>
          </w:tcPr>
          <w:p>
            <w:pPr>
              <w:spacing w:after="0"/>
              <w:rPr>
                <w:sz w:val="20"/>
                <w:szCs w:val="20"/>
                <w:color w:val="auto"/>
              </w:rPr>
            </w:pPr>
            <w:r>
              <w:rPr>
                <w:rFonts w:ascii="Arial" w:cs="Arial" w:eastAsia="Arial" w:hAnsi="Arial"/>
                <w:sz w:val="18"/>
                <w:szCs w:val="18"/>
                <w:color w:val="auto"/>
              </w:rPr>
              <w:t>CUSIP 72650RBE1</w:t>
            </w:r>
          </w:p>
        </w:tc>
        <w:tc>
          <w:tcPr>
            <w:tcW w:w="7280" w:type="dxa"/>
            <w:vAlign w:val="bottom"/>
          </w:tcPr>
          <w:p>
            <w:pPr>
              <w:spacing w:after="0"/>
              <w:rPr>
                <w:sz w:val="24"/>
                <w:szCs w:val="24"/>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No.</w:t>
            </w:r>
          </w:p>
        </w:tc>
      </w:tr>
      <w:tr>
        <w:trPr>
          <w:trHeight w:val="196"/>
        </w:trPr>
        <w:tc>
          <w:tcPr>
            <w:tcW w:w="3240" w:type="dxa"/>
            <w:vAlign w:val="bottom"/>
          </w:tcPr>
          <w:p>
            <w:pPr>
              <w:spacing w:after="0" w:line="196" w:lineRule="exact"/>
              <w:rPr>
                <w:sz w:val="20"/>
                <w:szCs w:val="20"/>
                <w:color w:val="auto"/>
              </w:rPr>
            </w:pPr>
            <w:r>
              <w:rPr>
                <w:rFonts w:ascii="Arial" w:cs="Arial" w:eastAsia="Arial" w:hAnsi="Arial"/>
                <w:sz w:val="18"/>
                <w:szCs w:val="18"/>
                <w:color w:val="auto"/>
              </w:rPr>
              <w:t>ISIN US72650RBE18</w:t>
            </w:r>
          </w:p>
        </w:tc>
        <w:tc>
          <w:tcPr>
            <w:tcW w:w="7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FINANCE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4.70% Senior Notes due 2044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 Delaware limited partnership, and PAA Finance Corp., a Delaware corporation, jointly and severally promise to pay to</w:t>
      </w:r>
    </w:p>
    <w:p>
      <w:pPr>
        <w:spacing w:after="0" w:line="46" w:lineRule="exact"/>
        <w:rPr>
          <w:sz w:val="20"/>
          <w:szCs w:val="20"/>
          <w:color w:val="auto"/>
        </w:rPr>
      </w:pPr>
    </w:p>
    <w:p>
      <w:pPr>
        <w:jc w:val="both"/>
        <w:ind w:right="240" w:firstLine="900"/>
        <w:spacing w:after="0" w:line="261" w:lineRule="auto"/>
        <w:rPr>
          <w:sz w:val="20"/>
          <w:szCs w:val="20"/>
          <w:color w:val="auto"/>
        </w:rPr>
      </w:pPr>
      <w:r>
        <w:rPr>
          <w:rFonts w:ascii="Arial" w:cs="Arial" w:eastAsia="Arial" w:hAnsi="Arial"/>
          <w:sz w:val="18"/>
          <w:szCs w:val="18"/>
          <w:color w:val="auto"/>
        </w:rPr>
        <w:t>, or registered assigns, the principal sum of Dollars [or such greater or lesser amount as may be endorsed on the Schedule attached hereto]</w:t>
      </w:r>
      <w:r>
        <w:rPr>
          <w:rFonts w:ascii="Arial" w:cs="Arial" w:eastAsia="Arial" w:hAnsi="Arial"/>
          <w:sz w:val="15"/>
          <w:szCs w:val="15"/>
          <w:color w:val="auto"/>
        </w:rPr>
        <w:t>1</w:t>
      </w:r>
      <w:r>
        <w:rPr>
          <w:rFonts w:ascii="Arial" w:cs="Arial" w:eastAsia="Arial" w:hAnsi="Arial"/>
          <w:sz w:val="18"/>
          <w:szCs w:val="18"/>
          <w:color w:val="auto"/>
        </w:rPr>
        <w:t xml:space="preserve"> on June 15, 2044.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June 15 and December 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Dates: June 1 and December 1</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ALL AMERICAN PIPELINE, L.P.</w:t>
      </w:r>
    </w:p>
    <w:p>
      <w:pPr>
        <w:spacing w:after="0" w:line="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PAA GP LLC, its General Partner</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Plains AAP, L.P., its Sole Member</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20" w:type="dxa"/>
            <w:vAlign w:val="bottom"/>
          </w:tcPr>
          <w:p>
            <w:pPr>
              <w:spacing w:after="0"/>
              <w:rPr>
                <w:sz w:val="24"/>
                <w:szCs w:val="24"/>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182"/>
        </w:trPr>
        <w:tc>
          <w:tcPr>
            <w:tcW w:w="420" w:type="dxa"/>
            <w:vAlign w:val="bottom"/>
          </w:tcPr>
          <w:p>
            <w:pPr>
              <w:spacing w:after="0"/>
              <w:rPr>
                <w:sz w:val="15"/>
                <w:szCs w:val="15"/>
                <w:color w:val="auto"/>
              </w:rPr>
            </w:pPr>
          </w:p>
        </w:tc>
        <w:tc>
          <w:tcPr>
            <w:tcW w:w="720" w:type="dxa"/>
            <w:vAlign w:val="bottom"/>
          </w:tcPr>
          <w:p>
            <w:pPr>
              <w:ind w:left="180"/>
              <w:spacing w:after="0" w:line="182" w:lineRule="exact"/>
              <w:rPr>
                <w:sz w:val="20"/>
                <w:szCs w:val="20"/>
                <w:color w:val="auto"/>
              </w:rPr>
            </w:pPr>
            <w:r>
              <w:rPr>
                <w:rFonts w:ascii="Arial" w:cs="Arial" w:eastAsia="Arial" w:hAnsi="Arial"/>
                <w:sz w:val="18"/>
                <w:szCs w:val="18"/>
                <w:color w:val="auto"/>
                <w:w w:val="98"/>
              </w:rPr>
              <w:t>Name:</w:t>
            </w:r>
          </w:p>
        </w:tc>
        <w:tc>
          <w:tcPr>
            <w:tcW w:w="3420" w:type="dxa"/>
            <w:vAlign w:val="bottom"/>
            <w:tcBorders>
              <w:top w:val="single" w:sz="8" w:color="auto"/>
            </w:tcBorders>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Title:</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AUTHENTICATION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Debt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5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Back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Senior Notes due 2044</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Arial" w:cs="Arial" w:eastAsia="Arial" w:hAnsi="Arial"/>
          <w:sz w:val="15"/>
          <w:szCs w:val="15"/>
          <w:b w:val="1"/>
          <w:bCs w:val="1"/>
          <w:color w:val="auto"/>
        </w:rPr>
        <w:t>2</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117" w:lineRule="exact"/>
        <w:rPr>
          <w:sz w:val="20"/>
          <w:szCs w:val="20"/>
          <w:color w:val="auto"/>
        </w:rPr>
      </w:pPr>
    </w:p>
    <w:p>
      <w:pPr>
        <w:ind w:right="80" w:firstLine="921"/>
        <w:spacing w:after="0" w:line="289" w:lineRule="auto"/>
        <w:tabs>
          <w:tab w:leader="none" w:pos="109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4.70% per annum from April 23, 2014 until maturity. The Issuers shall pay interest semi-annually on June 15 and December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December 15, 2014.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58" w:lineRule="exact"/>
        <w:rPr>
          <w:rFonts w:ascii="Arial" w:cs="Arial" w:eastAsia="Arial" w:hAnsi="Arial"/>
          <w:sz w:val="16"/>
          <w:szCs w:val="16"/>
          <w:color w:val="auto"/>
        </w:rPr>
      </w:pPr>
    </w:p>
    <w:p>
      <w:pPr>
        <w:ind w:firstLine="921"/>
        <w:spacing w:after="0" w:line="257"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Issuers shall pay interest on the Notes (except defaulted interest) to the Persons who are registered Holders of Notes at the close of business on the June 1 or December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34" w:name="page35"/>
    <w:bookmarkEnd w:id="3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85" w:lineRule="exact"/>
        <w:rPr>
          <w:sz w:val="20"/>
          <w:szCs w:val="20"/>
          <w:color w:val="auto"/>
        </w:rPr>
      </w:pPr>
    </w:p>
    <w:p>
      <w:pPr>
        <w:ind w:right="260" w:firstLine="921"/>
        <w:spacing w:after="0" w:line="264" w:lineRule="auto"/>
        <w:tabs>
          <w:tab w:leader="none" w:pos="109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r>
        <w:rPr>
          <w:rFonts w:ascii="Arial" w:cs="Arial" w:eastAsia="Arial" w:hAnsi="Arial"/>
          <w:sz w:val="18"/>
          <w:szCs w:val="18"/>
          <w:color w:val="auto"/>
        </w:rPr>
        <w:t>. Initially, U.S.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73" w:lineRule="exact"/>
        <w:rPr>
          <w:rFonts w:ascii="Arial" w:cs="Arial" w:eastAsia="Arial" w:hAnsi="Arial"/>
          <w:sz w:val="18"/>
          <w:szCs w:val="18"/>
          <w:color w:val="auto"/>
        </w:rPr>
      </w:pPr>
    </w:p>
    <w:p>
      <w:pPr>
        <w:ind w:firstLine="921"/>
        <w:spacing w:after="0" w:line="286" w:lineRule="auto"/>
        <w:tabs>
          <w:tab w:leader="none" w:pos="109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Issuers issued the Notes under an Indenture dated as of September 25, 2002 (the “Original Indenture”), as supplemented by the Twenty-Fifth Supplemental Indenture dated as of April 23, 2014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66" w:lineRule="exact"/>
        <w:rPr>
          <w:rFonts w:ascii="Arial" w:cs="Arial" w:eastAsia="Arial" w:hAnsi="Arial"/>
          <w:sz w:val="16"/>
          <w:szCs w:val="16"/>
          <w:color w:val="auto"/>
        </w:rPr>
      </w:pPr>
    </w:p>
    <w:p>
      <w:pPr>
        <w:ind w:left="1100" w:hanging="179"/>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 time to time.</w:t>
      </w:r>
    </w:p>
    <w:p>
      <w:pPr>
        <w:spacing w:after="0" w:line="140" w:lineRule="exact"/>
        <w:rPr>
          <w:rFonts w:ascii="Arial" w:cs="Arial" w:eastAsia="Arial" w:hAnsi="Arial"/>
          <w:sz w:val="16"/>
          <w:szCs w:val="16"/>
          <w:color w:val="auto"/>
        </w:rPr>
      </w:pPr>
    </w:p>
    <w:p>
      <w:pPr>
        <w:ind w:right="380" w:firstLine="921"/>
        <w:spacing w:after="0" w:line="264" w:lineRule="auto"/>
        <w:tabs>
          <w:tab w:leader="none" w:pos="11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redeem the Notes before December 15, 2043,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35" w:name="page36"/>
    <w:bookmarkEnd w:id="35"/>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redeemed (not including any portion of those payments of interest accrued as of the date of redemption) discounted to the date of redemption on a semi-annual basis (assuming a 360-day year consisting of twelve 30-day months) at the Adjusted Treasury Rate (as defined below) plus 20 basis points, plus, in either case, accrued and unpaid interest to the date of redemption (subject to the right of Holders on the relevant record date to receive interest due on the relevant interest payment date).</w:t>
      </w:r>
    </w:p>
    <w:p>
      <w:pPr>
        <w:spacing w:after="0" w:line="79" w:lineRule="exact"/>
        <w:rPr>
          <w:sz w:val="20"/>
          <w:szCs w:val="20"/>
          <w:color w:val="auto"/>
        </w:rPr>
      </w:pPr>
    </w:p>
    <w:p>
      <w:pPr>
        <w:ind w:right="20" w:firstLine="921"/>
        <w:spacing w:after="0" w:line="264" w:lineRule="auto"/>
        <w:tabs>
          <w:tab w:leader="none" w:pos="11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redeem the Notes on or after December 15, 2043,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determining any redemption price, the following definitions shall apply:</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“Quotation Agent” means a Primary Treasury Dealer (as defined below) appointed by the Issuers.</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“Reference Treasury Dealer” means (a) Citigroup Global Markets Inc. and its successors, (b) a primary U.S. Government securities dealer in the United States (a “Primary Treasury Dealer”) selected by SunTrust Robinson Humphrey, Inc., (c) UBS Securities LLC and its successors and (d) a Primary Treasury Dealer selected by Wells Fargo Securities, LLC; provided, however, that if any of the foregoing shall cease to be a Primary Treasury Dealer, the Issuers shall substitute another Primary Treasury Dealer.</w:t>
      </w:r>
    </w:p>
    <w:p>
      <w:pPr>
        <w:spacing w:after="0" w:line="187"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60"/>
          </w:cols>
          <w:pgMar w:left="240" w:top="274" w:right="299" w:bottom="1440" w:gutter="0" w:footer="0" w:header="0"/>
        </w:sectPr>
      </w:pPr>
    </w:p>
    <w:bookmarkStart w:id="36" w:name="page37"/>
    <w:bookmarkEnd w:id="36"/>
    <w:p>
      <w:pPr>
        <w:ind w:left="-20" w:right="200" w:firstLine="921"/>
        <w:spacing w:after="0" w:line="279" w:lineRule="auto"/>
        <w:tabs>
          <w:tab w:leader="none" w:pos="107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Redemption</w:t>
      </w:r>
      <w:r>
        <w:rPr>
          <w:rFonts w:ascii="Arial" w:cs="Arial" w:eastAsia="Arial" w:hAnsi="Arial"/>
          <w:sz w:val="17"/>
          <w:szCs w:val="17"/>
          <w:color w:val="auto"/>
        </w:rPr>
        <w:t>.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w:t>
      </w:r>
    </w:p>
    <w:p>
      <w:pPr>
        <w:spacing w:after="0" w:line="63" w:lineRule="exact"/>
        <w:rPr>
          <w:rFonts w:ascii="Arial" w:cs="Arial" w:eastAsia="Arial" w:hAnsi="Arial"/>
          <w:sz w:val="17"/>
          <w:szCs w:val="17"/>
          <w:color w:val="auto"/>
        </w:rPr>
      </w:pPr>
    </w:p>
    <w:p>
      <w:pPr>
        <w:ind w:left="-20" w:firstLine="921"/>
        <w:spacing w:after="0" w:line="272" w:lineRule="auto"/>
        <w:tabs>
          <w:tab w:leader="none" w:pos="107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69" w:lineRule="exact"/>
        <w:rPr>
          <w:rFonts w:ascii="Arial" w:cs="Arial" w:eastAsia="Arial" w:hAnsi="Arial"/>
          <w:sz w:val="17"/>
          <w:szCs w:val="17"/>
          <w:color w:val="auto"/>
        </w:rPr>
      </w:pPr>
    </w:p>
    <w:p>
      <w:pPr>
        <w:ind w:left="1080" w:hanging="179"/>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shall be treated as its owner for all purposes.</w:t>
      </w:r>
    </w:p>
    <w:p>
      <w:pPr>
        <w:spacing w:after="0" w:line="117" w:lineRule="exact"/>
        <w:rPr>
          <w:rFonts w:ascii="Arial" w:cs="Arial" w:eastAsia="Arial" w:hAnsi="Arial"/>
          <w:sz w:val="18"/>
          <w:szCs w:val="18"/>
          <w:color w:val="auto"/>
        </w:rPr>
      </w:pPr>
    </w:p>
    <w:p>
      <w:pPr>
        <w:ind w:left="-20" w:right="20" w:firstLine="921"/>
        <w:spacing w:after="0" w:line="269" w:lineRule="auto"/>
        <w:tabs>
          <w:tab w:leader="none" w:pos="107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Amendment, Supplement and Waiver</w:t>
      </w:r>
      <w:r>
        <w:rPr>
          <w:rFonts w:ascii="Arial" w:cs="Arial" w:eastAsia="Arial" w:hAnsi="Arial"/>
          <w:sz w:val="17"/>
          <w:szCs w:val="17"/>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w:t>
      </w:r>
    </w:p>
    <w:p>
      <w:pPr>
        <w:spacing w:after="0" w:line="74" w:lineRule="exact"/>
        <w:rPr>
          <w:rFonts w:ascii="Arial" w:cs="Arial" w:eastAsia="Arial" w:hAnsi="Arial"/>
          <w:sz w:val="17"/>
          <w:szCs w:val="17"/>
          <w:color w:val="auto"/>
        </w:rPr>
      </w:pPr>
    </w:p>
    <w:p>
      <w:pPr>
        <w:jc w:val="both"/>
        <w:ind w:left="-20" w:right="20" w:firstLine="921"/>
        <w:spacing w:after="0" w:line="312" w:lineRule="auto"/>
        <w:tabs>
          <w:tab w:leader="none" w:pos="116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 need not be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60" w:top="274" w:right="239" w:bottom="1440" w:gutter="0" w:footer="0" w:header="0"/>
        </w:sectPr>
      </w:pPr>
    </w:p>
    <w:bookmarkStart w:id="37" w:name="page38"/>
    <w:bookmarkEnd w:id="3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70" w:lineRule="exact"/>
        <w:rPr>
          <w:sz w:val="20"/>
          <w:szCs w:val="20"/>
          <w:color w:val="auto"/>
        </w:rPr>
      </w:pPr>
    </w:p>
    <w:p>
      <w:pPr>
        <w:ind w:right="380" w:firstLine="921"/>
        <w:spacing w:after="0" w:line="308" w:lineRule="auto"/>
        <w:tabs>
          <w:tab w:leader="none" w:pos="117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Trustee Dealings with Issuers</w:t>
      </w:r>
      <w:r>
        <w:rPr>
          <w:rFonts w:ascii="Arial" w:cs="Arial" w:eastAsia="Arial" w:hAnsi="Arial"/>
          <w:sz w:val="17"/>
          <w:szCs w:val="17"/>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38" w:name="page39"/>
    <w:bookmarkEnd w:id="38"/>
    <w:p>
      <w:pPr>
        <w:ind w:left="-20" w:firstLine="921"/>
        <w:spacing w:after="0" w:line="259" w:lineRule="auto"/>
        <w:tabs>
          <w:tab w:leader="none" w:pos="116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 Against Others</w:t>
      </w:r>
      <w:r>
        <w:rPr>
          <w:rFonts w:ascii="Arial" w:cs="Arial" w:eastAsia="Arial" w:hAnsi="Arial"/>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78" w:lineRule="exact"/>
        <w:rPr>
          <w:rFonts w:ascii="Arial" w:cs="Arial" w:eastAsia="Arial" w:hAnsi="Arial"/>
          <w:sz w:val="18"/>
          <w:szCs w:val="18"/>
          <w:color w:val="auto"/>
        </w:rPr>
      </w:pPr>
    </w:p>
    <w:p>
      <w:pPr>
        <w:ind w:left="1180" w:hanging="279"/>
        <w:spacing w:after="0"/>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128" w:lineRule="exact"/>
        <w:rPr>
          <w:rFonts w:ascii="Arial" w:cs="Arial" w:eastAsia="Arial" w:hAnsi="Arial"/>
          <w:sz w:val="17"/>
          <w:szCs w:val="17"/>
          <w:color w:val="auto"/>
        </w:rPr>
      </w:pPr>
    </w:p>
    <w:p>
      <w:pPr>
        <w:ind w:left="-20" w:right="20" w:firstLine="921"/>
        <w:spacing w:after="0" w:line="264" w:lineRule="auto"/>
        <w:tabs>
          <w:tab w:leader="none" w:pos="116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73" w:lineRule="exact"/>
        <w:rPr>
          <w:rFonts w:ascii="Arial" w:cs="Arial" w:eastAsia="Arial" w:hAnsi="Arial"/>
          <w:sz w:val="18"/>
          <w:szCs w:val="18"/>
          <w:color w:val="auto"/>
        </w:rPr>
      </w:pPr>
    </w:p>
    <w:p>
      <w:pPr>
        <w:jc w:val="both"/>
        <w:ind w:left="-20" w:right="40" w:firstLine="921"/>
        <w:spacing w:after="0" w:line="302" w:lineRule="auto"/>
        <w:tabs>
          <w:tab w:leader="none" w:pos="116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CUSIP and ISIN Numbers</w:t>
      </w:r>
      <w:r>
        <w:rPr>
          <w:rFonts w:ascii="Arial" w:cs="Arial" w:eastAsia="Arial" w:hAnsi="Arial"/>
          <w:sz w:val="16"/>
          <w:szCs w:val="16"/>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Issuers shall furnish to any Holder upon written request and without charge a copy of the Indenture. Requests may be made to:</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Investor Relations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74" w:right="239" w:bottom="1440" w:gutter="0" w:footer="0" w:header="0"/>
        </w:sectPr>
      </w:pPr>
    </w:p>
    <w:bookmarkStart w:id="39" w:name="page40"/>
    <w:bookmarkEnd w:id="39"/>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769620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agent to transfer this Note on the books of the Issuers.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028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14605</wp:posOffset>
            </wp:positionV>
            <wp:extent cx="19983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5"/>
          <w:szCs w:val="15"/>
          <w:color w:val="auto"/>
        </w:rPr>
        <w:t>(Sign exactly as your name appears on the</w:t>
      </w:r>
    </w:p>
    <w:p>
      <w:pPr>
        <w:spacing w:after="0" w:line="58"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face of this 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 w:lineRule="exact"/>
        <w:rPr>
          <w:sz w:val="20"/>
          <w:szCs w:val="20"/>
          <w:color w:val="auto"/>
        </w:rPr>
      </w:pPr>
    </w:p>
    <w:p>
      <w:pPr>
        <w:ind w:left="2080" w:right="220"/>
        <w:spacing w:after="0" w:line="302" w:lineRule="auto"/>
        <w:rPr>
          <w:sz w:val="20"/>
          <w:szCs w:val="20"/>
          <w:color w:val="auto"/>
        </w:rPr>
      </w:pPr>
      <w:r>
        <w:rPr>
          <w:rFonts w:ascii="Arial" w:cs="Arial" w:eastAsia="Arial" w:hAnsi="Arial"/>
          <w:sz w:val="16"/>
          <w:szCs w:val="16"/>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20"/>
          </w:cols>
          <w:pgMar w:left="240" w:top="270"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INCREASES OR DECREASES IN THE GLOBAL NOTE</w:t>
      </w:r>
      <w:r>
        <w:rPr>
          <w:rFonts w:ascii="Arial" w:cs="Arial" w:eastAsia="Arial" w:hAnsi="Arial"/>
          <w:sz w:val="15"/>
          <w:szCs w:val="15"/>
          <w:b w:val="1"/>
          <w:bCs w:val="1"/>
          <w:color w:val="auto"/>
        </w:rPr>
        <w:t>3</w:t>
      </w:r>
    </w:p>
    <w:p>
      <w:pPr>
        <w:spacing w:after="0" w:line="229" w:lineRule="exact"/>
        <w:rPr>
          <w:sz w:val="20"/>
          <w:szCs w:val="20"/>
          <w:color w:val="auto"/>
        </w:rPr>
      </w:pPr>
    </w:p>
    <w:p>
      <w:pPr>
        <w:ind w:left="460"/>
        <w:spacing w:after="0"/>
        <w:tabs>
          <w:tab w:leader="none" w:pos="4920" w:val="left"/>
        </w:tabs>
        <w:rPr>
          <w:sz w:val="20"/>
          <w:szCs w:val="20"/>
          <w:color w:val="auto"/>
        </w:rPr>
      </w:pPr>
      <w:r>
        <w:rPr>
          <w:rFonts w:ascii="Arial" w:cs="Arial" w:eastAsia="Arial" w:hAnsi="Arial"/>
          <w:sz w:val="18"/>
          <w:szCs w:val="18"/>
          <w:color w:val="auto"/>
        </w:rPr>
        <w:t>The original principal amount of this Global Note is $</w:t>
      </w:r>
      <w:r>
        <w:rPr>
          <w:sz w:val="20"/>
          <w:szCs w:val="20"/>
          <w:color w:val="auto"/>
        </w:rPr>
        <w:tab/>
      </w:r>
      <w:r>
        <w:rPr>
          <w:rFonts w:ascii="Arial" w:cs="Arial" w:eastAsia="Arial" w:hAnsi="Arial"/>
          <w:sz w:val="16"/>
          <w:szCs w:val="16"/>
          <w:color w:val="auto"/>
        </w:rPr>
        <w:t>. The following increases or decreases in this Global Note have been made:</w:t>
      </w:r>
    </w:p>
    <w:p>
      <w:pPr>
        <w:sectPr>
          <w:pgSz w:w="11900" w:h="16838" w:orient="portrait"/>
          <w:cols w:equalWidth="0" w:num="1">
            <w:col w:w="11420"/>
          </w:cols>
          <w:pgMar w:left="240" w:top="270" w:right="239" w:bottom="1440" w:gutter="0" w:footer="0" w:header="0"/>
        </w:sect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1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4"/>
              </w:rPr>
              <w:t>Amount of</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1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 in</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Date of</w:t>
            </w:r>
          </w:p>
        </w:tc>
        <w:tc>
          <w:tcPr>
            <w:tcW w:w="2200" w:type="dxa"/>
            <w:vAlign w:val="bottom"/>
          </w:tcPr>
          <w:p>
            <w:pPr>
              <w:spacing w:after="0"/>
              <w:rPr>
                <w:sz w:val="12"/>
                <w:szCs w:val="12"/>
                <w:color w:val="auto"/>
              </w:rPr>
            </w:pPr>
          </w:p>
        </w:tc>
        <w:tc>
          <w:tcPr>
            <w:tcW w:w="31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6"/>
              </w:rPr>
              <w:t>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31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of</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Exchange</w:t>
            </w:r>
          </w:p>
        </w:tc>
        <w:tc>
          <w:tcPr>
            <w:tcW w:w="22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this Global Note</w:t>
            </w:r>
          </w:p>
        </w:tc>
        <w:tc>
          <w:tcPr>
            <w:tcW w:w="96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Principal</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Amount of</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this Global</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authorized</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Note following such</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signatory of</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decrease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Trustee or Note</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increase)</w:t>
            </w:r>
          </w:p>
        </w:tc>
        <w:tc>
          <w:tcPr>
            <w:tcW w:w="5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bl>
    <w:p>
      <w:pPr>
        <w:sectPr>
          <w:pgSz w:w="11900" w:h="16838" w:orient="portrait"/>
          <w:cols w:equalWidth="0" w:num="2">
            <w:col w:w="8260" w:space="440"/>
            <w:col w:w="2720"/>
          </w:cols>
          <w:pgMar w:left="240" w:top="270" w:right="239" w:bottom="1440" w:gutter="0" w:footer="0" w:header="0"/>
          <w:type w:val="continuous"/>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B</w:t>
            </w:r>
          </w:p>
        </w:tc>
      </w:tr>
      <w:tr>
        <w:trPr>
          <w:trHeight w:val="453"/>
        </w:trPr>
        <w:tc>
          <w:tcPr>
            <w:tcW w:w="6540" w:type="dxa"/>
            <w:vAlign w:val="bottom"/>
          </w:tcPr>
          <w:p>
            <w:pPr>
              <w:ind w:left="3140"/>
              <w:spacing w:after="0"/>
              <w:rPr>
                <w:sz w:val="20"/>
                <w:szCs w:val="20"/>
                <w:color w:val="auto"/>
              </w:rPr>
            </w:pPr>
            <w:r>
              <w:rPr>
                <w:rFonts w:ascii="Arial" w:cs="Arial" w:eastAsia="Arial" w:hAnsi="Arial"/>
                <w:sz w:val="18"/>
                <w:szCs w:val="18"/>
                <w:color w:val="auto"/>
                <w:w w:val="98"/>
              </w:rPr>
              <w:t>FORM OF SUPPLEMENTAL INDENTURE</w:t>
            </w:r>
          </w:p>
        </w:tc>
        <w:tc>
          <w:tcPr>
            <w:tcW w:w="3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6540" w:type="dxa"/>
            <w:vAlign w:val="bottom"/>
          </w:tcPr>
          <w:p>
            <w:pPr>
              <w:spacing w:after="0"/>
              <w:rPr>
                <w:sz w:val="20"/>
                <w:szCs w:val="20"/>
                <w:color w:val="auto"/>
              </w:rPr>
            </w:pPr>
            <w:r>
              <w:rPr>
                <w:rFonts w:ascii="Arial" w:cs="Arial" w:eastAsia="Arial" w:hAnsi="Arial"/>
                <w:sz w:val="18"/>
                <w:szCs w:val="18"/>
                <w:color w:val="auto"/>
              </w:rPr>
              <w:t>SUPPLEMENTAL INDENTURE (this “Supplemental Indenture”), dated as of</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 among Plains All American Pipeline, L.P., a</w:t>
            </w:r>
          </w:p>
        </w:tc>
      </w:tr>
    </w:tbl>
    <w:p>
      <w:pPr>
        <w:spacing w:after="0"/>
        <w:rPr>
          <w:sz w:val="20"/>
          <w:szCs w:val="20"/>
          <w:color w:val="auto"/>
        </w:rPr>
      </w:pPr>
      <w:r>
        <w:rPr>
          <w:rFonts w:ascii="Arial" w:cs="Arial" w:eastAsia="Arial" w:hAnsi="Arial"/>
          <w:sz w:val="17"/>
          <w:szCs w:val="17"/>
          <w:color w:val="auto"/>
        </w:rPr>
        <w:t>Delaware limited partnership (the “Partnership”), PAA Finance Corp., a Delaware corporation (“PAA Finance” and, together with the Partnership, the</w:t>
      </w:r>
    </w:p>
    <w:p>
      <w:pPr>
        <w:spacing w:after="0" w:line="21"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“Issuers”), (the “Subsidiary Guarantor”), a direct or indirect subsidiary of Plains All American Pipeline, L.P. (or its successor), a Delaware limited partnership (the “Partnership”), and U.S. Bank National Association, as trustee under the indenture referred to below (the “Trustee”).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WHEREAS, the Issuers have heretofore executed and delivered to the Trustee an indenture (the “Original Indenture”), dated as of September 25, 2002, as supplemented by the Twenty-Fifth Supplemental Indenture (the “Twenty-Fifth Supplemental Indenture” and, together with the Original Indenture, the “Indenture”) dated as of April 23, 2014, among the Issuers and the Trustee, providing for the issuance of the Issuers’ 4.70% Senior Notes due 2044 (the “Notes”);</w:t>
      </w:r>
    </w:p>
    <w:p>
      <w:pPr>
        <w:spacing w:after="0" w:line="187"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WHEREAS, Section 5.05 of the Twenty-Fifth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47"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73" w:lineRule="exact"/>
        <w:rPr>
          <w:sz w:val="20"/>
          <w:szCs w:val="20"/>
          <w:color w:val="auto"/>
        </w:rPr>
      </w:pPr>
    </w:p>
    <w:p>
      <w:pPr>
        <w:ind w:left="1100" w:hanging="179"/>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assigned to them in the Indenture.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For all purposes of this Supplemental Indenture, except as otherwise herein expressly provided or unless the context otherwise requires:</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terms and expressions used herein shall have the same meanings as corresponding terms and expressions used in the Indenture; and (ii) the words</w:t>
      </w:r>
    </w:p>
    <w:p>
      <w:pPr>
        <w:spacing w:after="0" w:line="32"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“herein,” “hereof” and “hereby” and other words of similar import used in this Supplemental Indenture refer to this Supplemental Indenture as a whole and not to any particular section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57" w:right="239" w:bottom="1440" w:gutter="0" w:footer="0" w:header="0"/>
        </w:sectPr>
      </w:pPr>
    </w:p>
    <w:bookmarkStart w:id="42" w:name="page43"/>
    <w:bookmarkEnd w:id="42"/>
    <w:p>
      <w:pPr>
        <w:ind w:right="260" w:firstLine="921"/>
        <w:spacing w:after="0" w:line="297" w:lineRule="auto"/>
        <w:tabs>
          <w:tab w:leader="none" w:pos="109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to Guarantee</w:t>
      </w:r>
      <w:r>
        <w:rPr>
          <w:rFonts w:ascii="Arial" w:cs="Arial" w:eastAsia="Arial" w:hAnsi="Arial"/>
          <w:sz w:val="16"/>
          <w:szCs w:val="16"/>
          <w:color w:val="auto"/>
        </w:rPr>
        <w:t>. The Subsidiary Guarantor hereby agrees, jointly and severally with all other Subsidiary Guarantors under the Indenture, if any, to guarantee the Issuers’ obligations under the Notes on the terms and subject to the conditions set forth in Article IX of the Twenty-Fifth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46" w:lineRule="exact"/>
        <w:rPr>
          <w:rFonts w:ascii="Arial" w:cs="Arial" w:eastAsia="Arial" w:hAnsi="Arial"/>
          <w:sz w:val="16"/>
          <w:szCs w:val="16"/>
          <w:color w:val="auto"/>
        </w:rPr>
      </w:pPr>
    </w:p>
    <w:p>
      <w:pPr>
        <w:ind w:left="1100" w:hanging="179"/>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SUPPLEMENTAL INDENTURE SHALL BE DEEMED TO BE A NEW YORK CONTRACT, AND FOR</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ALL PURPOSES SHALL BE CONSTRUED IN ACCORDANCE WITH, THE LAWS OF THE STATE OF NEW YORK.</w:t>
      </w:r>
    </w:p>
    <w:p>
      <w:pPr>
        <w:spacing w:after="0" w:line="102" w:lineRule="exact"/>
        <w:rPr>
          <w:rFonts w:ascii="Arial" w:cs="Arial" w:eastAsia="Arial" w:hAnsi="Arial"/>
          <w:sz w:val="18"/>
          <w:szCs w:val="18"/>
          <w:color w:val="auto"/>
        </w:rPr>
      </w:pPr>
    </w:p>
    <w:p>
      <w:pPr>
        <w:ind w:left="1100" w:hanging="179"/>
        <w:spacing w:after="0"/>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Trustee Makes No Representation</w:t>
      </w:r>
      <w:r>
        <w:rPr>
          <w:rFonts w:ascii="Arial" w:cs="Arial" w:eastAsia="Arial" w:hAnsi="Arial"/>
          <w:sz w:val="17"/>
          <w:szCs w:val="17"/>
          <w:color w:val="auto"/>
        </w:rPr>
        <w:t>. The Trustee makes no representation as to the validity or sufficiency of this Supplemental Indenture.</w:t>
      </w:r>
    </w:p>
    <w:p>
      <w:pPr>
        <w:spacing w:after="0" w:line="128" w:lineRule="exact"/>
        <w:rPr>
          <w:rFonts w:ascii="Arial" w:cs="Arial" w:eastAsia="Arial" w:hAnsi="Arial"/>
          <w:sz w:val="17"/>
          <w:szCs w:val="17"/>
          <w:color w:val="auto"/>
        </w:rPr>
      </w:pPr>
    </w:p>
    <w:p>
      <w:pPr>
        <w:ind w:firstLine="921"/>
        <w:spacing w:after="0" w:line="277" w:lineRule="auto"/>
        <w:tabs>
          <w:tab w:leader="none" w:pos="109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1100" w:hanging="179"/>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effect the construction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Plains All American GP LLC, its General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Partner</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4872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3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14605</wp:posOffset>
            </wp:positionV>
            <wp:extent cx="26841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[SUBSIDIARY GUARANTOR],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14605</wp:posOffset>
            </wp:positionV>
            <wp:extent cx="2684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14605</wp:posOffset>
            </wp:positionV>
            <wp:extent cx="2684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B-3</w:t>
      </w:r>
    </w:p>
    <w:sectPr>
      <w:pgSz w:w="11900" w:h="16838" w:orient="portrait"/>
      <w:cols w:equalWidth="0" w:num="1">
        <w:col w:w="10100"/>
      </w:cols>
      <w:pgMar w:left="116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lvl w:ilvl="1">
      <w:lvlJc w:val="left"/>
      <w:lvlText w:val="•"/>
      <w:numFmt w:val="bullet"/>
      <w:start w:val="1"/>
    </w:lvl>
  </w:abstractNum>
  <w:abstractNum w:abstractNumId="2">
    <w:nsid w:val="721DA317"/>
    <w:multiLevelType w:val="hybridMultilevel"/>
    <w:lvl w:ilvl="0">
      <w:lvlJc w:val="left"/>
      <w:lvlText w:val="(%1)"/>
      <w:numFmt w:val="lowerLetter"/>
      <w:start w:val="4"/>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9"/>
    </w:lvl>
  </w:abstractNum>
  <w:abstractNum w:abstractNumId="6">
    <w:nsid w:val="75A2A8D4"/>
    <w:multiLevelType w:val="hybridMultilevel"/>
    <w:lvl w:ilvl="0">
      <w:lvlJc w:val="left"/>
      <w:lvlText w:val="(%1)"/>
      <w:numFmt w:val="decimal"/>
      <w:start w:val="17"/>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2"/>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8"/>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lvl w:ilvl="1">
      <w:lvlJc w:val="left"/>
      <w:lvlText w:val="(%2)"/>
      <w:numFmt w:val="lowerRoman"/>
      <w:start w:val="1"/>
    </w:lvl>
  </w:abstractNum>
  <w:abstractNum w:abstractNumId="17">
    <w:nsid w:val="3A95F874"/>
    <w:multiLevelType w:val="hybridMultilevel"/>
    <w:lvl w:ilvl="0">
      <w:lvlJc w:val="left"/>
      <w:lvlText w:val="(%1)"/>
      <w:numFmt w:val="lowerRoman"/>
      <w:start w:val="6"/>
    </w:lvl>
    <w:lvl w:ilvl="1">
      <w:lvlJc w:val="left"/>
      <w:lvlText w:val="(%2)"/>
      <w:numFmt w:val="upperLetter"/>
      <w:start w:val="1"/>
    </w:lvl>
  </w:abstractNum>
  <w:abstractNum w:abstractNumId="18">
    <w:nsid w:val="8138641"/>
    <w:multiLevelType w:val="hybridMultilevel"/>
    <w:lvl w:ilvl="0">
      <w:lvlJc w:val="left"/>
      <w:lvlText w:val="(%1)"/>
      <w:numFmt w:val="lowerLetter"/>
      <w:start w:val="2"/>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lvl w:ilvl="1">
      <w:lvlJc w:val="left"/>
      <w:lvlText w:val="(%2)"/>
      <w:numFmt w:val="lowerLetter"/>
      <w:start w:val="1"/>
    </w:lvl>
  </w:abstractNum>
  <w:abstractNum w:abstractNumId="21">
    <w:nsid w:val="737B8DDC"/>
    <w:multiLevelType w:val="hybridMultilevel"/>
    <w:lvl w:ilvl="0">
      <w:lvlJc w:val="left"/>
      <w:lvlText w:val="(%1)"/>
      <w:numFmt w:val="lowerLetter"/>
      <w:start w:val="9"/>
    </w:lvl>
    <w:lvl w:ilvl="1">
      <w:lvlJc w:val="left"/>
      <w:lvlText w:val="(%2)"/>
      <w:numFmt w:val="lowerLetter"/>
      <w:start w:val="3"/>
    </w:lvl>
  </w:abstractNum>
  <w:abstractNum w:abstractNumId="22">
    <w:nsid w:val="6CEAF087"/>
    <w:multiLevelType w:val="hybridMultilevel"/>
    <w:lvl w:ilvl="0">
      <w:lvlJc w:val="left"/>
      <w:lvlText w:val="(%1)"/>
      <w:numFmt w:val="lowerLetter"/>
      <w:start w:val="6"/>
    </w:lvl>
  </w:abstractNum>
  <w:abstractNum w:abstractNumId="23">
    <w:nsid w:val="22221A70"/>
    <w:multiLevelType w:val="hybridMultilevel"/>
    <w:lvl w:ilvl="0">
      <w:lvlJc w:val="left"/>
      <w:lvlText w:val="(%1)"/>
      <w:numFmt w:val="lowerLetter"/>
      <w:start w:val="2"/>
    </w:lvl>
  </w:abstractNum>
  <w:abstractNum w:abstractNumId="24">
    <w:nsid w:val="4516DDE9"/>
    <w:multiLevelType w:val="hybridMultilevel"/>
    <w:lvl w:ilvl="0">
      <w:lvlJc w:val="left"/>
      <w:lvlText w:val="(%1)"/>
      <w:numFmt w:val="lowerLetter"/>
      <w:start w:val="3"/>
    </w:lvl>
  </w:abstractNum>
  <w:abstractNum w:abstractNumId="25">
    <w:nsid w:val="3006C83E"/>
    <w:multiLevelType w:val="hybridMultilevel"/>
    <w:lvl w:ilvl="0">
      <w:lvlJc w:val="left"/>
      <w:lvlText w:val="(%1)"/>
      <w:numFmt w:val="lowerLetter"/>
      <w:start w:val="8"/>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2"/>
      <w:numFmt w:val="bullet"/>
      <w:start w:val="1"/>
    </w:lvl>
  </w:abstractNum>
  <w:abstractNum w:abstractNumId="30">
    <w:nsid w:val="5072367"/>
    <w:multiLevelType w:val="hybridMultilevel"/>
    <w:lvl w:ilvl="0">
      <w:lvlJc w:val="left"/>
      <w:lvlText w:val="%1."/>
      <w:numFmt w:val="decimal"/>
      <w:start w:val="3"/>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3"/>
    </w:lvl>
  </w:abstractNum>
  <w:abstractNum w:abstractNumId="33">
    <w:nsid w:val="7724C67E"/>
    <w:multiLevelType w:val="hybridMultilevel"/>
    <w:lvl w:ilvl="0">
      <w:lvlJc w:val="left"/>
      <w:lvlText w:val="%1."/>
      <w:numFmt w:val="decimal"/>
      <w:start w:val="6"/>
    </w:lvl>
  </w:abstractNum>
  <w:abstractNum w:abstractNumId="34">
    <w:nsid w:val="5C482A97"/>
    <w:multiLevelType w:val="hybridMultilevel"/>
    <w:lvl w:ilvl="0">
      <w:lvlJc w:val="left"/>
      <w:lvlText w:val="%1."/>
      <w:numFmt w:val="decimal"/>
      <w:start w:val="11"/>
    </w:lvl>
  </w:abstractNum>
  <w:abstractNum w:abstractNumId="35">
    <w:nsid w:val="2463B9EA"/>
    <w:multiLevelType w:val="hybridMultilevel"/>
    <w:lvl w:ilvl="0">
      <w:lvlJc w:val="left"/>
      <w:lvlText w:val="%1."/>
      <w:numFmt w:val="decimal"/>
      <w:start w:val="12"/>
    </w:lvl>
  </w:abstractNum>
  <w:abstractNum w:abstractNumId="36">
    <w:nsid w:val="5E884ADC"/>
    <w:multiLevelType w:val="hybridMultilevel"/>
    <w:lvl w:ilvl="0">
      <w:lvlJc w:val="left"/>
      <w:lvlText w:val="3"/>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lowerLetter"/>
      <w:start w:val="1"/>
    </w:lvl>
    <w:lvl w:ilvl="1">
      <w:lvlJc w:val="left"/>
      <w:lvlText w:val="(%2)"/>
      <w:numFmt w:val="lowerLetter"/>
      <w:start w:val="1"/>
    </w:lvl>
  </w:abstractNum>
  <w:abstractNum w:abstractNumId="39">
    <w:nsid w:val="580BD78F"/>
    <w:multiLevelType w:val="hybridMultilevel"/>
    <w:lvl w:ilvl="0">
      <w:lvlJc w:val="left"/>
      <w:lvlText w:val="(%1)"/>
      <w:numFmt w:val="lowerLetter"/>
      <w:start w:val="9"/>
    </w:lvl>
    <w:lvl w:ilvl="1">
      <w:lvlJc w:val="left"/>
      <w:lvlText w:val="%2"/>
      <w:numFmt w:val="lowerLetter"/>
      <w:start w:val="1"/>
    </w:lvl>
  </w:abstractNum>
  <w:abstractNum w:abstractNumId="40">
    <w:nsid w:val="153EA43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2020-01-27T04:22:28Z</dcterms:created>
  <dcterms:modified xsi:type="dcterms:W3CDTF">2020-01-27T04:22:28Z</dcterms:modified>
</cp:coreProperties>
</file>